
<file path=[Content_Types].xml><?xml version="1.0" encoding="utf-8"?>
<Types xmlns="http://schemas.openxmlformats.org/package/2006/content-types">
  <Default Extension="emf" ContentType="image/x-emf"/>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882849" w14:textId="6C86374D" w:rsidR="00E37274" w:rsidRPr="00B845AF" w:rsidRDefault="00E37274" w:rsidP="001A23E2">
      <w:pPr>
        <w:autoSpaceDE w:val="0"/>
        <w:autoSpaceDN w:val="0"/>
        <w:adjustRightInd w:val="0"/>
        <w:snapToGrid w:val="0"/>
        <w:jc w:val="both"/>
        <w:rPr>
          <w:rFonts w:asciiTheme="minorHAnsi" w:eastAsiaTheme="minorEastAsia" w:hAnsiTheme="minorHAnsi" w:cstheme="minorHAnsi"/>
          <w:b/>
          <w:bCs/>
          <w:szCs w:val="22"/>
          <w:lang w:eastAsia="ko-KR"/>
        </w:rPr>
      </w:pPr>
    </w:p>
    <w:p w14:paraId="297E4C71" w14:textId="77777777" w:rsidR="00E37274" w:rsidRPr="00B845AF" w:rsidRDefault="00E37274" w:rsidP="001B3E77">
      <w:pPr>
        <w:autoSpaceDE w:val="0"/>
        <w:autoSpaceDN w:val="0"/>
        <w:adjustRightInd w:val="0"/>
        <w:snapToGrid w:val="0"/>
        <w:jc w:val="center"/>
        <w:rPr>
          <w:rFonts w:asciiTheme="minorHAnsi" w:hAnsiTheme="minorHAnsi" w:cstheme="minorHAnsi"/>
          <w:b/>
          <w:bCs/>
          <w:szCs w:val="22"/>
          <w:lang w:eastAsia="en-NZ"/>
        </w:rPr>
      </w:pPr>
    </w:p>
    <w:p w14:paraId="6D474F4F" w14:textId="77777777" w:rsidR="00E37274" w:rsidRPr="00B845AF" w:rsidRDefault="00E37274" w:rsidP="001B3E77">
      <w:pPr>
        <w:autoSpaceDE w:val="0"/>
        <w:autoSpaceDN w:val="0"/>
        <w:adjustRightInd w:val="0"/>
        <w:snapToGrid w:val="0"/>
        <w:jc w:val="center"/>
        <w:rPr>
          <w:rFonts w:asciiTheme="minorHAnsi" w:hAnsiTheme="minorHAnsi" w:cstheme="minorHAnsi"/>
          <w:b/>
          <w:bCs/>
          <w:szCs w:val="22"/>
          <w:lang w:eastAsia="en-NZ"/>
        </w:rPr>
      </w:pPr>
    </w:p>
    <w:p w14:paraId="63BA75BE" w14:textId="349F3CDB" w:rsidR="00E37274" w:rsidRPr="00B845AF" w:rsidRDefault="00154A67" w:rsidP="001B3E77">
      <w:pPr>
        <w:autoSpaceDE w:val="0"/>
        <w:autoSpaceDN w:val="0"/>
        <w:adjustRightInd w:val="0"/>
        <w:snapToGrid w:val="0"/>
        <w:jc w:val="center"/>
        <w:rPr>
          <w:rFonts w:asciiTheme="minorHAnsi" w:hAnsiTheme="minorHAnsi" w:cstheme="minorHAnsi"/>
          <w:b/>
          <w:bCs/>
          <w:szCs w:val="22"/>
          <w:lang w:eastAsia="en-NZ"/>
        </w:rPr>
      </w:pPr>
      <w:r w:rsidRPr="00B845AF">
        <w:rPr>
          <w:rFonts w:asciiTheme="minorHAnsi" w:hAnsiTheme="minorHAnsi" w:cstheme="minorHAnsi"/>
          <w:noProof/>
          <w:sz w:val="24"/>
        </w:rPr>
        <w:drawing>
          <wp:inline distT="0" distB="0" distL="0" distR="0" wp14:anchorId="45C7E1DF" wp14:editId="203113C3">
            <wp:extent cx="2476500" cy="863600"/>
            <wp:effectExtent l="0" t="0" r="0" b="0"/>
            <wp:docPr id="2006337922"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ue and black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76500" cy="863600"/>
                    </a:xfrm>
                    <a:prstGeom prst="rect">
                      <a:avLst/>
                    </a:prstGeom>
                    <a:noFill/>
                    <a:ln>
                      <a:noFill/>
                    </a:ln>
                  </pic:spPr>
                </pic:pic>
              </a:graphicData>
            </a:graphic>
          </wp:inline>
        </w:drawing>
      </w:r>
    </w:p>
    <w:p w14:paraId="0343F788" w14:textId="77777777" w:rsidR="00E37274" w:rsidRPr="00B845AF" w:rsidRDefault="00E37274" w:rsidP="001B3E77">
      <w:pPr>
        <w:autoSpaceDE w:val="0"/>
        <w:autoSpaceDN w:val="0"/>
        <w:adjustRightInd w:val="0"/>
        <w:snapToGrid w:val="0"/>
        <w:jc w:val="center"/>
        <w:rPr>
          <w:rFonts w:asciiTheme="minorHAnsi" w:hAnsiTheme="minorHAnsi" w:cstheme="minorHAnsi"/>
          <w:b/>
          <w:bCs/>
          <w:szCs w:val="22"/>
          <w:lang w:eastAsia="en-NZ"/>
        </w:rPr>
      </w:pPr>
    </w:p>
    <w:p w14:paraId="617BD965" w14:textId="77777777" w:rsidR="00E37274" w:rsidRPr="00B845AF" w:rsidRDefault="00E37274" w:rsidP="001B3E77">
      <w:pPr>
        <w:autoSpaceDE w:val="0"/>
        <w:autoSpaceDN w:val="0"/>
        <w:adjustRightInd w:val="0"/>
        <w:snapToGrid w:val="0"/>
        <w:jc w:val="center"/>
        <w:rPr>
          <w:rFonts w:asciiTheme="minorHAnsi" w:hAnsiTheme="minorHAnsi" w:cstheme="minorHAnsi"/>
          <w:b/>
          <w:bCs/>
          <w:szCs w:val="22"/>
          <w:lang w:eastAsia="en-NZ"/>
        </w:rPr>
      </w:pPr>
    </w:p>
    <w:p w14:paraId="674FF259" w14:textId="5C650F40" w:rsidR="00E37274" w:rsidRPr="00B845AF" w:rsidRDefault="00E37274" w:rsidP="001B3E77">
      <w:pPr>
        <w:adjustRightInd w:val="0"/>
        <w:snapToGrid w:val="0"/>
        <w:jc w:val="center"/>
        <w:rPr>
          <w:rFonts w:asciiTheme="minorHAnsi" w:hAnsiTheme="minorHAnsi" w:cstheme="minorHAnsi"/>
          <w:b/>
          <w:sz w:val="24"/>
        </w:rPr>
      </w:pPr>
      <w:r w:rsidRPr="00B845AF">
        <w:rPr>
          <w:rFonts w:asciiTheme="minorHAnsi" w:hAnsiTheme="minorHAnsi" w:cstheme="minorHAnsi"/>
          <w:b/>
          <w:sz w:val="24"/>
        </w:rPr>
        <w:t>The Commission for the Conservation and Management of</w:t>
      </w:r>
    </w:p>
    <w:p w14:paraId="01113E71" w14:textId="2C06F5EC" w:rsidR="00E37274" w:rsidRPr="00B845AF" w:rsidRDefault="00E37274" w:rsidP="001B3E77">
      <w:pPr>
        <w:adjustRightInd w:val="0"/>
        <w:snapToGrid w:val="0"/>
        <w:jc w:val="center"/>
        <w:rPr>
          <w:rFonts w:asciiTheme="minorHAnsi" w:hAnsiTheme="minorHAnsi" w:cstheme="minorHAnsi"/>
          <w:b/>
          <w:sz w:val="24"/>
        </w:rPr>
      </w:pPr>
      <w:r w:rsidRPr="00B845AF">
        <w:rPr>
          <w:rFonts w:asciiTheme="minorHAnsi" w:hAnsiTheme="minorHAnsi" w:cstheme="minorHAnsi"/>
          <w:b/>
          <w:sz w:val="24"/>
        </w:rPr>
        <w:t>Highly Migratory Fish Stocks in the Western and Central Pacific Ocean</w:t>
      </w:r>
    </w:p>
    <w:p w14:paraId="1680CC1A" w14:textId="77777777" w:rsidR="00E37274" w:rsidRPr="00B845AF" w:rsidRDefault="00E37274" w:rsidP="001B3E77">
      <w:pPr>
        <w:adjustRightInd w:val="0"/>
        <w:snapToGrid w:val="0"/>
        <w:jc w:val="center"/>
        <w:rPr>
          <w:rFonts w:asciiTheme="minorHAnsi" w:hAnsiTheme="minorHAnsi" w:cstheme="minorHAnsi"/>
          <w:b/>
          <w:sz w:val="24"/>
        </w:rPr>
      </w:pPr>
    </w:p>
    <w:p w14:paraId="002C9DBE" w14:textId="77777777" w:rsidR="00D53061" w:rsidRPr="00B845AF" w:rsidRDefault="00D53061" w:rsidP="001D3733">
      <w:pPr>
        <w:adjustRightInd w:val="0"/>
        <w:snapToGrid w:val="0"/>
        <w:jc w:val="center"/>
        <w:rPr>
          <w:rFonts w:asciiTheme="minorHAnsi" w:hAnsiTheme="minorHAnsi" w:cstheme="minorHAnsi"/>
          <w:b/>
          <w:sz w:val="24"/>
        </w:rPr>
      </w:pPr>
      <w:r w:rsidRPr="00B845AF">
        <w:rPr>
          <w:rFonts w:asciiTheme="minorHAnsi" w:hAnsiTheme="minorHAnsi" w:cstheme="minorHAnsi"/>
          <w:b/>
          <w:sz w:val="24"/>
        </w:rPr>
        <w:t xml:space="preserve">SCIENTIFIC COMMITTEE </w:t>
      </w:r>
      <w:r w:rsidRPr="00B845AF">
        <w:rPr>
          <w:rFonts w:asciiTheme="minorHAnsi" w:hAnsiTheme="minorHAnsi" w:cstheme="minorHAnsi"/>
          <w:b/>
          <w:sz w:val="24"/>
        </w:rPr>
        <w:br/>
      </w:r>
      <w:r w:rsidR="00202A05" w:rsidRPr="00B845AF">
        <w:rPr>
          <w:rFonts w:asciiTheme="minorHAnsi" w:hAnsiTheme="minorHAnsi" w:cstheme="minorHAnsi"/>
          <w:b/>
          <w:sz w:val="24"/>
        </w:rPr>
        <w:t xml:space="preserve">TWENTY-SECOND REGULAR SESSION </w:t>
      </w:r>
      <w:bookmarkStart w:id="0" w:name="_Hlk206233954"/>
    </w:p>
    <w:p w14:paraId="27FDF5AB" w14:textId="648FEAB9" w:rsidR="001D3733" w:rsidRPr="00B845AF" w:rsidRDefault="001D3733" w:rsidP="001D3733">
      <w:pPr>
        <w:adjustRightInd w:val="0"/>
        <w:snapToGrid w:val="0"/>
        <w:jc w:val="center"/>
        <w:rPr>
          <w:rFonts w:asciiTheme="minorHAnsi" w:hAnsiTheme="minorHAnsi" w:cstheme="minorHAnsi"/>
          <w:b/>
          <w:sz w:val="24"/>
        </w:rPr>
      </w:pPr>
      <w:r w:rsidRPr="00B845AF">
        <w:rPr>
          <w:rFonts w:asciiTheme="minorHAnsi" w:hAnsiTheme="minorHAnsi" w:cstheme="minorHAnsi"/>
          <w:b/>
          <w:sz w:val="24"/>
        </w:rPr>
        <w:t>11–19 August 2026</w:t>
      </w:r>
    </w:p>
    <w:p w14:paraId="3C7D8901" w14:textId="30009FC9" w:rsidR="00E37274" w:rsidRPr="00B845AF" w:rsidRDefault="00611EA6" w:rsidP="001D3733">
      <w:pPr>
        <w:adjustRightInd w:val="0"/>
        <w:snapToGrid w:val="0"/>
        <w:jc w:val="center"/>
        <w:rPr>
          <w:rFonts w:asciiTheme="minorHAnsi" w:hAnsiTheme="minorHAnsi" w:cstheme="minorHAnsi"/>
          <w:b/>
          <w:sz w:val="24"/>
        </w:rPr>
      </w:pPr>
      <w:r w:rsidRPr="00B845AF">
        <w:rPr>
          <w:rFonts w:asciiTheme="minorHAnsi" w:hAnsiTheme="minorHAnsi" w:cstheme="minorHAnsi"/>
          <w:b/>
          <w:sz w:val="24"/>
        </w:rPr>
        <w:t>Apia</w:t>
      </w:r>
      <w:r w:rsidR="009B28FA" w:rsidRPr="00B845AF">
        <w:rPr>
          <w:rFonts w:asciiTheme="minorHAnsi" w:hAnsiTheme="minorHAnsi" w:cstheme="minorHAnsi"/>
          <w:b/>
          <w:sz w:val="24"/>
        </w:rPr>
        <w:t xml:space="preserve">, </w:t>
      </w:r>
      <w:r w:rsidRPr="00B845AF">
        <w:rPr>
          <w:rFonts w:asciiTheme="minorHAnsi" w:hAnsiTheme="minorHAnsi" w:cstheme="minorHAnsi"/>
          <w:b/>
          <w:sz w:val="24"/>
        </w:rPr>
        <w:t>Samoa</w:t>
      </w:r>
      <w:r w:rsidR="001D3733" w:rsidRPr="00B845AF">
        <w:rPr>
          <w:rFonts w:asciiTheme="minorHAnsi" w:hAnsiTheme="minorHAnsi" w:cstheme="minorHAnsi"/>
          <w:b/>
          <w:sz w:val="24"/>
        </w:rPr>
        <w:t xml:space="preserve"> (Hybrid)</w:t>
      </w:r>
    </w:p>
    <w:bookmarkEnd w:id="0"/>
    <w:p w14:paraId="3EBFE1DE" w14:textId="3C0E61CA" w:rsidR="00E37274" w:rsidRDefault="00E37274" w:rsidP="001B3E77">
      <w:pPr>
        <w:adjustRightInd w:val="0"/>
        <w:snapToGrid w:val="0"/>
        <w:jc w:val="center"/>
        <w:rPr>
          <w:rFonts w:asciiTheme="minorHAnsi" w:hAnsiTheme="minorHAnsi" w:cstheme="minorHAnsi"/>
          <w:b/>
          <w:sz w:val="24"/>
        </w:rPr>
      </w:pPr>
    </w:p>
    <w:p w14:paraId="41887AAF" w14:textId="77777777" w:rsidR="00922BCB" w:rsidRDefault="00922BCB" w:rsidP="001B3E77">
      <w:pPr>
        <w:adjustRightInd w:val="0"/>
        <w:snapToGrid w:val="0"/>
        <w:jc w:val="center"/>
        <w:rPr>
          <w:rFonts w:asciiTheme="minorHAnsi" w:hAnsiTheme="minorHAnsi" w:cstheme="minorHAnsi"/>
          <w:b/>
          <w:sz w:val="24"/>
        </w:rPr>
      </w:pPr>
    </w:p>
    <w:p w14:paraId="01BC20C9" w14:textId="77777777" w:rsidR="00922BCB" w:rsidRDefault="00922BCB" w:rsidP="001B3E77">
      <w:pPr>
        <w:adjustRightInd w:val="0"/>
        <w:snapToGrid w:val="0"/>
        <w:jc w:val="center"/>
        <w:rPr>
          <w:rFonts w:asciiTheme="minorHAnsi" w:hAnsiTheme="minorHAnsi" w:cstheme="minorHAnsi"/>
          <w:b/>
          <w:sz w:val="24"/>
        </w:rPr>
      </w:pPr>
    </w:p>
    <w:p w14:paraId="06805ABD" w14:textId="77777777" w:rsidR="00922BCB" w:rsidRDefault="00922BCB" w:rsidP="001B3E77">
      <w:pPr>
        <w:adjustRightInd w:val="0"/>
        <w:snapToGrid w:val="0"/>
        <w:jc w:val="center"/>
        <w:rPr>
          <w:rFonts w:asciiTheme="minorHAnsi" w:hAnsiTheme="minorHAnsi" w:cstheme="minorHAnsi"/>
          <w:b/>
          <w:sz w:val="24"/>
        </w:rPr>
      </w:pPr>
    </w:p>
    <w:p w14:paraId="771DAD90" w14:textId="77777777" w:rsidR="00922BCB" w:rsidRDefault="00922BCB" w:rsidP="001B3E77">
      <w:pPr>
        <w:adjustRightInd w:val="0"/>
        <w:snapToGrid w:val="0"/>
        <w:jc w:val="center"/>
        <w:rPr>
          <w:rFonts w:asciiTheme="minorHAnsi" w:hAnsiTheme="minorHAnsi" w:cstheme="minorHAnsi"/>
          <w:b/>
          <w:sz w:val="24"/>
        </w:rPr>
      </w:pPr>
    </w:p>
    <w:p w14:paraId="79BEADD5" w14:textId="173444AC" w:rsidR="00E37274" w:rsidRPr="00B845AF" w:rsidRDefault="00E37274" w:rsidP="001B3E77">
      <w:pPr>
        <w:adjustRightInd w:val="0"/>
        <w:snapToGrid w:val="0"/>
        <w:jc w:val="center"/>
        <w:rPr>
          <w:rFonts w:asciiTheme="minorHAnsi" w:hAnsiTheme="minorHAnsi" w:cstheme="minorHAnsi"/>
          <w:b/>
          <w:sz w:val="24"/>
        </w:rPr>
      </w:pPr>
    </w:p>
    <w:p w14:paraId="11FF59BF" w14:textId="1F28AEF0" w:rsidR="00E37274" w:rsidRPr="00B845AF" w:rsidRDefault="00E37274" w:rsidP="001B3E77">
      <w:pPr>
        <w:adjustRightInd w:val="0"/>
        <w:snapToGrid w:val="0"/>
        <w:jc w:val="center"/>
        <w:rPr>
          <w:rFonts w:asciiTheme="minorHAnsi" w:hAnsiTheme="minorHAnsi" w:cstheme="minorHAnsi"/>
          <w:b/>
          <w:sz w:val="32"/>
          <w:szCs w:val="32"/>
        </w:rPr>
      </w:pPr>
      <w:r w:rsidRPr="00B845AF">
        <w:rPr>
          <w:rFonts w:asciiTheme="minorHAnsi" w:hAnsiTheme="minorHAnsi" w:cstheme="minorHAnsi"/>
          <w:b/>
          <w:sz w:val="32"/>
          <w:szCs w:val="32"/>
        </w:rPr>
        <w:t>SUMMARY REPORT</w:t>
      </w:r>
    </w:p>
    <w:p w14:paraId="6FC06D39" w14:textId="2A220519" w:rsidR="00A61655" w:rsidRPr="00B845AF" w:rsidRDefault="00A61655" w:rsidP="001B3E77">
      <w:pPr>
        <w:adjustRightInd w:val="0"/>
        <w:snapToGrid w:val="0"/>
        <w:jc w:val="center"/>
        <w:rPr>
          <w:rFonts w:asciiTheme="minorHAnsi" w:hAnsiTheme="minorHAnsi" w:cstheme="minorHAnsi"/>
          <w:b/>
          <w:sz w:val="24"/>
        </w:rPr>
      </w:pPr>
    </w:p>
    <w:p w14:paraId="40B88CF0" w14:textId="08C5966E" w:rsidR="00033140" w:rsidRPr="00B845AF" w:rsidRDefault="00033140" w:rsidP="001B3E77">
      <w:pPr>
        <w:adjustRightInd w:val="0"/>
        <w:snapToGrid w:val="0"/>
        <w:jc w:val="center"/>
        <w:rPr>
          <w:rFonts w:asciiTheme="minorHAnsi" w:hAnsiTheme="minorHAnsi" w:cstheme="minorHAnsi"/>
          <w:b/>
          <w:bCs/>
          <w:color w:val="0000FF"/>
          <w:sz w:val="32"/>
          <w:szCs w:val="32"/>
        </w:rPr>
      </w:pPr>
    </w:p>
    <w:p w14:paraId="31BB33FD" w14:textId="33445A90" w:rsidR="0045796A" w:rsidRPr="00B845AF" w:rsidRDefault="0045796A" w:rsidP="0045796A">
      <w:pPr>
        <w:adjustRightInd w:val="0"/>
        <w:snapToGrid w:val="0"/>
        <w:jc w:val="center"/>
        <w:rPr>
          <w:rFonts w:asciiTheme="minorHAnsi" w:hAnsiTheme="minorHAnsi" w:cstheme="minorHAnsi"/>
          <w:b/>
          <w:sz w:val="32"/>
          <w:szCs w:val="32"/>
        </w:rPr>
      </w:pPr>
    </w:p>
    <w:p w14:paraId="6D42E9FD" w14:textId="3B177C02" w:rsidR="00342334" w:rsidRPr="00B845AF" w:rsidRDefault="00342334" w:rsidP="001B3E77">
      <w:pPr>
        <w:adjustRightInd w:val="0"/>
        <w:snapToGrid w:val="0"/>
        <w:jc w:val="center"/>
        <w:rPr>
          <w:rFonts w:asciiTheme="minorHAnsi" w:hAnsiTheme="minorHAnsi" w:cstheme="minorHAnsi"/>
          <w:b/>
          <w:szCs w:val="22"/>
        </w:rPr>
      </w:pPr>
    </w:p>
    <w:p w14:paraId="0C22BBDF" w14:textId="77777777" w:rsidR="00E37274" w:rsidRPr="00B845AF" w:rsidRDefault="00E37274" w:rsidP="001B3E77">
      <w:pPr>
        <w:adjustRightInd w:val="0"/>
        <w:snapToGrid w:val="0"/>
        <w:jc w:val="center"/>
        <w:rPr>
          <w:rFonts w:asciiTheme="minorHAnsi" w:hAnsiTheme="minorHAnsi" w:cstheme="minorHAnsi"/>
          <w:b/>
          <w:color w:val="0033CC"/>
          <w:szCs w:val="22"/>
        </w:rPr>
      </w:pPr>
    </w:p>
    <w:p w14:paraId="2B8E186E" w14:textId="77777777" w:rsidR="00E37274" w:rsidRPr="00B845AF" w:rsidRDefault="00E37274" w:rsidP="001B3E77">
      <w:pPr>
        <w:adjustRightInd w:val="0"/>
        <w:snapToGrid w:val="0"/>
        <w:jc w:val="center"/>
        <w:rPr>
          <w:rFonts w:asciiTheme="minorHAnsi" w:hAnsiTheme="minorHAnsi" w:cstheme="minorHAnsi"/>
          <w:b/>
          <w:szCs w:val="22"/>
        </w:rPr>
      </w:pPr>
    </w:p>
    <w:p w14:paraId="054BF334" w14:textId="77777777" w:rsidR="00E37274" w:rsidRPr="00B845AF" w:rsidRDefault="00E37274" w:rsidP="001B3E77">
      <w:pPr>
        <w:adjustRightInd w:val="0"/>
        <w:snapToGrid w:val="0"/>
        <w:jc w:val="center"/>
        <w:rPr>
          <w:rFonts w:asciiTheme="minorHAnsi" w:hAnsiTheme="minorHAnsi" w:cstheme="minorHAnsi"/>
          <w:b/>
          <w:szCs w:val="22"/>
        </w:rPr>
      </w:pPr>
    </w:p>
    <w:p w14:paraId="4DBDD10E" w14:textId="77777777" w:rsidR="00E37274" w:rsidRPr="00B845AF" w:rsidRDefault="00E37274" w:rsidP="001B3E77">
      <w:pPr>
        <w:adjustRightInd w:val="0"/>
        <w:snapToGrid w:val="0"/>
        <w:jc w:val="center"/>
        <w:rPr>
          <w:rFonts w:asciiTheme="minorHAnsi" w:hAnsiTheme="minorHAnsi" w:cstheme="minorHAnsi"/>
          <w:b/>
          <w:szCs w:val="22"/>
          <w:lang w:eastAsia="ko-KR"/>
        </w:rPr>
      </w:pPr>
    </w:p>
    <w:p w14:paraId="0609E4A6" w14:textId="77777777" w:rsidR="00E37274" w:rsidRPr="00B845AF" w:rsidRDefault="00E37274" w:rsidP="001B3E77">
      <w:pPr>
        <w:adjustRightInd w:val="0"/>
        <w:snapToGrid w:val="0"/>
        <w:jc w:val="center"/>
        <w:rPr>
          <w:rFonts w:asciiTheme="minorHAnsi" w:hAnsiTheme="minorHAnsi" w:cstheme="minorHAnsi"/>
          <w:b/>
          <w:szCs w:val="22"/>
          <w:lang w:eastAsia="ko-KR"/>
        </w:rPr>
      </w:pPr>
    </w:p>
    <w:p w14:paraId="4495709F" w14:textId="77777777" w:rsidR="00E37274" w:rsidRPr="00B845AF" w:rsidRDefault="00E37274" w:rsidP="001B3E77">
      <w:pPr>
        <w:adjustRightInd w:val="0"/>
        <w:snapToGrid w:val="0"/>
        <w:jc w:val="center"/>
        <w:rPr>
          <w:rFonts w:asciiTheme="minorHAnsi" w:hAnsiTheme="minorHAnsi" w:cstheme="minorHAnsi"/>
          <w:b/>
          <w:szCs w:val="22"/>
        </w:rPr>
      </w:pPr>
    </w:p>
    <w:p w14:paraId="340E6612" w14:textId="77777777" w:rsidR="00E37274" w:rsidRPr="00B845AF" w:rsidRDefault="00E37274" w:rsidP="001B3E77">
      <w:pPr>
        <w:adjustRightInd w:val="0"/>
        <w:snapToGrid w:val="0"/>
        <w:jc w:val="center"/>
        <w:rPr>
          <w:rFonts w:asciiTheme="minorHAnsi" w:hAnsiTheme="minorHAnsi" w:cstheme="minorHAnsi"/>
          <w:b/>
          <w:color w:val="FF0000"/>
          <w:szCs w:val="22"/>
          <w:lang w:eastAsia="ko-KR"/>
        </w:rPr>
      </w:pPr>
    </w:p>
    <w:p w14:paraId="276E8001" w14:textId="77777777" w:rsidR="00E37274" w:rsidRPr="00B845AF" w:rsidRDefault="00E37274" w:rsidP="001A23E2">
      <w:pPr>
        <w:jc w:val="center"/>
        <w:rPr>
          <w:rFonts w:asciiTheme="minorHAnsi" w:hAnsiTheme="minorHAnsi" w:cstheme="minorHAnsi"/>
          <w:b/>
          <w:bCs/>
          <w:szCs w:val="22"/>
          <w:lang w:eastAsia="en-NZ"/>
        </w:rPr>
      </w:pPr>
      <w:r w:rsidRPr="00B845AF">
        <w:rPr>
          <w:rFonts w:asciiTheme="minorHAnsi" w:hAnsiTheme="minorHAnsi" w:cstheme="minorHAnsi"/>
          <w:b/>
          <w:bCs/>
          <w:szCs w:val="22"/>
          <w:lang w:eastAsia="en-NZ"/>
        </w:rPr>
        <w:br w:type="page"/>
      </w:r>
    </w:p>
    <w:p w14:paraId="55317A6F" w14:textId="77777777" w:rsidR="00E37274" w:rsidRPr="00B845AF" w:rsidRDefault="00E37274" w:rsidP="00BB4615">
      <w:pPr>
        <w:jc w:val="center"/>
        <w:rPr>
          <w:rFonts w:asciiTheme="minorHAnsi" w:hAnsiTheme="minorHAnsi" w:cstheme="minorHAnsi"/>
          <w:b/>
          <w:bCs/>
          <w:sz w:val="24"/>
          <w:lang w:eastAsia="en-NZ"/>
        </w:rPr>
      </w:pPr>
      <w:r w:rsidRPr="00B845AF">
        <w:rPr>
          <w:rFonts w:asciiTheme="minorHAnsi" w:hAnsiTheme="minorHAnsi" w:cstheme="minorHAnsi"/>
          <w:b/>
          <w:bCs/>
          <w:sz w:val="24"/>
          <w:lang w:eastAsia="en-NZ"/>
        </w:rPr>
        <w:lastRenderedPageBreak/>
        <w:t>TABLE OF CONTENTS</w:t>
      </w:r>
    </w:p>
    <w:p w14:paraId="6632C685" w14:textId="77777777" w:rsidR="00E065F0" w:rsidRPr="00B845AF" w:rsidRDefault="00E065F0" w:rsidP="00BB4615">
      <w:pPr>
        <w:jc w:val="both"/>
        <w:rPr>
          <w:rFonts w:asciiTheme="minorHAnsi" w:hAnsiTheme="minorHAnsi" w:cstheme="minorHAnsi"/>
          <w:b/>
          <w:bCs/>
          <w:szCs w:val="22"/>
          <w:lang w:eastAsia="en-NZ"/>
        </w:rPr>
      </w:pPr>
    </w:p>
    <w:p w14:paraId="7EB22773" w14:textId="191251B7" w:rsidR="00B92604" w:rsidRPr="00B845AF" w:rsidRDefault="00472973">
      <w:pPr>
        <w:pStyle w:val="TOC1"/>
        <w:tabs>
          <w:tab w:val="right" w:leader="dot" w:pos="9350"/>
        </w:tabs>
        <w:rPr>
          <w:rFonts w:asciiTheme="minorHAnsi" w:eastAsiaTheme="minorEastAsia" w:hAnsiTheme="minorHAnsi" w:cstheme="minorHAnsi"/>
          <w:noProof/>
          <w:kern w:val="2"/>
          <w:sz w:val="21"/>
          <w:lang w:eastAsia="ja-JP"/>
          <w14:ligatures w14:val="standardContextual"/>
        </w:rPr>
      </w:pPr>
      <w:r w:rsidRPr="00B845AF">
        <w:rPr>
          <w:rFonts w:asciiTheme="minorHAnsi" w:hAnsiTheme="minorHAnsi" w:cstheme="minorHAnsi"/>
          <w:b/>
          <w:bCs/>
          <w:szCs w:val="22"/>
          <w:lang w:eastAsia="en-NZ"/>
        </w:rPr>
        <w:fldChar w:fldCharType="begin"/>
      </w:r>
      <w:r w:rsidR="00E37274" w:rsidRPr="00B845AF">
        <w:rPr>
          <w:rFonts w:asciiTheme="minorHAnsi" w:hAnsiTheme="minorHAnsi" w:cstheme="minorHAnsi"/>
          <w:b/>
          <w:bCs/>
          <w:szCs w:val="22"/>
          <w:lang w:eastAsia="en-NZ"/>
        </w:rPr>
        <w:instrText xml:space="preserve"> TOC \f \h \z </w:instrText>
      </w:r>
      <w:r w:rsidRPr="00B845AF">
        <w:rPr>
          <w:rFonts w:asciiTheme="minorHAnsi" w:hAnsiTheme="minorHAnsi" w:cstheme="minorHAnsi"/>
          <w:b/>
          <w:bCs/>
          <w:szCs w:val="22"/>
          <w:lang w:eastAsia="en-NZ"/>
        </w:rPr>
        <w:fldChar w:fldCharType="separate"/>
      </w:r>
      <w:hyperlink w:anchor="_Toc239261422" w:history="1">
        <w:r w:rsidR="00B92604" w:rsidRPr="00B845AF">
          <w:rPr>
            <w:rStyle w:val="Hyperlink"/>
            <w:rFonts w:asciiTheme="minorHAnsi" w:hAnsiTheme="minorHAnsi" w:cstheme="minorHAnsi"/>
            <w:b/>
            <w:bCs/>
            <w:noProof/>
            <w:lang w:eastAsia="ko-KR"/>
          </w:rPr>
          <w:t>SUMMARY REPORT</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_Toc239261422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3</w:t>
        </w:r>
        <w:r w:rsidR="00B92604" w:rsidRPr="00B845AF">
          <w:rPr>
            <w:rFonts w:asciiTheme="minorHAnsi" w:hAnsiTheme="minorHAnsi" w:cstheme="minorHAnsi"/>
            <w:noProof/>
            <w:webHidden/>
          </w:rPr>
          <w:fldChar w:fldCharType="end"/>
        </w:r>
      </w:hyperlink>
    </w:p>
    <w:p w14:paraId="13A0518E" w14:textId="1B6CFDCA"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3" w:history="1">
        <w:r w:rsidRPr="00B845AF">
          <w:rPr>
            <w:rStyle w:val="Hyperlink"/>
            <w:rFonts w:asciiTheme="minorHAnsi" w:hAnsiTheme="minorHAnsi" w:cstheme="minorHAnsi"/>
            <w:noProof/>
          </w:rPr>
          <w:t>AGENDA ITEM 1 — OPENING OF THE MEETING</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_Toc239261423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3</w:t>
        </w:r>
        <w:r w:rsidRPr="00B845AF">
          <w:rPr>
            <w:rFonts w:asciiTheme="minorHAnsi" w:hAnsiTheme="minorHAnsi" w:cstheme="minorHAnsi"/>
            <w:noProof/>
            <w:webHidden/>
          </w:rPr>
          <w:fldChar w:fldCharType="end"/>
        </w:r>
      </w:hyperlink>
    </w:p>
    <w:p w14:paraId="086561EC" w14:textId="1FBB5ACC"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4" w:history="1">
        <w:r w:rsidRPr="00B845AF">
          <w:rPr>
            <w:rStyle w:val="Hyperlink"/>
            <w:rFonts w:asciiTheme="minorHAnsi" w:hAnsiTheme="minorHAnsi" w:cstheme="minorHAnsi"/>
            <w:noProof/>
          </w:rPr>
          <w:t>AGENDA ITEM 2 — REVIEW OF FISHERIES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_Toc239261424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7</w:t>
        </w:r>
        <w:r w:rsidRPr="00B845AF">
          <w:rPr>
            <w:rFonts w:asciiTheme="minorHAnsi" w:hAnsiTheme="minorHAnsi" w:cstheme="minorHAnsi"/>
            <w:noProof/>
            <w:webHidden/>
          </w:rPr>
          <w:fldChar w:fldCharType="end"/>
        </w:r>
      </w:hyperlink>
    </w:p>
    <w:p w14:paraId="346A4A17" w14:textId="55E84BE3"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5" w:history="1">
        <w:r w:rsidRPr="00B845AF">
          <w:rPr>
            <w:rStyle w:val="Hyperlink"/>
            <w:rFonts w:asciiTheme="minorHAnsi" w:hAnsiTheme="minorHAnsi" w:cstheme="minorHAnsi"/>
            <w:noProof/>
          </w:rPr>
          <w:t>AGENDA ITEM 3 — DATA AND STATISTICS THEME</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_Toc239261425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12</w:t>
        </w:r>
        <w:r w:rsidRPr="00B845AF">
          <w:rPr>
            <w:rFonts w:asciiTheme="minorHAnsi" w:hAnsiTheme="minorHAnsi" w:cstheme="minorHAnsi"/>
            <w:noProof/>
            <w:webHidden/>
          </w:rPr>
          <w:fldChar w:fldCharType="end"/>
        </w:r>
      </w:hyperlink>
    </w:p>
    <w:p w14:paraId="6CA92666" w14:textId="0A0EE03B"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6" w:history="1">
        <w:r w:rsidRPr="00B845AF">
          <w:rPr>
            <w:rStyle w:val="Hyperlink"/>
            <w:rFonts w:asciiTheme="minorHAnsi" w:hAnsiTheme="minorHAnsi" w:cstheme="minorHAnsi"/>
            <w:noProof/>
          </w:rPr>
          <w:t>AGENDA ITEM 4 — STOCK ASSESSMENT THEME</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_Toc239261426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32</w:t>
        </w:r>
        <w:r w:rsidRPr="00B845AF">
          <w:rPr>
            <w:rFonts w:asciiTheme="minorHAnsi" w:hAnsiTheme="minorHAnsi" w:cstheme="minorHAnsi"/>
            <w:noProof/>
            <w:webHidden/>
          </w:rPr>
          <w:fldChar w:fldCharType="end"/>
        </w:r>
      </w:hyperlink>
    </w:p>
    <w:p w14:paraId="30331349" w14:textId="5FB7DBBC"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7" w:history="1">
        <w:r w:rsidRPr="00B845AF">
          <w:rPr>
            <w:rStyle w:val="Hyperlink"/>
            <w:rFonts w:asciiTheme="minorHAnsi" w:hAnsiTheme="minorHAnsi" w:cstheme="minorHAnsi"/>
            <w:noProof/>
          </w:rPr>
          <w:t>AGENDA ITEM 5 — MANAGEMENT ISSUES THEME</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_Toc239261427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97</w:t>
        </w:r>
        <w:r w:rsidRPr="00B845AF">
          <w:rPr>
            <w:rFonts w:asciiTheme="minorHAnsi" w:hAnsiTheme="minorHAnsi" w:cstheme="minorHAnsi"/>
            <w:noProof/>
            <w:webHidden/>
          </w:rPr>
          <w:fldChar w:fldCharType="end"/>
        </w:r>
      </w:hyperlink>
    </w:p>
    <w:p w14:paraId="3277B7A7" w14:textId="433E070E"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8" w:history="1">
        <w:r w:rsidRPr="00B845AF">
          <w:rPr>
            <w:rStyle w:val="Hyperlink"/>
            <w:rFonts w:asciiTheme="minorHAnsi" w:hAnsiTheme="minorHAnsi" w:cstheme="minorHAnsi"/>
            <w:noProof/>
          </w:rPr>
          <w:t>AGENDA ITEM 6 — ECOSYSTEM AND BYCATCH MITIGATION THEME</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_Toc239261428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127</w:t>
        </w:r>
        <w:r w:rsidRPr="00B845AF">
          <w:rPr>
            <w:rFonts w:asciiTheme="minorHAnsi" w:hAnsiTheme="minorHAnsi" w:cstheme="minorHAnsi"/>
            <w:noProof/>
            <w:webHidden/>
          </w:rPr>
          <w:fldChar w:fldCharType="end"/>
        </w:r>
      </w:hyperlink>
    </w:p>
    <w:p w14:paraId="35CD5D3B" w14:textId="4D50FCEB"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29" w:history="1">
        <w:r w:rsidRPr="00B845AF">
          <w:rPr>
            <w:rStyle w:val="Hyperlink"/>
            <w:rFonts w:asciiTheme="minorHAnsi" w:hAnsiTheme="minorHAnsi" w:cstheme="minorHAnsi"/>
            <w:noProof/>
          </w:rPr>
          <w:t>AGENDA ITEM 7 — OTHER RESEARCH PROJECTS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_Toc239261429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151</w:t>
        </w:r>
        <w:r w:rsidRPr="00B845AF">
          <w:rPr>
            <w:rFonts w:asciiTheme="minorHAnsi" w:hAnsiTheme="minorHAnsi" w:cstheme="minorHAnsi"/>
            <w:noProof/>
            <w:webHidden/>
          </w:rPr>
          <w:fldChar w:fldCharType="end"/>
        </w:r>
      </w:hyperlink>
    </w:p>
    <w:p w14:paraId="227E78ED" w14:textId="2399EAFC"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0" w:history="1">
        <w:r w:rsidRPr="00B845AF">
          <w:rPr>
            <w:rStyle w:val="Hyperlink"/>
            <w:rFonts w:asciiTheme="minorHAnsi" w:hAnsiTheme="minorHAnsi" w:cstheme="minorHAnsi"/>
            <w:noProof/>
          </w:rPr>
          <w:t>AGENDA ITEM 8— COOPERATION WITH OTHER ORGANISATIONS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_Toc239261430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156</w:t>
        </w:r>
        <w:r w:rsidRPr="00B845AF">
          <w:rPr>
            <w:rFonts w:asciiTheme="minorHAnsi" w:hAnsiTheme="minorHAnsi" w:cstheme="minorHAnsi"/>
            <w:noProof/>
            <w:webHidden/>
          </w:rPr>
          <w:fldChar w:fldCharType="end"/>
        </w:r>
      </w:hyperlink>
    </w:p>
    <w:p w14:paraId="68F1E36D" w14:textId="18473AFD"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1" w:history="1">
        <w:r w:rsidRPr="00B845AF">
          <w:rPr>
            <w:rStyle w:val="Hyperlink"/>
            <w:rFonts w:asciiTheme="minorHAnsi" w:hAnsiTheme="minorHAnsi" w:cstheme="minorHAnsi"/>
            <w:noProof/>
          </w:rPr>
          <w:t>AGENDA ITEM 9 — SPECIAL REQUIREMENTS OF DEVELOPING STATES AND PARTICIPATING TERRITORIES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_Toc239261431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157</w:t>
        </w:r>
        <w:r w:rsidRPr="00B845AF">
          <w:rPr>
            <w:rFonts w:asciiTheme="minorHAnsi" w:hAnsiTheme="minorHAnsi" w:cstheme="minorHAnsi"/>
            <w:noProof/>
            <w:webHidden/>
          </w:rPr>
          <w:fldChar w:fldCharType="end"/>
        </w:r>
      </w:hyperlink>
    </w:p>
    <w:p w14:paraId="22AEC9CE" w14:textId="4CB06D2E"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2" w:history="1">
        <w:r w:rsidRPr="00B845AF">
          <w:rPr>
            <w:rStyle w:val="Hyperlink"/>
            <w:rFonts w:asciiTheme="minorHAnsi" w:hAnsiTheme="minorHAnsi" w:cstheme="minorHAnsi"/>
            <w:noProof/>
          </w:rPr>
          <w:t>AGENDA ITEM 10 — FUTURE WORK</w:t>
        </w:r>
        <w:r w:rsidR="00D84180" w:rsidRPr="00B845AF">
          <w:rPr>
            <w:rStyle w:val="Hyperlink"/>
            <w:rFonts w:asciiTheme="minorHAnsi" w:eastAsia="MS Mincho" w:hAnsiTheme="minorHAnsi" w:cstheme="minorHAnsi"/>
            <w:noProof/>
            <w:lang w:eastAsia="ja-JP"/>
          </w:rPr>
          <w:t xml:space="preserve"> PROGRAM</w:t>
        </w:r>
        <w:r w:rsidRPr="00B845AF">
          <w:rPr>
            <w:rStyle w:val="Hyperlink"/>
            <w:rFonts w:asciiTheme="minorHAnsi" w:hAnsiTheme="minorHAnsi" w:cstheme="minorHAnsi"/>
            <w:noProof/>
          </w:rPr>
          <w:t xml:space="preserve"> AND BUDGET</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_Toc239261432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158</w:t>
        </w:r>
        <w:r w:rsidRPr="00B845AF">
          <w:rPr>
            <w:rFonts w:asciiTheme="minorHAnsi" w:hAnsiTheme="minorHAnsi" w:cstheme="minorHAnsi"/>
            <w:noProof/>
            <w:webHidden/>
          </w:rPr>
          <w:fldChar w:fldCharType="end"/>
        </w:r>
      </w:hyperlink>
    </w:p>
    <w:p w14:paraId="2680AB52" w14:textId="7C50D620"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3" w:history="1">
        <w:r w:rsidRPr="00B845AF">
          <w:rPr>
            <w:rStyle w:val="Hyperlink"/>
            <w:rFonts w:asciiTheme="minorHAnsi" w:hAnsiTheme="minorHAnsi" w:cstheme="minorHAnsi"/>
            <w:noProof/>
          </w:rPr>
          <w:t>AGENDA ITEM 11 — ADMINISTRATIVE MATTERS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_Toc239261433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163</w:t>
        </w:r>
        <w:r w:rsidRPr="00B845AF">
          <w:rPr>
            <w:rFonts w:asciiTheme="minorHAnsi" w:hAnsiTheme="minorHAnsi" w:cstheme="minorHAnsi"/>
            <w:noProof/>
            <w:webHidden/>
          </w:rPr>
          <w:fldChar w:fldCharType="end"/>
        </w:r>
      </w:hyperlink>
    </w:p>
    <w:p w14:paraId="31392735" w14:textId="573140E8"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4" w:history="1">
        <w:r w:rsidRPr="00B845AF">
          <w:rPr>
            <w:rStyle w:val="Hyperlink"/>
            <w:rFonts w:asciiTheme="minorHAnsi" w:hAnsiTheme="minorHAnsi" w:cstheme="minorHAnsi"/>
            <w:noProof/>
          </w:rPr>
          <w:t>AGENDA ITEM 12 — OTHER MATTERS</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_Toc239261434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168</w:t>
        </w:r>
        <w:r w:rsidRPr="00B845AF">
          <w:rPr>
            <w:rFonts w:asciiTheme="minorHAnsi" w:hAnsiTheme="minorHAnsi" w:cstheme="minorHAnsi"/>
            <w:noProof/>
            <w:webHidden/>
          </w:rPr>
          <w:fldChar w:fldCharType="end"/>
        </w:r>
      </w:hyperlink>
    </w:p>
    <w:p w14:paraId="78A1DB7E" w14:textId="1A256507"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5" w:history="1">
        <w:r w:rsidRPr="00B845AF">
          <w:rPr>
            <w:rStyle w:val="Hyperlink"/>
            <w:rFonts w:asciiTheme="minorHAnsi" w:hAnsiTheme="minorHAnsi" w:cstheme="minorHAnsi"/>
            <w:noProof/>
          </w:rPr>
          <w:t>AGENDA ITEM 13 — ADOPTION OF THE REPORT</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_Toc239261435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168</w:t>
        </w:r>
        <w:r w:rsidRPr="00B845AF">
          <w:rPr>
            <w:rFonts w:asciiTheme="minorHAnsi" w:hAnsiTheme="minorHAnsi" w:cstheme="minorHAnsi"/>
            <w:noProof/>
            <w:webHidden/>
          </w:rPr>
          <w:fldChar w:fldCharType="end"/>
        </w:r>
      </w:hyperlink>
    </w:p>
    <w:p w14:paraId="746E564C" w14:textId="22B537BA"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6" w:history="1">
        <w:r w:rsidRPr="00B845AF">
          <w:rPr>
            <w:rStyle w:val="Hyperlink"/>
            <w:rFonts w:asciiTheme="minorHAnsi" w:hAnsiTheme="minorHAnsi" w:cstheme="minorHAnsi"/>
            <w:noProof/>
          </w:rPr>
          <w:t>AGENDA ITEM 14 — CLOSE</w:t>
        </w:r>
        <w:r w:rsidR="00E53B0E" w:rsidRPr="00B845AF">
          <w:rPr>
            <w:rStyle w:val="Hyperlink"/>
            <w:rFonts w:asciiTheme="minorHAnsi" w:eastAsia="MS Mincho" w:hAnsiTheme="minorHAnsi" w:cstheme="minorHAnsi"/>
            <w:noProof/>
            <w:lang w:eastAsia="ja-JP"/>
          </w:rPr>
          <w:t xml:space="preserve"> </w:t>
        </w:r>
        <w:r w:rsidRPr="00B845AF">
          <w:rPr>
            <w:rStyle w:val="Hyperlink"/>
            <w:rFonts w:asciiTheme="minorHAnsi" w:hAnsiTheme="minorHAnsi" w:cstheme="minorHAnsi"/>
            <w:noProof/>
          </w:rPr>
          <w:t>OF MEETING</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_Toc239261436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168</w:t>
        </w:r>
        <w:r w:rsidRPr="00B845AF">
          <w:rPr>
            <w:rFonts w:asciiTheme="minorHAnsi" w:hAnsiTheme="minorHAnsi" w:cstheme="minorHAnsi"/>
            <w:noProof/>
            <w:webHidden/>
          </w:rPr>
          <w:fldChar w:fldCharType="end"/>
        </w:r>
      </w:hyperlink>
    </w:p>
    <w:p w14:paraId="47F1A69B" w14:textId="57A26FA4" w:rsidR="00B92604" w:rsidRPr="00B845AF" w:rsidRDefault="00F00BD1">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7" w:history="1">
        <w:r w:rsidRPr="00B845AF">
          <w:rPr>
            <w:rStyle w:val="Hyperlink"/>
            <w:rFonts w:asciiTheme="minorHAnsi" w:eastAsia="MS Mincho" w:hAnsiTheme="minorHAnsi" w:cstheme="minorHAnsi"/>
            <w:noProof/>
            <w:lang w:eastAsia="ja-JP"/>
          </w:rPr>
          <w:t>ATTACHMENT A</w:t>
        </w:r>
        <w:r w:rsidR="004A58DE" w:rsidRPr="00B845AF">
          <w:rPr>
            <w:rStyle w:val="Hyperlink"/>
            <w:rFonts w:asciiTheme="minorHAnsi" w:eastAsia="MS Mincho" w:hAnsiTheme="minorHAnsi" w:cstheme="minorHAnsi"/>
            <w:noProof/>
            <w:lang w:eastAsia="ja-JP"/>
          </w:rPr>
          <w:t xml:space="preserve"> — LIST OF PARTICIPANTS</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_Toc239261437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170</w:t>
        </w:r>
        <w:r w:rsidR="00B92604" w:rsidRPr="00B845AF">
          <w:rPr>
            <w:rFonts w:asciiTheme="minorHAnsi" w:hAnsiTheme="minorHAnsi" w:cstheme="minorHAnsi"/>
            <w:noProof/>
            <w:webHidden/>
          </w:rPr>
          <w:fldChar w:fldCharType="end"/>
        </w:r>
      </w:hyperlink>
    </w:p>
    <w:p w14:paraId="1C917209" w14:textId="0251244B" w:rsidR="00B92604" w:rsidRPr="00B845AF" w:rsidRDefault="00CB2D55">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8" w:history="1">
        <w:r w:rsidRPr="00B845AF">
          <w:rPr>
            <w:rStyle w:val="Hyperlink"/>
            <w:rFonts w:asciiTheme="minorHAnsi" w:eastAsia="MS Mincho" w:hAnsiTheme="minorHAnsi" w:cstheme="minorHAnsi"/>
            <w:noProof/>
            <w:lang w:eastAsia="ja-JP"/>
          </w:rPr>
          <w:t xml:space="preserve">ATTACHMENT B — </w:t>
        </w:r>
        <w:r w:rsidR="009E19FE" w:rsidRPr="00B845AF">
          <w:rPr>
            <w:rStyle w:val="Hyperlink"/>
            <w:rFonts w:asciiTheme="minorHAnsi" w:eastAsia="MS Mincho" w:hAnsiTheme="minorHAnsi" w:cstheme="minorHAnsi"/>
            <w:noProof/>
            <w:lang w:eastAsia="ja-JP"/>
          </w:rPr>
          <w:t>OPENING REMARKS BY THE PRIME MINISTER OF SAMOA</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_Toc239261438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185</w:t>
        </w:r>
        <w:r w:rsidR="00B92604" w:rsidRPr="00B845AF">
          <w:rPr>
            <w:rFonts w:asciiTheme="minorHAnsi" w:hAnsiTheme="minorHAnsi" w:cstheme="minorHAnsi"/>
            <w:noProof/>
            <w:webHidden/>
          </w:rPr>
          <w:fldChar w:fldCharType="end"/>
        </w:r>
      </w:hyperlink>
    </w:p>
    <w:p w14:paraId="12D08210" w14:textId="5AF3F5D0" w:rsidR="00B92604" w:rsidRPr="00B845AF" w:rsidRDefault="009B17E7">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39" w:history="1">
        <w:r w:rsidRPr="00B845AF">
          <w:rPr>
            <w:rStyle w:val="Hyperlink"/>
            <w:rFonts w:asciiTheme="minorHAnsi" w:eastAsia="MS Mincho" w:hAnsiTheme="minorHAnsi" w:cstheme="minorHAnsi"/>
            <w:noProof/>
            <w:lang w:eastAsia="ja-JP"/>
          </w:rPr>
          <w:t>ATTACHMENT C — OPENING REMARKS BY THE WCPFC CHAIR</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_Toc239261439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187</w:t>
        </w:r>
        <w:r w:rsidR="00B92604" w:rsidRPr="00B845AF">
          <w:rPr>
            <w:rFonts w:asciiTheme="minorHAnsi" w:hAnsiTheme="minorHAnsi" w:cstheme="minorHAnsi"/>
            <w:noProof/>
            <w:webHidden/>
          </w:rPr>
          <w:fldChar w:fldCharType="end"/>
        </w:r>
      </w:hyperlink>
    </w:p>
    <w:p w14:paraId="641A5B87" w14:textId="02DC41D9" w:rsidR="00B92604" w:rsidRPr="00B845AF" w:rsidRDefault="009B17E7">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0" w:history="1">
        <w:r w:rsidRPr="00B845AF">
          <w:rPr>
            <w:rStyle w:val="Hyperlink"/>
            <w:rFonts w:asciiTheme="minorHAnsi" w:eastAsia="MS Mincho" w:hAnsiTheme="minorHAnsi" w:cstheme="minorHAnsi"/>
            <w:noProof/>
            <w:lang w:eastAsia="ja-JP"/>
          </w:rPr>
          <w:t xml:space="preserve">ATTACHMENT D — </w:t>
        </w:r>
        <w:r w:rsidR="00C568AC" w:rsidRPr="00B845AF">
          <w:rPr>
            <w:rStyle w:val="Hyperlink"/>
            <w:rFonts w:asciiTheme="minorHAnsi" w:eastAsia="MS Mincho" w:hAnsiTheme="minorHAnsi" w:cstheme="minorHAnsi"/>
            <w:noProof/>
            <w:lang w:eastAsia="ja-JP"/>
          </w:rPr>
          <w:t>OPENING REMARKS BY THE WCPFC EXECUTIVE DIRECTOR</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_Toc239261440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189</w:t>
        </w:r>
        <w:r w:rsidR="00B92604" w:rsidRPr="00B845AF">
          <w:rPr>
            <w:rFonts w:asciiTheme="minorHAnsi" w:hAnsiTheme="minorHAnsi" w:cstheme="minorHAnsi"/>
            <w:noProof/>
            <w:webHidden/>
          </w:rPr>
          <w:fldChar w:fldCharType="end"/>
        </w:r>
      </w:hyperlink>
    </w:p>
    <w:p w14:paraId="62364154" w14:textId="7144F79E" w:rsidR="00B92604" w:rsidRPr="00B845AF" w:rsidRDefault="00C568AC">
      <w:pPr>
        <w:pStyle w:val="TOC1"/>
        <w:tabs>
          <w:tab w:val="right" w:leader="dot" w:pos="9350"/>
        </w:tabs>
        <w:rPr>
          <w:rFonts w:asciiTheme="minorHAnsi" w:eastAsiaTheme="minorEastAsia" w:hAnsiTheme="minorHAnsi" w:cstheme="minorHAnsi"/>
          <w:b/>
          <w:bCs/>
          <w:noProof/>
          <w:kern w:val="2"/>
          <w:sz w:val="21"/>
          <w:lang w:eastAsia="ja-JP"/>
          <w14:ligatures w14:val="standardContextual"/>
        </w:rPr>
      </w:pPr>
      <w:hyperlink w:anchor="_Toc239261441" w:history="1">
        <w:r w:rsidRPr="00B845AF">
          <w:rPr>
            <w:rStyle w:val="Hyperlink"/>
            <w:rFonts w:asciiTheme="minorHAnsi" w:eastAsia="MS Mincho" w:hAnsiTheme="minorHAnsi" w:cstheme="minorHAnsi"/>
            <w:noProof/>
            <w:lang w:eastAsia="ja-JP"/>
          </w:rPr>
          <w:t>ATTACHMENT E — AGENDA</w:t>
        </w:r>
        <w:r w:rsidR="00B92604" w:rsidRPr="00B845AF">
          <w:rPr>
            <w:rFonts w:asciiTheme="minorHAnsi" w:hAnsiTheme="minorHAnsi" w:cstheme="minorHAnsi"/>
            <w:b/>
            <w:bCs/>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_Toc239261441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192</w:t>
        </w:r>
        <w:r w:rsidR="00B92604" w:rsidRPr="00B845AF">
          <w:rPr>
            <w:rFonts w:asciiTheme="minorHAnsi" w:hAnsiTheme="minorHAnsi" w:cstheme="minorHAnsi"/>
            <w:noProof/>
            <w:webHidden/>
          </w:rPr>
          <w:fldChar w:fldCharType="end"/>
        </w:r>
      </w:hyperlink>
    </w:p>
    <w:p w14:paraId="567513F3" w14:textId="31C65181" w:rsidR="00B92604" w:rsidRPr="00B845AF" w:rsidRDefault="00C42E0C">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2" w:history="1">
        <w:r w:rsidRPr="00B845AF">
          <w:rPr>
            <w:rStyle w:val="Hyperlink"/>
            <w:rFonts w:asciiTheme="minorHAnsi" w:eastAsia="MS Mincho" w:hAnsiTheme="minorHAnsi" w:cstheme="minorHAnsi"/>
            <w:noProof/>
            <w:lang w:eastAsia="ja-JP"/>
          </w:rPr>
          <w:t xml:space="preserve">ATTACHMENT F — </w:t>
        </w:r>
        <w:r w:rsidR="00782CA6" w:rsidRPr="00B845AF">
          <w:rPr>
            <w:rStyle w:val="Hyperlink"/>
            <w:rFonts w:asciiTheme="minorHAnsi" w:eastAsia="MS Mincho" w:hAnsiTheme="minorHAnsi" w:cstheme="minorHAnsi"/>
            <w:noProof/>
            <w:lang w:eastAsia="ja-JP"/>
          </w:rPr>
          <w:t>REPORT FROM ISG02</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_Toc239261442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196</w:t>
        </w:r>
        <w:r w:rsidR="00B92604" w:rsidRPr="00B845AF">
          <w:rPr>
            <w:rFonts w:asciiTheme="minorHAnsi" w:hAnsiTheme="minorHAnsi" w:cstheme="minorHAnsi"/>
            <w:noProof/>
            <w:webHidden/>
          </w:rPr>
          <w:fldChar w:fldCharType="end"/>
        </w:r>
      </w:hyperlink>
    </w:p>
    <w:p w14:paraId="648B2259" w14:textId="778D45B5" w:rsidR="00B92604" w:rsidRPr="00B845AF" w:rsidRDefault="00B45246">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3" w:history="1">
        <w:r w:rsidRPr="00B845AF">
          <w:rPr>
            <w:rStyle w:val="Hyperlink"/>
            <w:rFonts w:asciiTheme="minorHAnsi" w:eastAsia="MS Mincho" w:hAnsiTheme="minorHAnsi" w:cstheme="minorHAnsi"/>
            <w:noProof/>
            <w:lang w:eastAsia="ja-JP"/>
          </w:rPr>
          <w:t xml:space="preserve">ATTACHMENT G — </w:t>
        </w:r>
        <w:r w:rsidR="00503B9A" w:rsidRPr="00B845AF">
          <w:rPr>
            <w:rStyle w:val="Hyperlink"/>
            <w:rFonts w:asciiTheme="minorHAnsi" w:eastAsia="MS Mincho" w:hAnsiTheme="minorHAnsi" w:cstheme="minorHAnsi"/>
            <w:noProof/>
            <w:lang w:eastAsia="ja-JP"/>
          </w:rPr>
          <w:t>REPORT FROM ISG11</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_Toc239261443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224</w:t>
        </w:r>
        <w:r w:rsidR="00B92604" w:rsidRPr="00B845AF">
          <w:rPr>
            <w:rFonts w:asciiTheme="minorHAnsi" w:hAnsiTheme="minorHAnsi" w:cstheme="minorHAnsi"/>
            <w:noProof/>
            <w:webHidden/>
          </w:rPr>
          <w:fldChar w:fldCharType="end"/>
        </w:r>
      </w:hyperlink>
    </w:p>
    <w:p w14:paraId="48B19EB4" w14:textId="5335A638" w:rsidR="00B92604" w:rsidRPr="00B845AF" w:rsidRDefault="00B92604">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4" w:history="1">
        <w:r w:rsidRPr="00B845AF">
          <w:rPr>
            <w:rStyle w:val="Hyperlink"/>
            <w:rFonts w:asciiTheme="minorHAnsi" w:hAnsiTheme="minorHAnsi" w:cstheme="minorHAnsi"/>
            <w:bCs/>
            <w:noProof/>
          </w:rPr>
          <w:t>ATTACHMENT H — REPORT FROM ISG</w:t>
        </w:r>
        <w:r w:rsidR="00503B9A" w:rsidRPr="00B845AF">
          <w:rPr>
            <w:rStyle w:val="Hyperlink"/>
            <w:rFonts w:asciiTheme="minorHAnsi" w:eastAsia="MS Mincho" w:hAnsiTheme="minorHAnsi" w:cstheme="minorHAnsi"/>
            <w:bCs/>
            <w:noProof/>
            <w:lang w:eastAsia="ja-JP"/>
          </w:rPr>
          <w:t>03</w:t>
        </w:r>
        <w:r w:rsidRPr="00B845AF">
          <w:rPr>
            <w:rFonts w:asciiTheme="minorHAnsi" w:hAnsiTheme="minorHAnsi" w:cstheme="minorHAnsi"/>
            <w:noProof/>
            <w:webHidden/>
          </w:rPr>
          <w:tab/>
        </w:r>
        <w:r w:rsidRPr="00B845AF">
          <w:rPr>
            <w:rFonts w:asciiTheme="minorHAnsi" w:hAnsiTheme="minorHAnsi" w:cstheme="minorHAnsi"/>
            <w:noProof/>
            <w:webHidden/>
          </w:rPr>
          <w:fldChar w:fldCharType="begin"/>
        </w:r>
        <w:r w:rsidRPr="00B845AF">
          <w:rPr>
            <w:rFonts w:asciiTheme="minorHAnsi" w:hAnsiTheme="minorHAnsi" w:cstheme="minorHAnsi"/>
            <w:noProof/>
            <w:webHidden/>
          </w:rPr>
          <w:instrText xml:space="preserve"> PAGEREF _Toc239261444 \h </w:instrText>
        </w:r>
        <w:r w:rsidRPr="00B845AF">
          <w:rPr>
            <w:rFonts w:asciiTheme="minorHAnsi" w:hAnsiTheme="minorHAnsi" w:cstheme="minorHAnsi"/>
            <w:noProof/>
            <w:webHidden/>
          </w:rPr>
        </w:r>
        <w:r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225</w:t>
        </w:r>
        <w:r w:rsidRPr="00B845AF">
          <w:rPr>
            <w:rFonts w:asciiTheme="minorHAnsi" w:hAnsiTheme="minorHAnsi" w:cstheme="minorHAnsi"/>
            <w:noProof/>
            <w:webHidden/>
          </w:rPr>
          <w:fldChar w:fldCharType="end"/>
        </w:r>
      </w:hyperlink>
    </w:p>
    <w:p w14:paraId="61222838" w14:textId="7175F492" w:rsidR="00B92604" w:rsidRPr="00B845AF" w:rsidRDefault="0095461A">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5" w:history="1">
        <w:r w:rsidRPr="00B845AF">
          <w:rPr>
            <w:rStyle w:val="Hyperlink"/>
            <w:rFonts w:asciiTheme="minorHAnsi" w:eastAsia="MS Mincho" w:hAnsiTheme="minorHAnsi" w:cstheme="minorHAnsi"/>
            <w:noProof/>
            <w:lang w:eastAsia="ja-JP"/>
          </w:rPr>
          <w:t xml:space="preserve">ATTACHMENT I — </w:t>
        </w:r>
        <w:r w:rsidR="00F74603" w:rsidRPr="00B845AF">
          <w:rPr>
            <w:rStyle w:val="Hyperlink"/>
            <w:rFonts w:asciiTheme="minorHAnsi" w:eastAsia="MS Mincho" w:hAnsiTheme="minorHAnsi" w:cstheme="minorHAnsi"/>
            <w:noProof/>
            <w:lang w:eastAsia="ja-JP"/>
          </w:rPr>
          <w:t>REPORT FROM ISG05</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_Toc239261445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227</w:t>
        </w:r>
        <w:r w:rsidR="00B92604" w:rsidRPr="00B845AF">
          <w:rPr>
            <w:rFonts w:asciiTheme="minorHAnsi" w:hAnsiTheme="minorHAnsi" w:cstheme="minorHAnsi"/>
            <w:noProof/>
            <w:webHidden/>
          </w:rPr>
          <w:fldChar w:fldCharType="end"/>
        </w:r>
      </w:hyperlink>
    </w:p>
    <w:p w14:paraId="766DDB76" w14:textId="59AC1A9D" w:rsidR="00B92604" w:rsidRPr="00B845AF" w:rsidRDefault="00F74603">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6" w:history="1">
        <w:r w:rsidRPr="00B845AF">
          <w:rPr>
            <w:rStyle w:val="Hyperlink"/>
            <w:rFonts w:asciiTheme="minorHAnsi" w:eastAsia="MS Mincho" w:hAnsiTheme="minorHAnsi" w:cstheme="minorHAnsi"/>
            <w:noProof/>
            <w:lang w:eastAsia="ja-JP"/>
          </w:rPr>
          <w:t>ATTACHMENT J — REPORT FROM ISG06</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_Toc239261446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228</w:t>
        </w:r>
        <w:r w:rsidR="00B92604" w:rsidRPr="00B845AF">
          <w:rPr>
            <w:rFonts w:asciiTheme="minorHAnsi" w:hAnsiTheme="minorHAnsi" w:cstheme="minorHAnsi"/>
            <w:noProof/>
            <w:webHidden/>
          </w:rPr>
          <w:fldChar w:fldCharType="end"/>
        </w:r>
      </w:hyperlink>
    </w:p>
    <w:p w14:paraId="6F892604" w14:textId="1613BDA5" w:rsidR="00B92604" w:rsidRPr="00B845AF" w:rsidRDefault="00F74603">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7" w:history="1">
        <w:r w:rsidRPr="00B845AF">
          <w:rPr>
            <w:rStyle w:val="Hyperlink"/>
            <w:rFonts w:asciiTheme="minorHAnsi" w:eastAsia="MS Mincho" w:hAnsiTheme="minorHAnsi" w:cstheme="minorHAnsi"/>
            <w:noProof/>
            <w:lang w:eastAsia="ja-JP"/>
          </w:rPr>
          <w:t>ATTACHMENT K — REPORT FROM ISG07</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_Toc239261447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230</w:t>
        </w:r>
        <w:r w:rsidR="00B92604" w:rsidRPr="00B845AF">
          <w:rPr>
            <w:rFonts w:asciiTheme="minorHAnsi" w:hAnsiTheme="minorHAnsi" w:cstheme="minorHAnsi"/>
            <w:noProof/>
            <w:webHidden/>
          </w:rPr>
          <w:fldChar w:fldCharType="end"/>
        </w:r>
      </w:hyperlink>
    </w:p>
    <w:p w14:paraId="7B8453DF" w14:textId="33EE1F79" w:rsidR="00B92604" w:rsidRPr="00B845AF" w:rsidRDefault="00F74603">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8" w:history="1">
        <w:r w:rsidRPr="00B845AF">
          <w:rPr>
            <w:rStyle w:val="Hyperlink"/>
            <w:rFonts w:asciiTheme="minorHAnsi" w:eastAsia="MS Mincho" w:hAnsiTheme="minorHAnsi" w:cstheme="minorHAnsi"/>
            <w:noProof/>
            <w:lang w:eastAsia="ja-JP"/>
          </w:rPr>
          <w:t xml:space="preserve">ATTACHMENT L — </w:t>
        </w:r>
        <w:r w:rsidR="008071F2" w:rsidRPr="00B845AF">
          <w:rPr>
            <w:rStyle w:val="Hyperlink"/>
            <w:rFonts w:asciiTheme="minorHAnsi" w:eastAsia="MS Mincho" w:hAnsiTheme="minorHAnsi" w:cstheme="minorHAnsi"/>
            <w:noProof/>
            <w:lang w:eastAsia="ja-JP"/>
          </w:rPr>
          <w:t>REPORT FROM ISG08</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_Toc239261448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232</w:t>
        </w:r>
        <w:r w:rsidR="00B92604" w:rsidRPr="00B845AF">
          <w:rPr>
            <w:rFonts w:asciiTheme="minorHAnsi" w:hAnsiTheme="minorHAnsi" w:cstheme="minorHAnsi"/>
            <w:noProof/>
            <w:webHidden/>
          </w:rPr>
          <w:fldChar w:fldCharType="end"/>
        </w:r>
      </w:hyperlink>
    </w:p>
    <w:p w14:paraId="1E928BEC" w14:textId="2340AC3E" w:rsidR="00B92604" w:rsidRPr="00B845AF" w:rsidRDefault="008071F2">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49" w:history="1">
        <w:r w:rsidRPr="00B845AF">
          <w:rPr>
            <w:rStyle w:val="Hyperlink"/>
            <w:rFonts w:asciiTheme="minorHAnsi" w:eastAsia="MS Mincho" w:hAnsiTheme="minorHAnsi" w:cstheme="minorHAnsi"/>
            <w:noProof/>
            <w:lang w:eastAsia="ja-JP"/>
          </w:rPr>
          <w:t>ATTACHMENT M — SUMMARY OF THE SC22 ONLINE DISCUSSION FORUM</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_Toc239261449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234</w:t>
        </w:r>
        <w:r w:rsidR="00B92604" w:rsidRPr="00B845AF">
          <w:rPr>
            <w:rFonts w:asciiTheme="minorHAnsi" w:hAnsiTheme="minorHAnsi" w:cstheme="minorHAnsi"/>
            <w:noProof/>
            <w:webHidden/>
          </w:rPr>
          <w:fldChar w:fldCharType="end"/>
        </w:r>
      </w:hyperlink>
    </w:p>
    <w:p w14:paraId="770EA496" w14:textId="6870EFD4" w:rsidR="00B92604" w:rsidRPr="00B845AF" w:rsidRDefault="00D970D1">
      <w:pPr>
        <w:pStyle w:val="TOC1"/>
        <w:tabs>
          <w:tab w:val="right" w:leader="dot" w:pos="9350"/>
        </w:tabs>
        <w:rPr>
          <w:rFonts w:asciiTheme="minorHAnsi" w:eastAsiaTheme="minorEastAsia" w:hAnsiTheme="minorHAnsi" w:cstheme="minorHAnsi"/>
          <w:noProof/>
          <w:kern w:val="2"/>
          <w:sz w:val="21"/>
          <w:lang w:eastAsia="ja-JP"/>
          <w14:ligatures w14:val="standardContextual"/>
        </w:rPr>
      </w:pPr>
      <w:hyperlink w:anchor="_Toc239261450" w:history="1">
        <w:r w:rsidRPr="00B845AF">
          <w:rPr>
            <w:rStyle w:val="Hyperlink"/>
            <w:rFonts w:asciiTheme="minorHAnsi" w:eastAsia="MS Mincho" w:hAnsiTheme="minorHAnsi" w:cstheme="minorHAnsi"/>
            <w:noProof/>
            <w:lang w:eastAsia="ja-JP"/>
          </w:rPr>
          <w:t>ATTACHMENT N — LIST OF ABBREVIATIONS</w:t>
        </w:r>
        <w:r w:rsidR="00B92604" w:rsidRPr="00B845AF">
          <w:rPr>
            <w:rFonts w:asciiTheme="minorHAnsi" w:hAnsiTheme="minorHAnsi" w:cstheme="minorHAnsi"/>
            <w:noProof/>
            <w:webHidden/>
          </w:rPr>
          <w:tab/>
        </w:r>
        <w:r w:rsidR="00B92604" w:rsidRPr="00B845AF">
          <w:rPr>
            <w:rFonts w:asciiTheme="minorHAnsi" w:hAnsiTheme="minorHAnsi" w:cstheme="minorHAnsi"/>
            <w:noProof/>
            <w:webHidden/>
          </w:rPr>
          <w:fldChar w:fldCharType="begin"/>
        </w:r>
        <w:r w:rsidR="00B92604" w:rsidRPr="00B845AF">
          <w:rPr>
            <w:rFonts w:asciiTheme="minorHAnsi" w:hAnsiTheme="minorHAnsi" w:cstheme="minorHAnsi"/>
            <w:noProof/>
            <w:webHidden/>
          </w:rPr>
          <w:instrText xml:space="preserve"> PAGEREF _Toc239261450 \h </w:instrText>
        </w:r>
        <w:r w:rsidR="00B92604" w:rsidRPr="00B845AF">
          <w:rPr>
            <w:rFonts w:asciiTheme="minorHAnsi" w:hAnsiTheme="minorHAnsi" w:cstheme="minorHAnsi"/>
            <w:noProof/>
            <w:webHidden/>
          </w:rPr>
        </w:r>
        <w:r w:rsidR="00B92604" w:rsidRPr="00B845AF">
          <w:rPr>
            <w:rFonts w:asciiTheme="minorHAnsi" w:hAnsiTheme="minorHAnsi" w:cstheme="minorHAnsi"/>
            <w:noProof/>
            <w:webHidden/>
          </w:rPr>
          <w:fldChar w:fldCharType="separate"/>
        </w:r>
        <w:r w:rsidR="003C6242" w:rsidRPr="00B845AF">
          <w:rPr>
            <w:rFonts w:asciiTheme="minorHAnsi" w:hAnsiTheme="minorHAnsi" w:cstheme="minorHAnsi"/>
            <w:noProof/>
            <w:webHidden/>
          </w:rPr>
          <w:t>264</w:t>
        </w:r>
        <w:r w:rsidR="00B92604" w:rsidRPr="00B845AF">
          <w:rPr>
            <w:rFonts w:asciiTheme="minorHAnsi" w:hAnsiTheme="minorHAnsi" w:cstheme="minorHAnsi"/>
            <w:noProof/>
            <w:webHidden/>
          </w:rPr>
          <w:fldChar w:fldCharType="end"/>
        </w:r>
      </w:hyperlink>
    </w:p>
    <w:p w14:paraId="18EAA7B7" w14:textId="07CD161E" w:rsidR="00E37274" w:rsidRPr="00B845AF" w:rsidRDefault="00472973" w:rsidP="00BB4615">
      <w:pPr>
        <w:jc w:val="both"/>
        <w:rPr>
          <w:rFonts w:asciiTheme="minorHAnsi" w:hAnsiTheme="minorHAnsi" w:cstheme="minorHAnsi"/>
          <w:b/>
          <w:bCs/>
          <w:szCs w:val="22"/>
          <w:lang w:eastAsia="en-NZ"/>
        </w:rPr>
      </w:pPr>
      <w:r w:rsidRPr="00B845AF">
        <w:rPr>
          <w:rFonts w:asciiTheme="minorHAnsi" w:hAnsiTheme="minorHAnsi" w:cstheme="minorHAnsi"/>
          <w:b/>
          <w:bCs/>
          <w:szCs w:val="22"/>
          <w:lang w:eastAsia="en-NZ"/>
        </w:rPr>
        <w:fldChar w:fldCharType="end"/>
      </w:r>
    </w:p>
    <w:p w14:paraId="392DC0A1" w14:textId="00CB930D" w:rsidR="0077252E" w:rsidRPr="00B845AF" w:rsidRDefault="00E37274" w:rsidP="00772250">
      <w:pPr>
        <w:jc w:val="center"/>
        <w:rPr>
          <w:rFonts w:asciiTheme="minorHAnsi" w:hAnsiTheme="minorHAnsi" w:cstheme="minorHAnsi"/>
          <w:b/>
          <w:szCs w:val="22"/>
        </w:rPr>
      </w:pPr>
      <w:r w:rsidRPr="00B845AF">
        <w:rPr>
          <w:rFonts w:asciiTheme="minorHAnsi" w:hAnsiTheme="minorHAnsi" w:cstheme="minorHAnsi"/>
          <w:b/>
          <w:bCs/>
          <w:szCs w:val="22"/>
          <w:lang w:eastAsia="en-NZ"/>
        </w:rPr>
        <w:br w:type="page"/>
      </w:r>
    </w:p>
    <w:p w14:paraId="40866A94" w14:textId="3792F4D9" w:rsidR="0077252E" w:rsidRPr="00B845AF" w:rsidRDefault="0077252E" w:rsidP="001A23E2">
      <w:pPr>
        <w:jc w:val="both"/>
        <w:rPr>
          <w:rFonts w:asciiTheme="minorHAnsi" w:hAnsiTheme="minorHAnsi" w:cstheme="minorHAnsi"/>
          <w:b/>
          <w:bCs/>
          <w:szCs w:val="22"/>
          <w:lang w:eastAsia="en-NZ"/>
        </w:rPr>
        <w:sectPr w:rsidR="0077252E" w:rsidRPr="00B845AF" w:rsidSect="00F14811">
          <w:footerReference w:type="default" r:id="rId12"/>
          <w:footerReference w:type="first" r:id="rId13"/>
          <w:type w:val="continuous"/>
          <w:pgSz w:w="12240" w:h="15840" w:code="1"/>
          <w:pgMar w:top="1296" w:right="1440" w:bottom="1296" w:left="1440" w:header="720" w:footer="432" w:gutter="0"/>
          <w:pgNumType w:fmt="lowerRoman"/>
          <w:cols w:space="720"/>
          <w:titlePg/>
          <w:docGrid w:linePitch="326"/>
        </w:sectPr>
      </w:pPr>
    </w:p>
    <w:p w14:paraId="7760A25D" w14:textId="334E480D" w:rsidR="00E3299F" w:rsidRPr="00B845AF" w:rsidRDefault="00E3299F" w:rsidP="00672D03">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lastRenderedPageBreak/>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5141B442" w14:textId="57AEAB88" w:rsidR="00E3299F" w:rsidRPr="00B845AF" w:rsidRDefault="004A1947" w:rsidP="004A1947">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6D9DD918" w14:textId="0FB707E7" w:rsidR="00E3299F" w:rsidRPr="00B845AF" w:rsidRDefault="004A1947" w:rsidP="00672D03">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w:t>
      </w:r>
      <w:r w:rsidR="00C858EE" w:rsidRPr="00B845AF">
        <w:rPr>
          <w:rFonts w:asciiTheme="minorHAnsi" w:hAnsiTheme="minorHAnsi" w:cstheme="minorHAnsi"/>
          <w:b/>
          <w:bCs/>
          <w:sz w:val="24"/>
          <w:szCs w:val="28"/>
          <w:lang w:eastAsia="en-NZ"/>
        </w:rPr>
        <w:t>SECOND R</w:t>
      </w:r>
      <w:r w:rsidRPr="00B845AF">
        <w:rPr>
          <w:rFonts w:asciiTheme="minorHAnsi" w:hAnsiTheme="minorHAnsi" w:cstheme="minorHAnsi"/>
          <w:b/>
          <w:bCs/>
          <w:sz w:val="24"/>
          <w:szCs w:val="28"/>
          <w:lang w:eastAsia="en-NZ"/>
        </w:rPr>
        <w:t>EGULAR SESSION</w:t>
      </w:r>
    </w:p>
    <w:p w14:paraId="41488B2B" w14:textId="54FEF538" w:rsidR="00672D03" w:rsidRPr="00B845AF" w:rsidRDefault="00672D03" w:rsidP="00672D03">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715BAC99" w14:textId="4626A7BF" w:rsidR="00E37274" w:rsidRPr="00B845AF" w:rsidRDefault="00C858EE" w:rsidP="00672D03">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w:t>
      </w:r>
      <w:r w:rsidR="00672D03" w:rsidRPr="00B845AF">
        <w:rPr>
          <w:rFonts w:asciiTheme="minorHAnsi" w:hAnsiTheme="minorHAnsi" w:cstheme="minorHAnsi"/>
          <w:sz w:val="24"/>
          <w:szCs w:val="28"/>
        </w:rPr>
        <w:t xml:space="preserve">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E37274" w:rsidRPr="00B845AF" w14:paraId="4BC9FEE4" w14:textId="77777777" w:rsidTr="008B503C">
        <w:tc>
          <w:tcPr>
            <w:tcW w:w="9576" w:type="dxa"/>
            <w:hideMark/>
          </w:tcPr>
          <w:p w14:paraId="64F951F5" w14:textId="77777777" w:rsidR="00E37274" w:rsidRPr="00B845AF" w:rsidRDefault="00E37274" w:rsidP="004A1947">
            <w:pPr>
              <w:adjustRightInd w:val="0"/>
              <w:snapToGrid w:val="0"/>
              <w:jc w:val="center"/>
              <w:rPr>
                <w:rFonts w:asciiTheme="minorHAnsi" w:eastAsiaTheme="minorEastAsia" w:hAnsiTheme="minorHAnsi" w:cstheme="minorHAnsi"/>
                <w:b/>
                <w:bCs/>
                <w:sz w:val="24"/>
                <w:lang w:eastAsia="ko-KR"/>
              </w:rPr>
            </w:pPr>
            <w:r w:rsidRPr="00B845AF">
              <w:rPr>
                <w:rFonts w:asciiTheme="minorHAnsi" w:eastAsiaTheme="minorEastAsia" w:hAnsiTheme="minorHAnsi" w:cstheme="minorHAnsi"/>
                <w:b/>
                <w:bCs/>
                <w:sz w:val="24"/>
                <w:lang w:eastAsia="ko-KR"/>
              </w:rPr>
              <w:t>SUMMARY REPORT</w:t>
            </w:r>
            <w:r w:rsidR="00472973" w:rsidRPr="00B845AF">
              <w:rPr>
                <w:rFonts w:asciiTheme="minorHAnsi" w:eastAsiaTheme="minorEastAsia" w:hAnsiTheme="minorHAnsi" w:cstheme="minorHAnsi"/>
                <w:b/>
                <w:bCs/>
                <w:sz w:val="24"/>
                <w:lang w:eastAsia="ko-KR"/>
              </w:rPr>
              <w:fldChar w:fldCharType="begin"/>
            </w:r>
            <w:r w:rsidRPr="00B845AF">
              <w:rPr>
                <w:rFonts w:asciiTheme="minorHAnsi" w:hAnsiTheme="minorHAnsi" w:cstheme="minorHAnsi"/>
                <w:sz w:val="24"/>
              </w:rPr>
              <w:instrText xml:space="preserve"> TC "</w:instrText>
            </w:r>
            <w:bookmarkStart w:id="1" w:name="_Toc522810361"/>
            <w:bookmarkStart w:id="2" w:name="_Toc239261422"/>
            <w:r w:rsidRPr="00B845AF">
              <w:rPr>
                <w:rFonts w:asciiTheme="minorHAnsi" w:eastAsiaTheme="minorEastAsia" w:hAnsiTheme="minorHAnsi" w:cstheme="minorHAnsi"/>
                <w:b/>
                <w:bCs/>
                <w:sz w:val="24"/>
                <w:lang w:eastAsia="ko-KR"/>
              </w:rPr>
              <w:instrText>SUMMARY REPORT</w:instrText>
            </w:r>
            <w:bookmarkEnd w:id="1"/>
            <w:bookmarkEnd w:id="2"/>
            <w:r w:rsidRPr="00B845AF">
              <w:rPr>
                <w:rFonts w:asciiTheme="minorHAnsi" w:hAnsiTheme="minorHAnsi" w:cstheme="minorHAnsi"/>
                <w:sz w:val="24"/>
              </w:rPr>
              <w:instrText xml:space="preserve">" \f C \l "1" </w:instrText>
            </w:r>
            <w:r w:rsidR="00472973" w:rsidRPr="00B845AF">
              <w:rPr>
                <w:rFonts w:asciiTheme="minorHAnsi" w:eastAsiaTheme="minorEastAsia" w:hAnsiTheme="minorHAnsi" w:cstheme="minorHAnsi"/>
                <w:b/>
                <w:bCs/>
                <w:sz w:val="24"/>
                <w:lang w:eastAsia="ko-KR"/>
              </w:rPr>
              <w:fldChar w:fldCharType="end"/>
            </w:r>
          </w:p>
        </w:tc>
      </w:tr>
    </w:tbl>
    <w:p w14:paraId="1F445755" w14:textId="0D779AF2" w:rsidR="00E37274" w:rsidRPr="00B845AF" w:rsidRDefault="00E37274" w:rsidP="001A23E2">
      <w:pPr>
        <w:adjustRightInd w:val="0"/>
        <w:snapToGrid w:val="0"/>
        <w:jc w:val="both"/>
        <w:rPr>
          <w:rFonts w:asciiTheme="minorHAnsi" w:eastAsiaTheme="minorEastAsia" w:hAnsiTheme="minorHAnsi" w:cstheme="minorHAnsi"/>
          <w:bCs/>
          <w:szCs w:val="22"/>
          <w:lang w:eastAsia="ko-KR"/>
        </w:rPr>
      </w:pPr>
    </w:p>
    <w:p w14:paraId="407FFDFF" w14:textId="77777777" w:rsidR="00F532DA" w:rsidRPr="00B845AF" w:rsidRDefault="00F532DA" w:rsidP="001A23E2">
      <w:pPr>
        <w:adjustRightInd w:val="0"/>
        <w:snapToGrid w:val="0"/>
        <w:jc w:val="both"/>
        <w:rPr>
          <w:rFonts w:asciiTheme="minorHAnsi" w:eastAsiaTheme="minorEastAsia" w:hAnsiTheme="minorHAnsi" w:cstheme="minorHAnsi"/>
          <w:bCs/>
          <w:szCs w:val="22"/>
          <w:lang w:eastAsia="ko-KR"/>
        </w:rPr>
      </w:pPr>
      <w:bookmarkStart w:id="3" w:name="_Hlk50018835"/>
    </w:p>
    <w:p w14:paraId="092A3B36" w14:textId="42CA8A0D" w:rsidR="00E41116" w:rsidRPr="00B845AF" w:rsidRDefault="0077252E" w:rsidP="0077252E">
      <w:pPr>
        <w:pStyle w:val="Heading1"/>
        <w:numPr>
          <w:ilvl w:val="0"/>
          <w:numId w:val="0"/>
        </w:numPr>
        <w:spacing w:after="0"/>
        <w:rPr>
          <w:rFonts w:asciiTheme="minorHAnsi" w:hAnsiTheme="minorHAnsi" w:cstheme="minorHAnsi"/>
        </w:rPr>
      </w:pPr>
      <w:r w:rsidRPr="00B845AF">
        <w:rPr>
          <w:rFonts w:asciiTheme="minorHAnsi" w:hAnsiTheme="minorHAnsi" w:cstheme="minorHAnsi"/>
        </w:rPr>
        <w:t xml:space="preserve">AGENDA ITEM 1 </w:t>
      </w:r>
      <w:r w:rsidR="00235F75" w:rsidRPr="00B845AF">
        <w:rPr>
          <w:rFonts w:asciiTheme="minorHAnsi" w:hAnsiTheme="minorHAnsi" w:cstheme="minorHAnsi"/>
        </w:rPr>
        <w:t xml:space="preserve">— </w:t>
      </w:r>
      <w:r w:rsidR="00A83306" w:rsidRPr="00B845AF">
        <w:rPr>
          <w:rFonts w:asciiTheme="minorHAnsi" w:hAnsiTheme="minorHAnsi" w:cstheme="minorHAnsi"/>
        </w:rPr>
        <w:t>OPENING OF THE MEETING</w:t>
      </w:r>
    </w:p>
    <w:p w14:paraId="342E3EAA" w14:textId="07825411" w:rsidR="00A83306" w:rsidRPr="00B845AF" w:rsidRDefault="00472973" w:rsidP="003025F0">
      <w:pPr>
        <w:pStyle w:val="WCPFC"/>
        <w:ind w:left="0" w:firstLine="0"/>
        <w:rPr>
          <w:rFonts w:asciiTheme="minorHAnsi" w:hAnsiTheme="minorHAnsi" w:cstheme="minorHAnsi"/>
          <w:lang w:val="en-US"/>
        </w:rPr>
      </w:pPr>
      <w:r w:rsidRPr="00B845AF">
        <w:rPr>
          <w:rFonts w:asciiTheme="minorHAnsi" w:hAnsiTheme="minorHAnsi" w:cstheme="minorHAnsi"/>
          <w:lang w:val="en-US"/>
        </w:rPr>
        <w:fldChar w:fldCharType="begin"/>
      </w:r>
      <w:r w:rsidR="00BA3E50" w:rsidRPr="00B845AF">
        <w:rPr>
          <w:rFonts w:asciiTheme="minorHAnsi" w:hAnsiTheme="minorHAnsi" w:cstheme="minorHAnsi"/>
          <w:lang w:val="en-US"/>
        </w:rPr>
        <w:instrText xml:space="preserve"> TC "</w:instrText>
      </w:r>
      <w:bookmarkStart w:id="4" w:name="_Toc522810362"/>
      <w:bookmarkStart w:id="5" w:name="_Toc239261423"/>
      <w:r w:rsidR="00BA3E50" w:rsidRPr="00B845AF">
        <w:rPr>
          <w:rFonts w:asciiTheme="minorHAnsi" w:hAnsiTheme="minorHAnsi" w:cstheme="minorHAnsi"/>
          <w:lang w:val="en-US"/>
        </w:rPr>
        <w:instrText>AGENDA ITEM 1 — OPENING OF THE MEETING</w:instrText>
      </w:r>
      <w:bookmarkEnd w:id="4"/>
      <w:bookmarkEnd w:id="5"/>
      <w:r w:rsidR="00BA3E50" w:rsidRPr="00B845AF">
        <w:rPr>
          <w:rFonts w:asciiTheme="minorHAnsi" w:hAnsiTheme="minorHAnsi" w:cstheme="minorHAnsi"/>
          <w:lang w:val="en-US"/>
        </w:rPr>
        <w:instrText xml:space="preserve">" \f C \l "1" </w:instrText>
      </w:r>
      <w:r w:rsidRPr="00B845AF">
        <w:rPr>
          <w:rFonts w:asciiTheme="minorHAnsi" w:hAnsiTheme="minorHAnsi" w:cstheme="minorHAnsi"/>
          <w:lang w:val="en-US"/>
        </w:rPr>
        <w:fldChar w:fldCharType="end"/>
      </w:r>
    </w:p>
    <w:p w14:paraId="4ACC2FA5" w14:textId="1B1CF23A" w:rsidR="00F71D33" w:rsidRPr="00B845AF" w:rsidRDefault="00483C2D">
      <w:pPr>
        <w:pStyle w:val="SCtext"/>
        <w:rPr>
          <w:rFonts w:asciiTheme="minorHAnsi" w:hAnsiTheme="minorHAnsi" w:cstheme="minorHAnsi"/>
          <w:bCs/>
          <w:lang w:val="en-US"/>
        </w:rPr>
      </w:pPr>
      <w:r w:rsidRPr="00B845AF">
        <w:rPr>
          <w:rFonts w:asciiTheme="minorHAnsi" w:hAnsiTheme="minorHAnsi" w:cstheme="minorHAnsi"/>
          <w:lang w:val="en-US"/>
        </w:rPr>
        <w:t xml:space="preserve">The </w:t>
      </w:r>
      <w:r w:rsidR="00865625" w:rsidRPr="00B845AF">
        <w:rPr>
          <w:rFonts w:asciiTheme="minorHAnsi" w:hAnsiTheme="minorHAnsi" w:cstheme="minorHAnsi"/>
          <w:lang w:val="en-US"/>
        </w:rPr>
        <w:t>Twenty-</w:t>
      </w:r>
      <w:r w:rsidR="00C858EE" w:rsidRPr="00B845AF">
        <w:rPr>
          <w:rFonts w:asciiTheme="minorHAnsi" w:hAnsiTheme="minorHAnsi" w:cstheme="minorHAnsi"/>
          <w:lang w:val="en-US"/>
        </w:rPr>
        <w:t>Second</w:t>
      </w:r>
      <w:r w:rsidR="00865625" w:rsidRPr="00B845AF">
        <w:rPr>
          <w:rFonts w:asciiTheme="minorHAnsi" w:hAnsiTheme="minorHAnsi" w:cstheme="minorHAnsi"/>
          <w:lang w:val="en-US"/>
        </w:rPr>
        <w:t xml:space="preserve"> </w:t>
      </w:r>
      <w:r w:rsidRPr="00B845AF">
        <w:rPr>
          <w:rFonts w:asciiTheme="minorHAnsi" w:hAnsiTheme="minorHAnsi" w:cstheme="minorHAnsi"/>
          <w:lang w:val="en-US"/>
        </w:rPr>
        <w:t xml:space="preserve">Regular Session of the Scientific Committee of the Commission for the Conservation and Management of Highly Migratory Fish Stocks in the Western and Central Pacific Ocean </w:t>
      </w:r>
      <w:r w:rsidR="00917BD8" w:rsidRPr="00B845AF">
        <w:rPr>
          <w:rFonts w:asciiTheme="minorHAnsi" w:hAnsiTheme="minorHAnsi" w:cstheme="minorHAnsi"/>
          <w:lang w:val="en-US"/>
        </w:rPr>
        <w:t>(SC</w:t>
      </w:r>
      <w:r w:rsidR="00865625" w:rsidRPr="00B845AF">
        <w:rPr>
          <w:rFonts w:asciiTheme="minorHAnsi" w:hAnsiTheme="minorHAnsi" w:cstheme="minorHAnsi"/>
          <w:lang w:val="en-US"/>
        </w:rPr>
        <w:t>2</w:t>
      </w:r>
      <w:r w:rsidR="00C858EE" w:rsidRPr="00B845AF">
        <w:rPr>
          <w:rFonts w:asciiTheme="minorHAnsi" w:hAnsiTheme="minorHAnsi" w:cstheme="minorHAnsi"/>
          <w:lang w:val="en-US"/>
        </w:rPr>
        <w:t>2</w:t>
      </w:r>
      <w:r w:rsidR="00917BD8" w:rsidRPr="00B845AF">
        <w:rPr>
          <w:rFonts w:asciiTheme="minorHAnsi" w:hAnsiTheme="minorHAnsi" w:cstheme="minorHAnsi"/>
          <w:lang w:val="en-US"/>
        </w:rPr>
        <w:t xml:space="preserve">) </w:t>
      </w:r>
      <w:r w:rsidR="007D649E" w:rsidRPr="00B845AF">
        <w:rPr>
          <w:rFonts w:asciiTheme="minorHAnsi" w:hAnsiTheme="minorHAnsi" w:cstheme="minorHAnsi"/>
          <w:lang w:val="en-US"/>
        </w:rPr>
        <w:t xml:space="preserve">was held in </w:t>
      </w:r>
      <w:r w:rsidR="00C858EE" w:rsidRPr="00B845AF">
        <w:rPr>
          <w:rFonts w:asciiTheme="minorHAnsi" w:hAnsiTheme="minorHAnsi" w:cstheme="minorHAnsi"/>
          <w:lang w:val="en-US"/>
        </w:rPr>
        <w:t>Apia</w:t>
      </w:r>
      <w:r w:rsidR="008A66B2" w:rsidRPr="00B845AF">
        <w:rPr>
          <w:rFonts w:asciiTheme="minorHAnsi" w:hAnsiTheme="minorHAnsi" w:cstheme="minorHAnsi"/>
          <w:lang w:val="en-US"/>
        </w:rPr>
        <w:t>,</w:t>
      </w:r>
      <w:r w:rsidR="00C858EE" w:rsidRPr="00B845AF">
        <w:rPr>
          <w:rFonts w:asciiTheme="minorHAnsi" w:hAnsiTheme="minorHAnsi" w:cstheme="minorHAnsi"/>
          <w:lang w:val="en-US"/>
        </w:rPr>
        <w:t xml:space="preserve"> Samoa,</w:t>
      </w:r>
      <w:r w:rsidR="007D649E" w:rsidRPr="00B845AF">
        <w:rPr>
          <w:rFonts w:asciiTheme="minorHAnsi" w:hAnsiTheme="minorHAnsi" w:cstheme="minorHAnsi"/>
          <w:lang w:val="en-US"/>
        </w:rPr>
        <w:t xml:space="preserve"> over eight </w:t>
      </w:r>
      <w:r w:rsidR="007458BF" w:rsidRPr="00B845AF">
        <w:rPr>
          <w:rFonts w:asciiTheme="minorHAnsi" w:hAnsiTheme="minorHAnsi" w:cstheme="minorHAnsi"/>
          <w:lang w:val="en-US"/>
        </w:rPr>
        <w:t xml:space="preserve">days </w:t>
      </w:r>
      <w:r w:rsidR="007D649E" w:rsidRPr="00B845AF">
        <w:rPr>
          <w:rFonts w:asciiTheme="minorHAnsi" w:hAnsiTheme="minorHAnsi" w:cstheme="minorHAnsi"/>
          <w:lang w:val="en-US"/>
        </w:rPr>
        <w:t>(1</w:t>
      </w:r>
      <w:r w:rsidR="00C858EE" w:rsidRPr="00B845AF">
        <w:rPr>
          <w:rFonts w:asciiTheme="minorHAnsi" w:hAnsiTheme="minorHAnsi" w:cstheme="minorHAnsi"/>
          <w:lang w:val="en-US"/>
        </w:rPr>
        <w:t>1</w:t>
      </w:r>
      <w:r w:rsidR="00917BD8" w:rsidRPr="00B845AF">
        <w:rPr>
          <w:rFonts w:asciiTheme="minorHAnsi" w:hAnsiTheme="minorHAnsi" w:cstheme="minorHAnsi"/>
          <w:lang w:val="en-US"/>
        </w:rPr>
        <w:t>–</w:t>
      </w:r>
      <w:r w:rsidR="00C858EE" w:rsidRPr="00B845AF">
        <w:rPr>
          <w:rFonts w:asciiTheme="minorHAnsi" w:hAnsiTheme="minorHAnsi" w:cstheme="minorHAnsi"/>
          <w:lang w:val="en-US"/>
        </w:rPr>
        <w:t>19</w:t>
      </w:r>
      <w:r w:rsidR="00917BD8" w:rsidRPr="00B845AF">
        <w:rPr>
          <w:rFonts w:asciiTheme="minorHAnsi" w:hAnsiTheme="minorHAnsi" w:cstheme="minorHAnsi"/>
          <w:lang w:val="en-US"/>
        </w:rPr>
        <w:t xml:space="preserve"> </w:t>
      </w:r>
      <w:r w:rsidR="00D666AC" w:rsidRPr="00B845AF">
        <w:rPr>
          <w:rFonts w:asciiTheme="minorHAnsi" w:hAnsiTheme="minorHAnsi" w:cstheme="minorHAnsi"/>
          <w:lang w:val="en-US"/>
        </w:rPr>
        <w:t xml:space="preserve">August </w:t>
      </w:r>
      <w:r w:rsidR="000E5700" w:rsidRPr="00B845AF">
        <w:rPr>
          <w:rFonts w:asciiTheme="minorHAnsi" w:hAnsiTheme="minorHAnsi" w:cstheme="minorHAnsi"/>
          <w:lang w:val="en-US"/>
        </w:rPr>
        <w:t>202</w:t>
      </w:r>
      <w:r w:rsidR="00C858EE" w:rsidRPr="00B845AF">
        <w:rPr>
          <w:rFonts w:asciiTheme="minorHAnsi" w:hAnsiTheme="minorHAnsi" w:cstheme="minorHAnsi"/>
          <w:lang w:val="en-US"/>
        </w:rPr>
        <w:t>6</w:t>
      </w:r>
      <w:r w:rsidR="007D649E" w:rsidRPr="00B845AF">
        <w:rPr>
          <w:rFonts w:asciiTheme="minorHAnsi" w:hAnsiTheme="minorHAnsi" w:cstheme="minorHAnsi"/>
          <w:lang w:val="en-US"/>
        </w:rPr>
        <w:t>)</w:t>
      </w:r>
      <w:r w:rsidRPr="00B845AF">
        <w:rPr>
          <w:rFonts w:asciiTheme="minorHAnsi" w:hAnsiTheme="minorHAnsi" w:cstheme="minorHAnsi"/>
          <w:lang w:val="en-US"/>
        </w:rPr>
        <w:t xml:space="preserve">. </w:t>
      </w:r>
      <w:r w:rsidR="0009493F" w:rsidRPr="00B845AF">
        <w:rPr>
          <w:rFonts w:asciiTheme="minorHAnsi" w:hAnsiTheme="minorHAnsi" w:cstheme="minorHAnsi"/>
          <w:lang w:val="en-US"/>
        </w:rPr>
        <w:t xml:space="preserve">The meeting was chaired by </w:t>
      </w:r>
      <w:r w:rsidR="00FC466E" w:rsidRPr="00B845AF">
        <w:rPr>
          <w:rFonts w:asciiTheme="minorHAnsi" w:hAnsiTheme="minorHAnsi" w:cstheme="minorHAnsi"/>
          <w:lang w:val="en-US"/>
        </w:rPr>
        <w:t>Ms</w:t>
      </w:r>
      <w:r w:rsidR="00236DB6" w:rsidRPr="00B845AF">
        <w:rPr>
          <w:rFonts w:asciiTheme="minorHAnsi" w:hAnsiTheme="minorHAnsi" w:cstheme="minorHAnsi"/>
          <w:lang w:val="en-US"/>
        </w:rPr>
        <w:t>.</w:t>
      </w:r>
      <w:r w:rsidR="00F43D87" w:rsidRPr="00B845AF">
        <w:rPr>
          <w:rFonts w:asciiTheme="minorHAnsi" w:hAnsiTheme="minorHAnsi" w:cstheme="minorHAnsi"/>
          <w:lang w:val="en-US"/>
        </w:rPr>
        <w:t xml:space="preserve"> </w:t>
      </w:r>
      <w:r w:rsidR="00236DB6" w:rsidRPr="00B845AF">
        <w:rPr>
          <w:rFonts w:asciiTheme="minorHAnsi" w:hAnsiTheme="minorHAnsi" w:cstheme="minorHAnsi"/>
          <w:lang w:val="en-US"/>
        </w:rPr>
        <w:t xml:space="preserve">Emily Crigler </w:t>
      </w:r>
      <w:r w:rsidR="00BB20E6" w:rsidRPr="00B845AF">
        <w:rPr>
          <w:rFonts w:asciiTheme="minorHAnsi" w:hAnsiTheme="minorHAnsi" w:cstheme="minorHAnsi"/>
          <w:lang w:val="en-US"/>
        </w:rPr>
        <w:t>(</w:t>
      </w:r>
      <w:r w:rsidR="00236DB6" w:rsidRPr="00B845AF">
        <w:rPr>
          <w:rFonts w:asciiTheme="minorHAnsi" w:hAnsiTheme="minorHAnsi" w:cstheme="minorHAnsi"/>
          <w:lang w:val="en-US"/>
        </w:rPr>
        <w:t>USA</w:t>
      </w:r>
      <w:r w:rsidR="00BB20E6" w:rsidRPr="00B845AF">
        <w:rPr>
          <w:rFonts w:asciiTheme="minorHAnsi" w:hAnsiTheme="minorHAnsi" w:cstheme="minorHAnsi"/>
          <w:lang w:val="en-US"/>
        </w:rPr>
        <w:t>)</w:t>
      </w:r>
      <w:r w:rsidR="00FA2E2B" w:rsidRPr="00B845AF">
        <w:rPr>
          <w:rFonts w:asciiTheme="minorHAnsi" w:hAnsiTheme="minorHAnsi" w:cstheme="minorHAnsi"/>
          <w:lang w:val="en-US"/>
        </w:rPr>
        <w:t>.</w:t>
      </w:r>
    </w:p>
    <w:p w14:paraId="1345B3C0" w14:textId="77777777" w:rsidR="00F71D33" w:rsidRPr="00B845AF" w:rsidRDefault="00F71D33" w:rsidP="00F71D33">
      <w:pPr>
        <w:pStyle w:val="SCtext"/>
        <w:numPr>
          <w:ilvl w:val="0"/>
          <w:numId w:val="0"/>
        </w:numPr>
        <w:rPr>
          <w:rFonts w:asciiTheme="minorHAnsi" w:hAnsiTheme="minorHAnsi" w:cstheme="minorHAnsi"/>
          <w:bCs/>
          <w:lang w:val="en-US"/>
        </w:rPr>
      </w:pPr>
    </w:p>
    <w:p w14:paraId="460AB6F6" w14:textId="3AB756E8" w:rsidR="00F71D33" w:rsidRPr="00B845AF" w:rsidRDefault="00154A67">
      <w:pPr>
        <w:pStyle w:val="SCtext"/>
        <w:rPr>
          <w:rFonts w:asciiTheme="minorHAnsi" w:hAnsiTheme="minorHAnsi" w:cstheme="minorHAnsi"/>
          <w:bCs/>
          <w:lang w:val="en-US"/>
        </w:rPr>
      </w:pPr>
      <w:r w:rsidRPr="00B845AF">
        <w:rPr>
          <w:rFonts w:asciiTheme="minorHAnsi" w:hAnsiTheme="minorHAnsi" w:cstheme="minorHAnsi"/>
          <w:lang w:val="en-US"/>
        </w:rPr>
        <w:t>The following WCPFC Members, Cooperating Non-members and Participating Territories (CCMs) attended SC2</w:t>
      </w:r>
      <w:r w:rsidR="00C858EE" w:rsidRPr="00B845AF">
        <w:rPr>
          <w:rFonts w:asciiTheme="minorHAnsi" w:hAnsiTheme="minorHAnsi" w:cstheme="minorHAnsi"/>
          <w:lang w:val="en-US"/>
        </w:rPr>
        <w:t>2</w:t>
      </w:r>
      <w:r w:rsidRPr="00B845AF">
        <w:rPr>
          <w:rFonts w:asciiTheme="minorHAnsi" w:hAnsiTheme="minorHAnsi" w:cstheme="minorHAnsi"/>
          <w:lang w:val="en-US"/>
        </w:rPr>
        <w:t>: Australia, Canada, China, Cook Islands,</w:t>
      </w:r>
      <w:r w:rsidR="00313106" w:rsidRPr="00B845AF">
        <w:rPr>
          <w:rFonts w:asciiTheme="minorHAnsi" w:hAnsiTheme="minorHAnsi" w:cstheme="minorHAnsi"/>
          <w:lang w:val="en-US"/>
        </w:rPr>
        <w:t xml:space="preserve"> </w:t>
      </w:r>
      <w:r w:rsidRPr="00B845AF">
        <w:rPr>
          <w:rFonts w:asciiTheme="minorHAnsi" w:hAnsiTheme="minorHAnsi" w:cstheme="minorHAnsi"/>
          <w:lang w:val="en-US"/>
        </w:rPr>
        <w:t xml:space="preserve">European Union (EU), Federated States of Micronesia (FSM), Fiji, Indonesia, Japan, Kiribati, </w:t>
      </w:r>
      <w:r w:rsidR="002A1965" w:rsidRPr="00B845AF">
        <w:rPr>
          <w:rFonts w:asciiTheme="minorHAnsi" w:eastAsia="MS Mincho" w:hAnsiTheme="minorHAnsi" w:cstheme="minorHAnsi"/>
          <w:lang w:val="en-US" w:eastAsia="ja-JP"/>
        </w:rPr>
        <w:t>Na</w:t>
      </w:r>
      <w:r w:rsidR="00812835" w:rsidRPr="00B845AF">
        <w:rPr>
          <w:rFonts w:asciiTheme="minorHAnsi" w:eastAsia="MS Mincho" w:hAnsiTheme="minorHAnsi" w:cstheme="minorHAnsi"/>
          <w:lang w:val="en-US" w:eastAsia="ja-JP"/>
        </w:rPr>
        <w:t>oero</w:t>
      </w:r>
      <w:r w:rsidR="002A1965" w:rsidRPr="00B845AF">
        <w:rPr>
          <w:rFonts w:asciiTheme="minorHAnsi" w:eastAsia="MS Mincho" w:hAnsiTheme="minorHAnsi" w:cstheme="minorHAnsi"/>
          <w:lang w:val="en-US" w:eastAsia="ja-JP"/>
        </w:rPr>
        <w:t xml:space="preserve">, </w:t>
      </w:r>
      <w:r w:rsidR="00992605" w:rsidRPr="00B845AF">
        <w:rPr>
          <w:rFonts w:asciiTheme="minorHAnsi" w:eastAsia="MS Mincho" w:hAnsiTheme="minorHAnsi" w:cstheme="minorHAnsi"/>
          <w:lang w:val="en-US" w:eastAsia="ja-JP"/>
        </w:rPr>
        <w:t xml:space="preserve">New Zealand, </w:t>
      </w:r>
      <w:r w:rsidR="00992605" w:rsidRPr="00B845AF">
        <w:rPr>
          <w:rFonts w:asciiTheme="minorHAnsi" w:hAnsiTheme="minorHAnsi" w:cstheme="minorHAnsi"/>
          <w:lang w:val="en-US"/>
        </w:rPr>
        <w:t>Niue, Palau, Papua New Guinea (PNG),</w:t>
      </w:r>
      <w:r w:rsidR="00992605" w:rsidRPr="00B845AF">
        <w:rPr>
          <w:rFonts w:asciiTheme="minorHAnsi" w:eastAsia="MS Mincho" w:hAnsiTheme="minorHAnsi" w:cstheme="minorHAnsi"/>
          <w:lang w:val="en-US" w:eastAsia="ja-JP"/>
        </w:rPr>
        <w:t xml:space="preserve"> </w:t>
      </w:r>
      <w:r w:rsidR="00253BA9" w:rsidRPr="00B845AF">
        <w:rPr>
          <w:rFonts w:asciiTheme="minorHAnsi" w:eastAsia="MS Mincho" w:hAnsiTheme="minorHAnsi" w:cstheme="minorHAnsi"/>
          <w:lang w:val="en-US" w:eastAsia="ja-JP"/>
        </w:rPr>
        <w:t xml:space="preserve">Philippines, </w:t>
      </w:r>
      <w:r w:rsidRPr="00B845AF">
        <w:rPr>
          <w:rFonts w:asciiTheme="minorHAnsi" w:hAnsiTheme="minorHAnsi" w:cstheme="minorHAnsi"/>
          <w:lang w:val="en-US"/>
        </w:rPr>
        <w:t xml:space="preserve">Republic of Korea, Republic of Marshall Islands (RMI), Samoa, Solomon Islands, Chinese Taipei, Tonga, Tuvalu, United States of America (USA), Vanuatu, </w:t>
      </w:r>
      <w:r w:rsidR="001B4B31" w:rsidRPr="00B845AF">
        <w:rPr>
          <w:rFonts w:asciiTheme="minorHAnsi" w:eastAsia="MS Mincho" w:hAnsiTheme="minorHAnsi" w:cstheme="minorHAnsi"/>
          <w:lang w:val="en-US" w:eastAsia="ja-JP"/>
        </w:rPr>
        <w:t xml:space="preserve">American Samoa, </w:t>
      </w:r>
      <w:r w:rsidRPr="00B845AF">
        <w:rPr>
          <w:rFonts w:asciiTheme="minorHAnsi" w:hAnsiTheme="minorHAnsi" w:cstheme="minorHAnsi"/>
          <w:lang w:val="en-US"/>
        </w:rPr>
        <w:t>French Polynesia, New Caledonia, Tokelau</w:t>
      </w:r>
      <w:r w:rsidR="00463011" w:rsidRPr="00B845AF">
        <w:rPr>
          <w:rFonts w:asciiTheme="minorHAnsi" w:eastAsia="MS Mincho" w:hAnsiTheme="minorHAnsi" w:cstheme="minorHAnsi"/>
          <w:lang w:val="en-US" w:eastAsia="ja-JP"/>
        </w:rPr>
        <w:t>, Wallis and Futuna, and Thailand.</w:t>
      </w:r>
    </w:p>
    <w:p w14:paraId="0A7C87ED" w14:textId="77777777" w:rsidR="00F71D33" w:rsidRPr="00B845AF" w:rsidRDefault="00F71D33" w:rsidP="00F71D33">
      <w:pPr>
        <w:pStyle w:val="SCtext"/>
        <w:numPr>
          <w:ilvl w:val="0"/>
          <w:numId w:val="0"/>
        </w:numPr>
        <w:rPr>
          <w:rFonts w:asciiTheme="minorHAnsi" w:hAnsiTheme="minorHAnsi" w:cstheme="minorHAnsi"/>
          <w:bCs/>
          <w:lang w:val="en-US"/>
        </w:rPr>
      </w:pPr>
    </w:p>
    <w:p w14:paraId="2D82DD61" w14:textId="636546CF" w:rsidR="00F71D33" w:rsidRPr="00B845AF" w:rsidRDefault="00154A67">
      <w:pPr>
        <w:pStyle w:val="SCtext"/>
        <w:rPr>
          <w:rFonts w:asciiTheme="minorHAnsi" w:hAnsiTheme="minorHAnsi" w:cstheme="minorHAnsi"/>
          <w:bCs/>
          <w:lang w:val="en-US"/>
        </w:rPr>
      </w:pPr>
      <w:r w:rsidRPr="00B845AF">
        <w:rPr>
          <w:rFonts w:asciiTheme="minorHAnsi" w:hAnsiTheme="minorHAnsi" w:cstheme="minorHAnsi"/>
          <w:lang w:val="en-US"/>
        </w:rPr>
        <w:t xml:space="preserve">Observers from the following </w:t>
      </w:r>
      <w:r w:rsidR="000001DD" w:rsidRPr="00B845AF">
        <w:rPr>
          <w:rFonts w:asciiTheme="minorHAnsi" w:hAnsiTheme="minorHAnsi" w:cstheme="minorHAnsi"/>
          <w:lang w:val="en-US"/>
        </w:rPr>
        <w:t>intergovernmental</w:t>
      </w:r>
      <w:r w:rsidRPr="00B845AF">
        <w:rPr>
          <w:rFonts w:asciiTheme="minorHAnsi" w:hAnsiTheme="minorHAnsi" w:cstheme="minorHAnsi"/>
          <w:lang w:val="en-US"/>
        </w:rPr>
        <w:t xml:space="preserve"> organizations attended SC2</w:t>
      </w:r>
      <w:r w:rsidR="00C858EE" w:rsidRPr="00B845AF">
        <w:rPr>
          <w:rFonts w:asciiTheme="minorHAnsi" w:hAnsiTheme="minorHAnsi" w:cstheme="minorHAnsi"/>
          <w:lang w:val="en-US"/>
        </w:rPr>
        <w:t>2</w:t>
      </w:r>
      <w:r w:rsidRPr="00B845AF">
        <w:rPr>
          <w:rFonts w:asciiTheme="minorHAnsi" w:hAnsiTheme="minorHAnsi" w:cstheme="minorHAnsi"/>
          <w:lang w:val="en-US"/>
        </w:rPr>
        <w:t>: Inter-American Tropical Tuna Commission (IATTC), International Scientific Committee for Tuna and Tuna-like Species in the North Pacific Ocean (ISC), Pacific Islands Forum Fisheries Agency (FFA), Parties to the Nauru Agreement (PNA), the Pacific Community (SPC</w:t>
      </w:r>
      <w:r w:rsidR="00AF0EC8" w:rsidRPr="00B845AF">
        <w:rPr>
          <w:rFonts w:asciiTheme="minorHAnsi" w:hAnsiTheme="minorHAnsi" w:cstheme="minorHAnsi"/>
          <w:lang w:val="en-US"/>
        </w:rPr>
        <w:t>-OFP</w:t>
      </w:r>
      <w:r w:rsidRPr="00B845AF">
        <w:rPr>
          <w:rFonts w:asciiTheme="minorHAnsi" w:hAnsiTheme="minorHAnsi" w:cstheme="minorHAnsi"/>
          <w:lang w:val="en-US"/>
        </w:rPr>
        <w:t>), and the Secretariat of the Pacific Regional Environment Programme (SPREP).</w:t>
      </w:r>
    </w:p>
    <w:p w14:paraId="3B9E267D" w14:textId="77777777" w:rsidR="00F71D33" w:rsidRPr="00B845AF" w:rsidRDefault="00F71D33" w:rsidP="00F71D33">
      <w:pPr>
        <w:pStyle w:val="SCtext"/>
        <w:numPr>
          <w:ilvl w:val="0"/>
          <w:numId w:val="0"/>
        </w:numPr>
        <w:rPr>
          <w:rFonts w:asciiTheme="minorHAnsi" w:hAnsiTheme="minorHAnsi" w:cstheme="minorHAnsi"/>
          <w:bCs/>
          <w:lang w:val="en-US"/>
        </w:rPr>
      </w:pPr>
    </w:p>
    <w:p w14:paraId="1BFB8B22" w14:textId="7DD31F8E" w:rsidR="00154A67" w:rsidRPr="00B845AF" w:rsidRDefault="00154A67">
      <w:pPr>
        <w:pStyle w:val="SCtext"/>
        <w:rPr>
          <w:rFonts w:asciiTheme="minorHAnsi" w:hAnsiTheme="minorHAnsi" w:cstheme="minorHAnsi"/>
          <w:bCs/>
          <w:lang w:val="en-US"/>
        </w:rPr>
      </w:pPr>
      <w:r w:rsidRPr="00B845AF">
        <w:rPr>
          <w:rFonts w:asciiTheme="minorHAnsi" w:hAnsiTheme="minorHAnsi" w:cstheme="minorHAnsi"/>
          <w:lang w:val="en-US"/>
        </w:rPr>
        <w:t>Observers from the following non-governmental organizations attended SC2</w:t>
      </w:r>
      <w:r w:rsidR="00C858EE" w:rsidRPr="00B845AF">
        <w:rPr>
          <w:rFonts w:asciiTheme="minorHAnsi" w:hAnsiTheme="minorHAnsi" w:cstheme="minorHAnsi"/>
          <w:lang w:val="en-US"/>
        </w:rPr>
        <w:t>2</w:t>
      </w:r>
      <w:r w:rsidRPr="00B845AF">
        <w:rPr>
          <w:rFonts w:asciiTheme="minorHAnsi" w:hAnsiTheme="minorHAnsi" w:cstheme="minorHAnsi"/>
          <w:lang w:val="en-US"/>
        </w:rPr>
        <w:t>:</w:t>
      </w:r>
      <w:r w:rsidR="00A8544D" w:rsidRPr="00B845AF">
        <w:rPr>
          <w:rFonts w:asciiTheme="minorHAnsi" w:eastAsia="MS Mincho" w:hAnsiTheme="minorHAnsi" w:cstheme="minorHAnsi"/>
          <w:lang w:val="en-US" w:eastAsia="ja-JP"/>
        </w:rPr>
        <w:t xml:space="preserve"> </w:t>
      </w:r>
      <w:r w:rsidRPr="00B845AF">
        <w:rPr>
          <w:rFonts w:asciiTheme="minorHAnsi" w:hAnsiTheme="minorHAnsi" w:cstheme="minorHAnsi"/>
          <w:lang w:val="en-US"/>
        </w:rPr>
        <w:t xml:space="preserve">Birdlife International, Conservation International (CI), </w:t>
      </w:r>
      <w:r w:rsidR="006B7B6C" w:rsidRPr="00B845AF">
        <w:rPr>
          <w:rFonts w:asciiTheme="minorHAnsi" w:hAnsiTheme="minorHAnsi" w:cstheme="minorHAnsi"/>
          <w:lang w:val="en-US"/>
        </w:rPr>
        <w:t>Global Fishing Watch (GFW)</w:t>
      </w:r>
      <w:r w:rsidR="006B7B6C" w:rsidRPr="00B845AF">
        <w:rPr>
          <w:rFonts w:asciiTheme="minorHAnsi" w:eastAsia="MS Mincho" w:hAnsiTheme="minorHAnsi" w:cstheme="minorHAnsi"/>
          <w:lang w:val="en-US" w:eastAsia="ja-JP"/>
        </w:rPr>
        <w:t>, Global Ghost Gear Initiative (GGGI), The Global Tuna Alliance (GTA),</w:t>
      </w:r>
      <w:r w:rsidR="006B7B6C" w:rsidRPr="00B845AF">
        <w:rPr>
          <w:rFonts w:asciiTheme="minorHAnsi" w:hAnsiTheme="minorHAnsi" w:cstheme="minorHAnsi"/>
          <w:lang w:val="en-US"/>
        </w:rPr>
        <w:t xml:space="preserve"> </w:t>
      </w:r>
      <w:r w:rsidRPr="00B845AF">
        <w:rPr>
          <w:rFonts w:asciiTheme="minorHAnsi" w:hAnsiTheme="minorHAnsi" w:cstheme="minorHAnsi"/>
          <w:lang w:val="en-US"/>
        </w:rPr>
        <w:t xml:space="preserve">International Seafood Sustainability Foundation (ISSF), Marine Stewardship Council, The Nature Conservancy (TNC), The Pew Charitable Trusts (Pew), Sharks Pacific, and </w:t>
      </w:r>
      <w:proofErr w:type="gramStart"/>
      <w:r w:rsidR="00562A25" w:rsidRPr="00B845AF">
        <w:rPr>
          <w:rFonts w:asciiTheme="minorHAnsi" w:hAnsiTheme="minorHAnsi" w:cstheme="minorHAnsi"/>
          <w:lang w:val="en-US"/>
        </w:rPr>
        <w:t>World Wide</w:t>
      </w:r>
      <w:proofErr w:type="gramEnd"/>
      <w:r w:rsidR="00562A25" w:rsidRPr="00B845AF">
        <w:rPr>
          <w:rFonts w:asciiTheme="minorHAnsi" w:hAnsiTheme="minorHAnsi" w:cstheme="minorHAnsi"/>
          <w:lang w:val="en-US"/>
        </w:rPr>
        <w:t xml:space="preserve"> Fund for Nature (WWF)</w:t>
      </w:r>
      <w:r w:rsidRPr="00B845AF">
        <w:rPr>
          <w:rFonts w:asciiTheme="minorHAnsi" w:hAnsiTheme="minorHAnsi" w:cstheme="minorHAnsi"/>
          <w:lang w:val="en-US"/>
        </w:rPr>
        <w:t>.</w:t>
      </w:r>
    </w:p>
    <w:p w14:paraId="27AF3EE4" w14:textId="77777777" w:rsidR="006E4F87" w:rsidRPr="00B845AF" w:rsidRDefault="006E4F87" w:rsidP="001A23E2">
      <w:pPr>
        <w:autoSpaceDE w:val="0"/>
        <w:autoSpaceDN w:val="0"/>
        <w:adjustRightInd w:val="0"/>
        <w:snapToGrid w:val="0"/>
        <w:jc w:val="both"/>
        <w:rPr>
          <w:rFonts w:asciiTheme="minorHAnsi" w:hAnsiTheme="minorHAnsi" w:cstheme="minorHAnsi"/>
          <w:szCs w:val="22"/>
        </w:rPr>
      </w:pPr>
    </w:p>
    <w:p w14:paraId="090C7BE9" w14:textId="51A709FC" w:rsidR="0005316E" w:rsidRPr="00B845AF" w:rsidRDefault="0005316E">
      <w:pPr>
        <w:pStyle w:val="SCtext"/>
        <w:rPr>
          <w:rFonts w:asciiTheme="minorHAnsi" w:hAnsiTheme="minorHAnsi" w:cstheme="minorHAnsi"/>
          <w:bCs/>
          <w:lang w:val="en-US"/>
        </w:rPr>
      </w:pPr>
      <w:r w:rsidRPr="00B845AF">
        <w:rPr>
          <w:rFonts w:asciiTheme="minorHAnsi" w:hAnsiTheme="minorHAnsi" w:cstheme="minorHAnsi"/>
          <w:lang w:val="en-US"/>
        </w:rPr>
        <w:t xml:space="preserve">The list of participants can be found </w:t>
      </w:r>
      <w:r w:rsidR="00154A67" w:rsidRPr="00B845AF">
        <w:rPr>
          <w:rFonts w:asciiTheme="minorHAnsi" w:hAnsiTheme="minorHAnsi" w:cstheme="minorHAnsi"/>
          <w:lang w:val="en-US"/>
        </w:rPr>
        <w:t xml:space="preserve">in </w:t>
      </w:r>
      <w:r w:rsidRPr="00B845AF">
        <w:rPr>
          <w:rFonts w:asciiTheme="minorHAnsi" w:hAnsiTheme="minorHAnsi" w:cstheme="minorHAnsi"/>
          <w:b/>
          <w:lang w:val="en-US"/>
        </w:rPr>
        <w:t>Attachment A</w:t>
      </w:r>
      <w:r w:rsidRPr="00B845AF">
        <w:rPr>
          <w:rFonts w:asciiTheme="minorHAnsi" w:hAnsiTheme="minorHAnsi" w:cstheme="minorHAnsi"/>
          <w:bCs/>
          <w:lang w:val="en-US"/>
        </w:rPr>
        <w:t>.</w:t>
      </w:r>
    </w:p>
    <w:p w14:paraId="3EFA4D45" w14:textId="77777777" w:rsidR="00DD72A8" w:rsidRPr="00B845AF" w:rsidRDefault="00DD72A8" w:rsidP="001A23E2">
      <w:pPr>
        <w:autoSpaceDE w:val="0"/>
        <w:autoSpaceDN w:val="0"/>
        <w:adjustRightInd w:val="0"/>
        <w:snapToGrid w:val="0"/>
        <w:jc w:val="both"/>
        <w:rPr>
          <w:rFonts w:asciiTheme="minorHAnsi" w:hAnsiTheme="minorHAnsi" w:cstheme="minorHAnsi"/>
          <w:bCs/>
          <w:szCs w:val="22"/>
        </w:rPr>
      </w:pPr>
    </w:p>
    <w:p w14:paraId="23732FAD" w14:textId="77777777" w:rsidR="00A83306" w:rsidRPr="00B845AF" w:rsidRDefault="00A83306">
      <w:pPr>
        <w:pStyle w:val="SC2"/>
        <w:spacing w:after="0"/>
        <w:rPr>
          <w:rFonts w:asciiTheme="minorHAnsi" w:hAnsiTheme="minorHAnsi" w:cstheme="minorHAnsi"/>
        </w:rPr>
      </w:pPr>
      <w:r w:rsidRPr="00B845AF">
        <w:rPr>
          <w:rFonts w:asciiTheme="minorHAnsi" w:hAnsiTheme="minorHAnsi" w:cstheme="minorHAnsi"/>
        </w:rPr>
        <w:t>Welcome address</w:t>
      </w:r>
    </w:p>
    <w:p w14:paraId="595B240E" w14:textId="497C5CD6" w:rsidR="00934C65" w:rsidRPr="00B845AF" w:rsidRDefault="00934C65" w:rsidP="001A23E2">
      <w:pPr>
        <w:autoSpaceDE w:val="0"/>
        <w:autoSpaceDN w:val="0"/>
        <w:adjustRightInd w:val="0"/>
        <w:snapToGrid w:val="0"/>
        <w:jc w:val="both"/>
        <w:rPr>
          <w:rFonts w:asciiTheme="minorHAnsi" w:hAnsiTheme="minorHAnsi" w:cstheme="minorHAnsi"/>
          <w:szCs w:val="22"/>
        </w:rPr>
      </w:pPr>
    </w:p>
    <w:p w14:paraId="1E92DE1A" w14:textId="75C024B2" w:rsidR="00A134BA" w:rsidRPr="00B845AF" w:rsidRDefault="00655242">
      <w:pPr>
        <w:pStyle w:val="SCtext"/>
        <w:rPr>
          <w:rFonts w:asciiTheme="minorHAnsi" w:hAnsiTheme="minorHAnsi" w:cstheme="minorHAnsi"/>
          <w:lang w:val="en-US"/>
        </w:rPr>
      </w:pPr>
      <w:proofErr w:type="spellStart"/>
      <w:r w:rsidRPr="00B845AF">
        <w:rPr>
          <w:rFonts w:asciiTheme="minorHAnsi" w:hAnsiTheme="minorHAnsi" w:cstheme="minorHAnsi"/>
          <w:lang w:val="en-US"/>
        </w:rPr>
        <w:t>Afioga</w:t>
      </w:r>
      <w:proofErr w:type="spellEnd"/>
      <w:r w:rsidRPr="00B845AF">
        <w:rPr>
          <w:rFonts w:asciiTheme="minorHAnsi" w:hAnsiTheme="minorHAnsi" w:cstheme="minorHAnsi"/>
          <w:lang w:val="en-US"/>
        </w:rPr>
        <w:t xml:space="preserve"> Afamasaga </w:t>
      </w:r>
      <w:proofErr w:type="spellStart"/>
      <w:r w:rsidRPr="00B845AF">
        <w:rPr>
          <w:rFonts w:asciiTheme="minorHAnsi" w:hAnsiTheme="minorHAnsi" w:cstheme="minorHAnsi"/>
          <w:lang w:val="en-US"/>
        </w:rPr>
        <w:t>Taimalietane</w:t>
      </w:r>
      <w:proofErr w:type="spellEnd"/>
      <w:r w:rsidRPr="00B845AF">
        <w:rPr>
          <w:rFonts w:asciiTheme="minorHAnsi" w:hAnsiTheme="minorHAnsi" w:cstheme="minorHAnsi"/>
          <w:lang w:val="en-US"/>
        </w:rPr>
        <w:t xml:space="preserve"> Matatumua, Chief Executive Officer of the Samoa Ministry of Agriculture and Fisheries, opened proceedings and welcomed delegates on behalf of the Government and people of Samoa to SC22.</w:t>
      </w:r>
    </w:p>
    <w:p w14:paraId="74AC756E" w14:textId="77777777" w:rsidR="00655242" w:rsidRPr="00B845AF" w:rsidRDefault="00655242" w:rsidP="00655242">
      <w:pPr>
        <w:pStyle w:val="SCtext"/>
        <w:numPr>
          <w:ilvl w:val="0"/>
          <w:numId w:val="0"/>
        </w:numPr>
        <w:rPr>
          <w:rFonts w:asciiTheme="minorHAnsi" w:hAnsiTheme="minorHAnsi" w:cstheme="minorHAnsi"/>
          <w:lang w:val="en-US"/>
        </w:rPr>
      </w:pPr>
    </w:p>
    <w:p w14:paraId="54A10F03" w14:textId="350AFA30" w:rsidR="00655242" w:rsidRPr="00B845AF" w:rsidRDefault="00655242">
      <w:pPr>
        <w:pStyle w:val="SCtext"/>
        <w:rPr>
          <w:rFonts w:asciiTheme="minorHAnsi" w:hAnsiTheme="minorHAnsi" w:cstheme="minorHAnsi"/>
          <w:lang w:val="en-US"/>
        </w:rPr>
      </w:pPr>
      <w:r w:rsidRPr="00B845AF">
        <w:rPr>
          <w:rFonts w:asciiTheme="minorHAnsi" w:hAnsiTheme="minorHAnsi" w:cstheme="minorHAnsi"/>
          <w:lang w:val="en-US"/>
        </w:rPr>
        <w:t>The Rev. Dr. Latu Latai gave the opening prayer.</w:t>
      </w:r>
    </w:p>
    <w:p w14:paraId="453CFAB5" w14:textId="77777777" w:rsidR="00AF55D0" w:rsidRPr="00B845AF" w:rsidRDefault="00AF55D0" w:rsidP="00AF55D0">
      <w:pPr>
        <w:pStyle w:val="SCtext"/>
        <w:numPr>
          <w:ilvl w:val="0"/>
          <w:numId w:val="0"/>
        </w:numPr>
        <w:rPr>
          <w:rFonts w:asciiTheme="minorHAnsi" w:hAnsiTheme="minorHAnsi" w:cstheme="minorHAnsi"/>
          <w:lang w:val="en-US"/>
        </w:rPr>
      </w:pPr>
    </w:p>
    <w:p w14:paraId="0A7F06A5" w14:textId="059BD46C" w:rsidR="0051242F" w:rsidRPr="00B845AF" w:rsidRDefault="00655242">
      <w:pPr>
        <w:pStyle w:val="SCtext"/>
        <w:rPr>
          <w:rFonts w:asciiTheme="minorHAnsi" w:hAnsiTheme="minorHAnsi" w:cstheme="minorHAnsi"/>
          <w:lang w:val="en-US"/>
        </w:rPr>
      </w:pPr>
      <w:proofErr w:type="spellStart"/>
      <w:r w:rsidRPr="00B845AF">
        <w:rPr>
          <w:rFonts w:asciiTheme="minorHAnsi" w:hAnsiTheme="minorHAnsi" w:cstheme="minorHAnsi"/>
          <w:lang w:val="en-US"/>
        </w:rPr>
        <w:t>Afioga</w:t>
      </w:r>
      <w:proofErr w:type="spellEnd"/>
      <w:r w:rsidRPr="00B845AF">
        <w:rPr>
          <w:rFonts w:asciiTheme="minorHAnsi" w:hAnsiTheme="minorHAnsi" w:cstheme="minorHAnsi"/>
          <w:lang w:val="en-US"/>
        </w:rPr>
        <w:t xml:space="preserve"> </w:t>
      </w:r>
      <w:proofErr w:type="spellStart"/>
      <w:r w:rsidRPr="00B845AF">
        <w:rPr>
          <w:rFonts w:asciiTheme="minorHAnsi" w:hAnsiTheme="minorHAnsi" w:cstheme="minorHAnsi"/>
          <w:lang w:val="en-US"/>
        </w:rPr>
        <w:t>Laaulialemalietoa</w:t>
      </w:r>
      <w:proofErr w:type="spellEnd"/>
      <w:r w:rsidRPr="00B845AF">
        <w:rPr>
          <w:rFonts w:asciiTheme="minorHAnsi" w:hAnsiTheme="minorHAnsi" w:cstheme="minorHAnsi"/>
          <w:lang w:val="en-US"/>
        </w:rPr>
        <w:t xml:space="preserve"> </w:t>
      </w:r>
      <w:proofErr w:type="spellStart"/>
      <w:r w:rsidRPr="00B845AF">
        <w:rPr>
          <w:rFonts w:asciiTheme="minorHAnsi" w:hAnsiTheme="minorHAnsi" w:cstheme="minorHAnsi"/>
          <w:lang w:val="en-US"/>
        </w:rPr>
        <w:t>Leuatea</w:t>
      </w:r>
      <w:proofErr w:type="spellEnd"/>
      <w:r w:rsidRPr="00B845AF">
        <w:rPr>
          <w:rFonts w:asciiTheme="minorHAnsi" w:hAnsiTheme="minorHAnsi" w:cstheme="minorHAnsi"/>
          <w:lang w:val="en-US"/>
        </w:rPr>
        <w:t xml:space="preserve"> Polataivao Fosi Schmidt, Prime Minister of Samoa, welcomed delegates, executive leadership, theme conven</w:t>
      </w:r>
      <w:r w:rsidR="00A037B7" w:rsidRPr="00B845AF">
        <w:rPr>
          <w:rFonts w:asciiTheme="minorHAnsi" w:hAnsiTheme="minorHAnsi" w:cstheme="minorHAnsi"/>
          <w:lang w:val="en-US"/>
        </w:rPr>
        <w:t>e</w:t>
      </w:r>
      <w:r w:rsidRPr="00B845AF">
        <w:rPr>
          <w:rFonts w:asciiTheme="minorHAnsi" w:hAnsiTheme="minorHAnsi" w:cstheme="minorHAnsi"/>
          <w:lang w:val="en-US"/>
        </w:rPr>
        <w:t xml:space="preserve">rs, and observers to Samoa, noting that a traditional </w:t>
      </w:r>
      <w:r w:rsidRPr="00B845AF">
        <w:rPr>
          <w:rFonts w:asciiTheme="minorHAnsi" w:hAnsiTheme="minorHAnsi" w:cstheme="minorHAnsi"/>
          <w:lang w:val="en-US"/>
        </w:rPr>
        <w:lastRenderedPageBreak/>
        <w:t>welcome ceremony had been held for delegations the previous day in accordance with Samoan custom. He thanked participants for making the journey to Samoa for SC22 and stated that it was fitting for the Committee’s work to be carried out in the heart of the Pacific, for the people of the Pacific Ocean. He noted that tuna and other fisheries underpin Samoa’s economy, food security, and livelihoods, and stated that the decisions of the Committee are felt directly by Pacific communities. He welcomed the Committee’s continued work to strengthen the scientific underpinnings of fisheries management, including progress on scientific data submission standards, and encouraged the Committee to ensure that scientific advice is built on consistent standards and evidence as new data requirements and monitoring systems are developed. He further encouraged the Committee to consider the sustainability of its own growing workload. He wished participants a productive session.</w:t>
      </w:r>
      <w:r w:rsidR="005F4E2D" w:rsidRPr="00B845AF">
        <w:rPr>
          <w:rFonts w:asciiTheme="minorHAnsi" w:hAnsiTheme="minorHAnsi" w:cstheme="minorHAnsi"/>
          <w:lang w:val="en-US"/>
        </w:rPr>
        <w:t xml:space="preserve"> </w:t>
      </w:r>
      <w:r w:rsidR="007D1414" w:rsidRPr="00B845AF">
        <w:rPr>
          <w:rFonts w:asciiTheme="minorHAnsi" w:hAnsiTheme="minorHAnsi" w:cstheme="minorHAnsi"/>
          <w:lang w:val="en-US"/>
        </w:rPr>
        <w:t>His complete statement is in</w:t>
      </w:r>
      <w:r w:rsidR="00D71153" w:rsidRPr="00B845AF">
        <w:rPr>
          <w:rFonts w:asciiTheme="minorHAnsi" w:hAnsiTheme="minorHAnsi" w:cstheme="minorHAnsi"/>
          <w:lang w:val="en-US"/>
        </w:rPr>
        <w:t xml:space="preserve"> </w:t>
      </w:r>
      <w:r w:rsidR="00D71153" w:rsidRPr="00B845AF">
        <w:rPr>
          <w:rFonts w:asciiTheme="minorHAnsi" w:hAnsiTheme="minorHAnsi" w:cstheme="minorHAnsi"/>
          <w:b/>
          <w:bCs/>
          <w:lang w:val="en-US"/>
        </w:rPr>
        <w:t xml:space="preserve">Attachment </w:t>
      </w:r>
      <w:r w:rsidR="00AB337F" w:rsidRPr="00B845AF">
        <w:rPr>
          <w:rFonts w:asciiTheme="minorHAnsi" w:hAnsiTheme="minorHAnsi" w:cstheme="minorHAnsi"/>
          <w:b/>
          <w:bCs/>
          <w:lang w:val="en-US"/>
        </w:rPr>
        <w:t>B</w:t>
      </w:r>
      <w:r w:rsidR="007D1414" w:rsidRPr="00B845AF">
        <w:rPr>
          <w:rFonts w:asciiTheme="minorHAnsi" w:hAnsiTheme="minorHAnsi" w:cstheme="minorHAnsi"/>
          <w:lang w:val="en-US"/>
        </w:rPr>
        <w:t>.</w:t>
      </w:r>
    </w:p>
    <w:p w14:paraId="37ED8675" w14:textId="77777777" w:rsidR="002D3925" w:rsidRPr="00B845AF" w:rsidRDefault="002D3925" w:rsidP="003F77FA">
      <w:pPr>
        <w:pStyle w:val="SCtext"/>
        <w:numPr>
          <w:ilvl w:val="0"/>
          <w:numId w:val="0"/>
        </w:numPr>
        <w:rPr>
          <w:rFonts w:asciiTheme="minorHAnsi" w:hAnsiTheme="minorHAnsi" w:cstheme="minorHAnsi"/>
          <w:lang w:val="en-US"/>
        </w:rPr>
      </w:pPr>
    </w:p>
    <w:p w14:paraId="25AF8026" w14:textId="6A46FFDE" w:rsidR="003C1456" w:rsidRPr="00B845AF" w:rsidRDefault="004A3AB6">
      <w:pPr>
        <w:pStyle w:val="SCtext"/>
        <w:rPr>
          <w:rFonts w:asciiTheme="minorHAnsi" w:hAnsiTheme="minorHAnsi" w:cstheme="minorHAnsi"/>
          <w:lang w:val="en-US"/>
        </w:rPr>
      </w:pPr>
      <w:r w:rsidRPr="00B845AF">
        <w:rPr>
          <w:rFonts w:asciiTheme="minorHAnsi" w:hAnsiTheme="minorHAnsi" w:cstheme="minorHAnsi"/>
          <w:lang w:val="en-US"/>
        </w:rPr>
        <w:t xml:space="preserve">Dr. Josie Tamate, WCPFC Chair, acknowledged the Prime Minister, Cabinet Ministers, the SC Chair and Vice-Chair, the WCPFC Executive Director, the Scientific Services Provider, and delegates, and thanked the Government of Samoa for its welcome and hospitality. She noted that SC22 would be her last Scientific Committee meeting as WCPFC </w:t>
      </w:r>
      <w:r w:rsidR="00F14811" w:rsidRPr="00B845AF">
        <w:rPr>
          <w:rFonts w:asciiTheme="minorHAnsi" w:hAnsiTheme="minorHAnsi" w:cstheme="minorHAnsi"/>
          <w:lang w:val="en-US"/>
        </w:rPr>
        <w:t>Chair and</w:t>
      </w:r>
      <w:r w:rsidRPr="00B845AF">
        <w:rPr>
          <w:rFonts w:asciiTheme="minorHAnsi" w:hAnsiTheme="minorHAnsi" w:cstheme="minorHAnsi"/>
          <w:lang w:val="en-US"/>
        </w:rPr>
        <w:t xml:space="preserve"> reflected on her experience over four years in the role, stating that the Commission’s decisions rely on the scientific advice and recommendations produced by the Committee. She thanked the Scientific Committee for its work in ensuring the sustainability of Pacific tuna stocks and encouraged delegates to continue that work to a high standard. She reported that harvest strategy work is well advanced, noting that a skipjack tuna management procedure was adopted at the Commission’s meeting in Manila, and that further work is required to finalize an implementing measure, which she stated her goal of having adopted in December 2026. She stated that the bigeye tuna management procedure is also expected to be </w:t>
      </w:r>
      <w:r w:rsidR="00F14811" w:rsidRPr="00B845AF">
        <w:rPr>
          <w:rFonts w:asciiTheme="minorHAnsi" w:hAnsiTheme="minorHAnsi" w:cstheme="minorHAnsi"/>
          <w:lang w:val="en-US"/>
        </w:rPr>
        <w:t>adopted and</w:t>
      </w:r>
      <w:r w:rsidRPr="00B845AF">
        <w:rPr>
          <w:rFonts w:asciiTheme="minorHAnsi" w:hAnsiTheme="minorHAnsi" w:cstheme="minorHAnsi"/>
          <w:lang w:val="en-US"/>
        </w:rPr>
        <w:t xml:space="preserve"> encouraged SC22 to progress this work as far as possible, including by identifying issues, concerns, and further work needed from SPC ahead of the Commission meeting in December. She noted that the Commission is expected to adopt a Pacific bluefin tuna management procedure at WCPFC23, alongside a revision of the relevant conservation and management measure. She thanked </w:t>
      </w:r>
      <w:r w:rsidR="008851E3" w:rsidRPr="00B845AF">
        <w:rPr>
          <w:rFonts w:asciiTheme="minorHAnsi" w:hAnsiTheme="minorHAnsi" w:cstheme="minorHAnsi"/>
          <w:lang w:val="en-US"/>
        </w:rPr>
        <w:t>SPC</w:t>
      </w:r>
      <w:r w:rsidRPr="00B845AF">
        <w:rPr>
          <w:rFonts w:asciiTheme="minorHAnsi" w:hAnsiTheme="minorHAnsi" w:cstheme="minorHAnsi"/>
          <w:lang w:val="en-US"/>
        </w:rPr>
        <w:t>, theme conven</w:t>
      </w:r>
      <w:r w:rsidR="00A037B7" w:rsidRPr="00B845AF">
        <w:rPr>
          <w:rFonts w:asciiTheme="minorHAnsi" w:hAnsiTheme="minorHAnsi" w:cstheme="minorHAnsi"/>
          <w:lang w:val="en-US"/>
        </w:rPr>
        <w:t>e</w:t>
      </w:r>
      <w:r w:rsidRPr="00B845AF">
        <w:rPr>
          <w:rFonts w:asciiTheme="minorHAnsi" w:hAnsiTheme="minorHAnsi" w:cstheme="minorHAnsi"/>
          <w:lang w:val="en-US"/>
        </w:rPr>
        <w:t xml:space="preserve">rs, the SC Chair and Vice-Chair, the Executive Director, and the Secretariat for their work in preparing for </w:t>
      </w:r>
      <w:r w:rsidR="00F14811" w:rsidRPr="00B845AF">
        <w:rPr>
          <w:rFonts w:asciiTheme="minorHAnsi" w:hAnsiTheme="minorHAnsi" w:cstheme="minorHAnsi"/>
          <w:lang w:val="en-US"/>
        </w:rPr>
        <w:t>SC22 and</w:t>
      </w:r>
      <w:r w:rsidRPr="00B845AF">
        <w:rPr>
          <w:rFonts w:asciiTheme="minorHAnsi" w:hAnsiTheme="minorHAnsi" w:cstheme="minorHAnsi"/>
          <w:lang w:val="en-US"/>
        </w:rPr>
        <w:t xml:space="preserve"> thanked the Prime Minister and the Ministry of Agriculture and Fisheries for their hospitality and logistical support</w:t>
      </w:r>
      <w:r w:rsidR="003C1456" w:rsidRPr="00B845AF">
        <w:rPr>
          <w:rFonts w:asciiTheme="minorHAnsi" w:hAnsiTheme="minorHAnsi" w:cstheme="minorHAnsi"/>
          <w:lang w:val="en-US"/>
        </w:rPr>
        <w:t xml:space="preserve">. </w:t>
      </w:r>
      <w:r w:rsidR="007D1414" w:rsidRPr="00B845AF">
        <w:rPr>
          <w:rFonts w:asciiTheme="minorHAnsi" w:hAnsiTheme="minorHAnsi" w:cstheme="minorHAnsi"/>
          <w:lang w:val="en-US"/>
        </w:rPr>
        <w:t>H</w:t>
      </w:r>
      <w:r w:rsidRPr="00B845AF">
        <w:rPr>
          <w:rFonts w:asciiTheme="minorHAnsi" w:hAnsiTheme="minorHAnsi" w:cstheme="minorHAnsi"/>
          <w:lang w:val="en-US"/>
        </w:rPr>
        <w:t>er</w:t>
      </w:r>
      <w:r w:rsidR="007D1414" w:rsidRPr="00B845AF">
        <w:rPr>
          <w:rFonts w:asciiTheme="minorHAnsi" w:hAnsiTheme="minorHAnsi" w:cstheme="minorHAnsi"/>
          <w:lang w:val="en-US"/>
        </w:rPr>
        <w:t xml:space="preserve"> complete statement is in </w:t>
      </w:r>
      <w:r w:rsidR="00D71153" w:rsidRPr="00B845AF">
        <w:rPr>
          <w:rFonts w:asciiTheme="minorHAnsi" w:hAnsiTheme="minorHAnsi" w:cstheme="minorHAnsi"/>
          <w:b/>
          <w:bCs/>
          <w:lang w:val="en-US"/>
        </w:rPr>
        <w:t xml:space="preserve">Attachment </w:t>
      </w:r>
      <w:r w:rsidR="00AB337F" w:rsidRPr="00B845AF">
        <w:rPr>
          <w:rFonts w:asciiTheme="minorHAnsi" w:hAnsiTheme="minorHAnsi" w:cstheme="minorHAnsi"/>
          <w:b/>
          <w:bCs/>
          <w:lang w:val="en-US"/>
        </w:rPr>
        <w:t>C</w:t>
      </w:r>
      <w:r w:rsidR="007D1414" w:rsidRPr="00B845AF">
        <w:rPr>
          <w:rFonts w:asciiTheme="minorHAnsi" w:hAnsiTheme="minorHAnsi" w:cstheme="minorHAnsi"/>
          <w:lang w:val="en-US"/>
        </w:rPr>
        <w:t>.</w:t>
      </w:r>
    </w:p>
    <w:p w14:paraId="13A4FAB8" w14:textId="4F2CDCEB" w:rsidR="006C4836" w:rsidRPr="00B845AF" w:rsidRDefault="006C4836" w:rsidP="003F77FA">
      <w:pPr>
        <w:pStyle w:val="SCtext"/>
        <w:numPr>
          <w:ilvl w:val="0"/>
          <w:numId w:val="0"/>
        </w:numPr>
        <w:rPr>
          <w:rFonts w:asciiTheme="minorHAnsi" w:hAnsiTheme="minorHAnsi" w:cstheme="minorHAnsi"/>
          <w:lang w:val="en-US"/>
        </w:rPr>
      </w:pPr>
    </w:p>
    <w:p w14:paraId="51526A79" w14:textId="25917137" w:rsidR="000400F0" w:rsidRPr="00B845AF" w:rsidRDefault="004A3AB6">
      <w:pPr>
        <w:pStyle w:val="SCtext"/>
        <w:rPr>
          <w:rFonts w:asciiTheme="minorHAnsi" w:hAnsiTheme="minorHAnsi" w:cstheme="minorHAnsi"/>
          <w:lang w:val="en-US"/>
        </w:rPr>
      </w:pPr>
      <w:r w:rsidRPr="00B845AF">
        <w:rPr>
          <w:rFonts w:asciiTheme="minorHAnsi" w:hAnsiTheme="minorHAnsi" w:cstheme="minorHAnsi"/>
          <w:lang w:val="en-US"/>
        </w:rPr>
        <w:t>The SC Chair, Ms. Emily Crigler, thanked the WCPFC Chair, the Executive Director, and delegates, and echoed the Commission Chair’s gratitude to the Prime Minister, Ministers, and the Government and people of Samoa for their hospitality. She thanked the SSP for its work in preparing for SC22, and thanked the Secretariat, including the Science Manager and Secretariat support staff, for their contributions. She noted that the Committee’s work would provide the scientific foundation for management decisions affecting some of the highest-value tuna fisheries in the world, with direct consequences for the economies, food security, and livelihoods of communities that depend on them. She stated that the scientific advice produced by the Committee must be robust, transparent, and well considered, and that although delegates would not always agree, the shared goal is to ensure that fisheries management is grounded in the best available scientific information. She encouraged delegates to engage constructively, respect differing perspectives, and work toward shared objectives over the course of the meeting.</w:t>
      </w:r>
    </w:p>
    <w:p w14:paraId="5A6E8132" w14:textId="77777777" w:rsidR="000400F0" w:rsidRPr="00B845AF" w:rsidRDefault="000400F0" w:rsidP="00BD738B">
      <w:pPr>
        <w:pStyle w:val="SCtext"/>
        <w:numPr>
          <w:ilvl w:val="0"/>
          <w:numId w:val="0"/>
        </w:numPr>
        <w:rPr>
          <w:rFonts w:asciiTheme="minorHAnsi" w:hAnsiTheme="minorHAnsi" w:cstheme="minorHAnsi"/>
          <w:lang w:val="en-US"/>
        </w:rPr>
      </w:pPr>
    </w:p>
    <w:p w14:paraId="79C79C7F" w14:textId="73CB023F" w:rsidR="008C5EEE" w:rsidRPr="00B845AF" w:rsidRDefault="004A3AB6">
      <w:pPr>
        <w:pStyle w:val="SCtext"/>
        <w:rPr>
          <w:rFonts w:asciiTheme="minorHAnsi" w:hAnsiTheme="minorHAnsi" w:cstheme="minorHAnsi"/>
          <w:lang w:val="en-US"/>
        </w:rPr>
      </w:pPr>
      <w:r w:rsidRPr="00B845AF">
        <w:rPr>
          <w:rFonts w:asciiTheme="minorHAnsi" w:hAnsiTheme="minorHAnsi" w:cstheme="minorHAnsi"/>
          <w:lang w:val="en-US"/>
        </w:rPr>
        <w:t xml:space="preserve">Ms. Rhea Moss-Christian, WCPFC Executive Director, thanked the Government of Samoa for its welcome, and reflected on the history of the Scientific Committee’s work, noting that its predecessor, the Standing Committee on Tuna and Billfish, held its first meeting in 1988, and that the scientific and data collection framework developed over the following years continues to underpin the Committee’s work today. She noted that early efforts included the establishment of a regional tuna tagging program and the </w:t>
      </w:r>
      <w:r w:rsidRPr="00B845AF">
        <w:rPr>
          <w:rFonts w:asciiTheme="minorHAnsi" w:hAnsiTheme="minorHAnsi" w:cstheme="minorHAnsi"/>
          <w:lang w:val="en-US"/>
        </w:rPr>
        <w:lastRenderedPageBreak/>
        <w:t xml:space="preserve">development of a regional tuna database, and that research on tuna stocks has expanded over time to encompass albacore, bigeye, and other stocks. She stated that SC22 would consider yellowfin and bigeye tuna stock assessments and a recently peer-reviewed Pacific bluefin tuna stock </w:t>
      </w:r>
      <w:r w:rsidR="00F14811" w:rsidRPr="00B845AF">
        <w:rPr>
          <w:rFonts w:asciiTheme="minorHAnsi" w:hAnsiTheme="minorHAnsi" w:cstheme="minorHAnsi"/>
          <w:lang w:val="en-US"/>
        </w:rPr>
        <w:t>assessment and</w:t>
      </w:r>
      <w:r w:rsidRPr="00B845AF">
        <w:rPr>
          <w:rFonts w:asciiTheme="minorHAnsi" w:hAnsiTheme="minorHAnsi" w:cstheme="minorHAnsi"/>
          <w:lang w:val="en-US"/>
        </w:rPr>
        <w:t xml:space="preserve"> would consider management advice for bigeye tuna. She noted that although approximately 80% of tuna catch in the Convention Area is taken from the waters of coastal states, high seas governance nonetheless has a direct impact on the management of these stocks, and stated that emerging issues, including deep-sea mining, will test ocean governance frameworks and require the Commission to consider carefully its approach to ecosystem management, climate change, and capacity building for small island territories. She thanked the SSP for its work over the past three decades and thanked the SC Chair for her leadership. She thanked the Prime Minister and Cabinet for their presence and stated that the Secretariat looked forward to supporting the Committee over the course of SC22. </w:t>
      </w:r>
      <w:r w:rsidR="007D1414" w:rsidRPr="00B845AF">
        <w:rPr>
          <w:rFonts w:asciiTheme="minorHAnsi" w:hAnsiTheme="minorHAnsi" w:cstheme="minorHAnsi"/>
          <w:lang w:val="en-US"/>
        </w:rPr>
        <w:t xml:space="preserve">Her complete statement </w:t>
      </w:r>
      <w:r w:rsidR="008D68AE" w:rsidRPr="00B845AF">
        <w:rPr>
          <w:rFonts w:asciiTheme="minorHAnsi" w:hAnsiTheme="minorHAnsi" w:cstheme="minorHAnsi"/>
          <w:lang w:val="en-US"/>
        </w:rPr>
        <w:t>can be found</w:t>
      </w:r>
      <w:r w:rsidR="007D1414" w:rsidRPr="00B845AF">
        <w:rPr>
          <w:rFonts w:asciiTheme="minorHAnsi" w:hAnsiTheme="minorHAnsi" w:cstheme="minorHAnsi"/>
          <w:lang w:val="en-US"/>
        </w:rPr>
        <w:t xml:space="preserve"> in </w:t>
      </w:r>
      <w:r w:rsidR="00D71153" w:rsidRPr="00B845AF">
        <w:rPr>
          <w:rFonts w:asciiTheme="minorHAnsi" w:hAnsiTheme="minorHAnsi" w:cstheme="minorHAnsi"/>
          <w:b/>
          <w:bCs/>
          <w:lang w:val="en-US"/>
        </w:rPr>
        <w:t>Attachment</w:t>
      </w:r>
      <w:r w:rsidR="00473943" w:rsidRPr="00B845AF">
        <w:rPr>
          <w:rFonts w:asciiTheme="minorHAnsi" w:hAnsiTheme="minorHAnsi" w:cstheme="minorHAnsi"/>
          <w:b/>
          <w:bCs/>
          <w:lang w:val="en-US"/>
        </w:rPr>
        <w:t xml:space="preserve"> </w:t>
      </w:r>
      <w:r w:rsidR="00790709" w:rsidRPr="00B845AF">
        <w:rPr>
          <w:rFonts w:asciiTheme="minorHAnsi" w:hAnsiTheme="minorHAnsi" w:cstheme="minorHAnsi"/>
          <w:b/>
          <w:bCs/>
          <w:lang w:val="en-US"/>
        </w:rPr>
        <w:t>D</w:t>
      </w:r>
      <w:r w:rsidR="007D1414" w:rsidRPr="00B845AF">
        <w:rPr>
          <w:rFonts w:asciiTheme="minorHAnsi" w:hAnsiTheme="minorHAnsi" w:cstheme="minorHAnsi"/>
          <w:lang w:val="en-US"/>
        </w:rPr>
        <w:t>.</w:t>
      </w:r>
    </w:p>
    <w:p w14:paraId="66DCDF7E" w14:textId="1A85B4D5" w:rsidR="00111F32" w:rsidRPr="00B845AF" w:rsidRDefault="00111F32" w:rsidP="00D71153">
      <w:pPr>
        <w:pStyle w:val="WCPFC"/>
        <w:rPr>
          <w:rFonts w:asciiTheme="minorHAnsi" w:eastAsia="Batang" w:hAnsiTheme="minorHAnsi" w:cstheme="minorHAnsi"/>
          <w:lang w:val="en-US" w:eastAsia="ko-KR"/>
        </w:rPr>
      </w:pPr>
    </w:p>
    <w:p w14:paraId="4276D89D" w14:textId="77777777" w:rsidR="00A2122B" w:rsidRPr="00B845AF" w:rsidRDefault="00A2122B">
      <w:pPr>
        <w:pStyle w:val="SC2"/>
        <w:spacing w:after="0"/>
        <w:rPr>
          <w:rFonts w:asciiTheme="minorHAnsi" w:hAnsiTheme="minorHAnsi" w:cstheme="minorHAnsi"/>
          <w:bCs/>
        </w:rPr>
      </w:pPr>
      <w:r w:rsidRPr="00B845AF">
        <w:rPr>
          <w:rFonts w:asciiTheme="minorHAnsi" w:hAnsiTheme="minorHAnsi" w:cstheme="minorHAnsi"/>
          <w:bCs/>
        </w:rPr>
        <w:t xml:space="preserve">Meeting arrangements </w:t>
      </w:r>
    </w:p>
    <w:p w14:paraId="6460D1D4" w14:textId="77777777" w:rsidR="0063725B" w:rsidRPr="00B845AF" w:rsidRDefault="0063725B" w:rsidP="001A23E2">
      <w:pPr>
        <w:pStyle w:val="SC2"/>
        <w:numPr>
          <w:ilvl w:val="0"/>
          <w:numId w:val="0"/>
        </w:numPr>
        <w:spacing w:after="0"/>
        <w:ind w:left="720"/>
        <w:rPr>
          <w:rFonts w:asciiTheme="minorHAnsi" w:hAnsiTheme="minorHAnsi" w:cstheme="minorHAnsi"/>
        </w:rPr>
      </w:pPr>
    </w:p>
    <w:p w14:paraId="6A0634F1" w14:textId="636FD215" w:rsidR="0087313D" w:rsidRPr="00B845AF" w:rsidRDefault="00542A27">
      <w:pPr>
        <w:pStyle w:val="SCtext"/>
        <w:rPr>
          <w:rFonts w:asciiTheme="minorHAnsi" w:eastAsia="Batang" w:hAnsiTheme="minorHAnsi" w:cstheme="minorHAnsi"/>
          <w:b/>
          <w:bCs/>
          <w:lang w:val="en-US"/>
        </w:rPr>
      </w:pPr>
      <w:r w:rsidRPr="00B845AF">
        <w:rPr>
          <w:rFonts w:asciiTheme="minorHAnsi" w:hAnsiTheme="minorHAnsi" w:cstheme="minorHAnsi"/>
          <w:lang w:val="en-US"/>
        </w:rPr>
        <w:t xml:space="preserve">The </w:t>
      </w:r>
      <w:r w:rsidR="00A24218" w:rsidRPr="00B845AF">
        <w:rPr>
          <w:rFonts w:asciiTheme="minorHAnsi" w:hAnsiTheme="minorHAnsi" w:cstheme="minorHAnsi"/>
          <w:lang w:val="en-US"/>
        </w:rPr>
        <w:t>SC2</w:t>
      </w:r>
      <w:r w:rsidR="00672D03" w:rsidRPr="00B845AF">
        <w:rPr>
          <w:rFonts w:asciiTheme="minorHAnsi" w:hAnsiTheme="minorHAnsi" w:cstheme="minorHAnsi"/>
          <w:lang w:val="en-US"/>
        </w:rPr>
        <w:t>2</w:t>
      </w:r>
      <w:r w:rsidR="00A24218" w:rsidRPr="00B845AF">
        <w:rPr>
          <w:rFonts w:asciiTheme="minorHAnsi" w:hAnsiTheme="minorHAnsi" w:cstheme="minorHAnsi"/>
          <w:lang w:val="en-US"/>
        </w:rPr>
        <w:t xml:space="preserve"> </w:t>
      </w:r>
      <w:r w:rsidR="00A2122B" w:rsidRPr="00B845AF">
        <w:rPr>
          <w:rFonts w:asciiTheme="minorHAnsi" w:hAnsiTheme="minorHAnsi" w:cstheme="minorHAnsi"/>
          <w:lang w:val="en-US"/>
        </w:rPr>
        <w:t>Chair outline</w:t>
      </w:r>
      <w:r w:rsidR="00A31678" w:rsidRPr="00B845AF">
        <w:rPr>
          <w:rFonts w:asciiTheme="minorHAnsi" w:hAnsiTheme="minorHAnsi" w:cstheme="minorHAnsi"/>
          <w:lang w:val="en-US"/>
        </w:rPr>
        <w:t>d</w:t>
      </w:r>
      <w:r w:rsidR="00A2122B" w:rsidRPr="00B845AF">
        <w:rPr>
          <w:rFonts w:asciiTheme="minorHAnsi" w:hAnsiTheme="minorHAnsi" w:cstheme="minorHAnsi"/>
          <w:lang w:val="en-US"/>
        </w:rPr>
        <w:t xml:space="preserve"> procedural matters</w:t>
      </w:r>
      <w:r w:rsidR="0087313D" w:rsidRPr="00B845AF">
        <w:rPr>
          <w:rFonts w:asciiTheme="minorHAnsi" w:hAnsiTheme="minorHAnsi" w:cstheme="minorHAnsi"/>
          <w:lang w:val="en-US"/>
        </w:rPr>
        <w:t>, including the meeting schedule (</w:t>
      </w:r>
      <w:hyperlink r:id="rId14" w:history="1">
        <w:r w:rsidR="0087313D" w:rsidRPr="00B845AF">
          <w:rPr>
            <w:rStyle w:val="Hyperlink"/>
            <w:rFonts w:asciiTheme="minorHAnsi" w:hAnsiTheme="minorHAnsi" w:cstheme="minorHAnsi"/>
            <w:lang w:val="en-US"/>
          </w:rPr>
          <w:t>WCPFC-SC</w:t>
        </w:r>
        <w:r w:rsidR="004B496A" w:rsidRPr="00B845AF">
          <w:rPr>
            <w:rStyle w:val="Hyperlink"/>
            <w:rFonts w:asciiTheme="minorHAnsi" w:hAnsiTheme="minorHAnsi" w:cstheme="minorHAnsi"/>
            <w:lang w:val="en-US"/>
          </w:rPr>
          <w:t>2</w:t>
        </w:r>
        <w:r w:rsidR="00672D03" w:rsidRPr="00B845AF">
          <w:rPr>
            <w:rStyle w:val="Hyperlink"/>
            <w:rFonts w:asciiTheme="minorHAnsi" w:hAnsiTheme="minorHAnsi" w:cstheme="minorHAnsi"/>
            <w:lang w:val="en-US"/>
          </w:rPr>
          <w:t>2</w:t>
        </w:r>
        <w:r w:rsidR="0087313D" w:rsidRPr="00B845AF">
          <w:rPr>
            <w:rStyle w:val="Hyperlink"/>
            <w:rFonts w:asciiTheme="minorHAnsi" w:hAnsiTheme="minorHAnsi" w:cstheme="minorHAnsi"/>
            <w:lang w:val="en-US"/>
          </w:rPr>
          <w:t>-202</w:t>
        </w:r>
        <w:r w:rsidR="00672D03" w:rsidRPr="00B845AF">
          <w:rPr>
            <w:rStyle w:val="Hyperlink"/>
            <w:rFonts w:asciiTheme="minorHAnsi" w:hAnsiTheme="minorHAnsi" w:cstheme="minorHAnsi"/>
            <w:lang w:val="en-US"/>
          </w:rPr>
          <w:t>6</w:t>
        </w:r>
        <w:r w:rsidR="00226CA8" w:rsidRPr="00B845AF">
          <w:rPr>
            <w:rStyle w:val="Hyperlink"/>
            <w:rFonts w:asciiTheme="minorHAnsi" w:hAnsiTheme="minorHAnsi" w:cstheme="minorHAnsi"/>
            <w:lang w:val="en-US"/>
          </w:rPr>
          <w:t>-</w:t>
        </w:r>
        <w:r w:rsidR="004B496A" w:rsidRPr="00B845AF">
          <w:rPr>
            <w:rStyle w:val="Hyperlink"/>
            <w:rFonts w:asciiTheme="minorHAnsi" w:hAnsiTheme="minorHAnsi" w:cstheme="minorHAnsi"/>
            <w:lang w:val="en-US"/>
          </w:rPr>
          <w:t>0</w:t>
        </w:r>
        <w:r w:rsidR="00226CA8" w:rsidRPr="00B845AF">
          <w:rPr>
            <w:rStyle w:val="Hyperlink"/>
            <w:rFonts w:asciiTheme="minorHAnsi" w:hAnsiTheme="minorHAnsi" w:cstheme="minorHAnsi"/>
            <w:lang w:val="en-US"/>
          </w:rPr>
          <w:t>5</w:t>
        </w:r>
      </w:hyperlink>
      <w:r w:rsidR="0087313D" w:rsidRPr="00B845AF">
        <w:rPr>
          <w:rFonts w:asciiTheme="minorHAnsi" w:hAnsiTheme="minorHAnsi" w:cstheme="minorHAnsi"/>
          <w:lang w:val="en-US"/>
        </w:rPr>
        <w:t xml:space="preserve">), administrative arrangements, and </w:t>
      </w:r>
      <w:r w:rsidR="008236C3" w:rsidRPr="00B845AF">
        <w:rPr>
          <w:rFonts w:asciiTheme="minorHAnsi" w:hAnsiTheme="minorHAnsi" w:cstheme="minorHAnsi"/>
          <w:lang w:val="en-US"/>
        </w:rPr>
        <w:t xml:space="preserve">the </w:t>
      </w:r>
      <w:r w:rsidR="0087313D" w:rsidRPr="00B845AF">
        <w:rPr>
          <w:rFonts w:asciiTheme="minorHAnsi" w:eastAsia="Batang" w:hAnsiTheme="minorHAnsi" w:cstheme="minorHAnsi"/>
          <w:lang w:val="en-US"/>
        </w:rPr>
        <w:t>theme conveners.</w:t>
      </w:r>
    </w:p>
    <w:p w14:paraId="0DB02D3D" w14:textId="77777777" w:rsidR="0008094E" w:rsidRPr="00B845AF" w:rsidRDefault="0008094E" w:rsidP="00A44CA2">
      <w:pPr>
        <w:autoSpaceDE w:val="0"/>
        <w:autoSpaceDN w:val="0"/>
        <w:adjustRightInd w:val="0"/>
        <w:snapToGrid w:val="0"/>
        <w:jc w:val="both"/>
        <w:rPr>
          <w:rFonts w:asciiTheme="minorHAnsi" w:eastAsia="Batang" w:hAnsiTheme="minorHAnsi" w:cstheme="minorHAnsi"/>
          <w:b/>
          <w:bCs/>
          <w:szCs w:val="22"/>
          <w:lang w:eastAsia="ko-KR"/>
        </w:rPr>
      </w:pPr>
    </w:p>
    <w:tbl>
      <w:tblPr>
        <w:tblW w:w="5000" w:type="pct"/>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2158"/>
        <w:gridCol w:w="7192"/>
      </w:tblGrid>
      <w:tr w:rsidR="008236C3" w:rsidRPr="00B845AF" w14:paraId="62C17725" w14:textId="77777777" w:rsidTr="00A04D57">
        <w:tc>
          <w:tcPr>
            <w:tcW w:w="115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vAlign w:val="center"/>
          </w:tcPr>
          <w:p w14:paraId="3FC7EA93" w14:textId="5A86EE5C" w:rsidR="008236C3" w:rsidRPr="00B845AF" w:rsidRDefault="008236C3" w:rsidP="00290BE9">
            <w:pPr>
              <w:widowControl w:val="0"/>
              <w:kinsoku w:val="0"/>
              <w:overflowPunct w:val="0"/>
              <w:autoSpaceDE w:val="0"/>
              <w:autoSpaceDN w:val="0"/>
              <w:adjustRightInd w:val="0"/>
              <w:snapToGrid w:val="0"/>
              <w:ind w:left="162"/>
              <w:jc w:val="both"/>
              <w:rPr>
                <w:rFonts w:asciiTheme="minorHAnsi" w:hAnsiTheme="minorHAnsi" w:cstheme="minorHAnsi"/>
                <w:szCs w:val="22"/>
                <w:lang w:eastAsia="ko-KR"/>
              </w:rPr>
            </w:pPr>
            <w:r w:rsidRPr="00B845AF">
              <w:rPr>
                <w:rFonts w:asciiTheme="minorHAnsi" w:hAnsiTheme="minorHAnsi" w:cstheme="minorHAnsi"/>
                <w:szCs w:val="22"/>
                <w:lang w:eastAsia="ko-KR"/>
              </w:rPr>
              <w:t>Theme</w:t>
            </w:r>
          </w:p>
        </w:tc>
        <w:tc>
          <w:tcPr>
            <w:tcW w:w="3846"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FBFBF" w:themeFill="background1" w:themeFillShade="BF"/>
          </w:tcPr>
          <w:p w14:paraId="737ECE69" w14:textId="35D2B4EA" w:rsidR="008236C3" w:rsidRPr="00B845AF" w:rsidRDefault="008236C3" w:rsidP="00290BE9">
            <w:pPr>
              <w:widowControl w:val="0"/>
              <w:kinsoku w:val="0"/>
              <w:overflowPunct w:val="0"/>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Convener(s)</w:t>
            </w:r>
          </w:p>
        </w:tc>
      </w:tr>
      <w:tr w:rsidR="00B453A6" w:rsidRPr="00B845AF" w14:paraId="4F700640" w14:textId="77777777" w:rsidTr="00B453A6">
        <w:tc>
          <w:tcPr>
            <w:tcW w:w="115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5591F37" w14:textId="77777777" w:rsidR="00B453A6" w:rsidRPr="00B845AF" w:rsidRDefault="00B453A6" w:rsidP="00290BE9">
            <w:pPr>
              <w:widowControl w:val="0"/>
              <w:kinsoku w:val="0"/>
              <w:overflowPunct w:val="0"/>
              <w:autoSpaceDE w:val="0"/>
              <w:autoSpaceDN w:val="0"/>
              <w:adjustRightInd w:val="0"/>
              <w:snapToGrid w:val="0"/>
              <w:ind w:left="162"/>
              <w:jc w:val="both"/>
              <w:rPr>
                <w:rFonts w:asciiTheme="minorHAnsi" w:eastAsiaTheme="minorEastAsia" w:hAnsiTheme="minorHAnsi" w:cstheme="minorHAnsi"/>
                <w:szCs w:val="22"/>
                <w:lang w:eastAsia="ko-KR"/>
              </w:rPr>
            </w:pPr>
            <w:bookmarkStart w:id="6" w:name="_Hlk132919100"/>
            <w:r w:rsidRPr="00B845AF">
              <w:rPr>
                <w:rFonts w:asciiTheme="minorHAnsi" w:hAnsiTheme="minorHAnsi" w:cstheme="minorHAnsi"/>
                <w:szCs w:val="22"/>
                <w:lang w:eastAsia="ko-KR"/>
              </w:rPr>
              <w:t>ST Theme</w:t>
            </w:r>
          </w:p>
        </w:tc>
        <w:tc>
          <w:tcPr>
            <w:tcW w:w="3846"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0F4251" w14:textId="3A149D20" w:rsidR="00B453A6" w:rsidRPr="00B845AF" w:rsidRDefault="00B453A6" w:rsidP="00290BE9">
            <w:pPr>
              <w:widowControl w:val="0"/>
              <w:kinsoku w:val="0"/>
              <w:overflowPunct w:val="0"/>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Valerie Post</w:t>
            </w:r>
            <w:r w:rsidRPr="00B845AF">
              <w:rPr>
                <w:rStyle w:val="Hyperlink"/>
                <w:rFonts w:asciiTheme="minorHAnsi" w:hAnsiTheme="minorHAnsi" w:cstheme="minorHAnsi"/>
                <w:color w:val="auto"/>
                <w:szCs w:val="22"/>
                <w:u w:val="none"/>
              </w:rPr>
              <w:t xml:space="preserve"> </w:t>
            </w:r>
            <w:r w:rsidR="00BF4D0C" w:rsidRPr="00B845AF">
              <w:rPr>
                <w:rStyle w:val="Hyperlink"/>
                <w:rFonts w:asciiTheme="minorHAnsi" w:hAnsiTheme="minorHAnsi" w:cstheme="minorHAnsi"/>
                <w:color w:val="auto"/>
                <w:szCs w:val="22"/>
                <w:u w:val="none"/>
              </w:rPr>
              <w:t>(USA)</w:t>
            </w:r>
          </w:p>
        </w:tc>
      </w:tr>
      <w:tr w:rsidR="00B453A6" w:rsidRPr="00B845AF" w14:paraId="05B61453" w14:textId="77777777" w:rsidTr="00B453A6">
        <w:tc>
          <w:tcPr>
            <w:tcW w:w="115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7ACA383" w14:textId="77777777" w:rsidR="00B453A6" w:rsidRPr="00B845AF" w:rsidRDefault="00B453A6" w:rsidP="00290BE9">
            <w:pPr>
              <w:widowControl w:val="0"/>
              <w:kinsoku w:val="0"/>
              <w:overflowPunct w:val="0"/>
              <w:autoSpaceDE w:val="0"/>
              <w:autoSpaceDN w:val="0"/>
              <w:adjustRightInd w:val="0"/>
              <w:snapToGrid w:val="0"/>
              <w:ind w:left="162"/>
              <w:jc w:val="both"/>
              <w:rPr>
                <w:rFonts w:asciiTheme="minorHAnsi" w:eastAsiaTheme="minorEastAsia" w:hAnsiTheme="minorHAnsi" w:cstheme="minorHAnsi"/>
                <w:szCs w:val="22"/>
                <w:lang w:eastAsia="ko-KR"/>
              </w:rPr>
            </w:pPr>
            <w:r w:rsidRPr="00B845AF">
              <w:rPr>
                <w:rFonts w:asciiTheme="minorHAnsi" w:hAnsiTheme="minorHAnsi" w:cstheme="minorHAnsi"/>
                <w:szCs w:val="22"/>
                <w:lang w:eastAsia="ko-KR"/>
              </w:rPr>
              <w:t>SA Theme</w:t>
            </w:r>
          </w:p>
        </w:tc>
        <w:tc>
          <w:tcPr>
            <w:tcW w:w="3846"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5099F65" w14:textId="307B53F4" w:rsidR="00B453A6" w:rsidRPr="00B845AF" w:rsidRDefault="00B453A6" w:rsidP="00290BE9">
            <w:pPr>
              <w:widowControl w:val="0"/>
              <w:kinsoku w:val="0"/>
              <w:overflowPunct w:val="0"/>
              <w:autoSpaceDE w:val="0"/>
              <w:autoSpaceDN w:val="0"/>
              <w:adjustRightInd w:val="0"/>
              <w:snapToGrid w:val="0"/>
              <w:jc w:val="both"/>
              <w:rPr>
                <w:rStyle w:val="Hyperlink"/>
                <w:rFonts w:asciiTheme="minorHAnsi" w:hAnsiTheme="minorHAnsi" w:cstheme="minorHAnsi"/>
                <w:color w:val="auto"/>
                <w:szCs w:val="22"/>
                <w:u w:val="none"/>
              </w:rPr>
            </w:pPr>
            <w:r w:rsidRPr="00B845AF">
              <w:rPr>
                <w:rFonts w:asciiTheme="minorHAnsi" w:hAnsiTheme="minorHAnsi" w:cstheme="minorHAnsi"/>
                <w:szCs w:val="22"/>
              </w:rPr>
              <w:t>Hidetada Kiyofuji</w:t>
            </w:r>
            <w:r w:rsidR="00BF4D0C" w:rsidRPr="00B845AF">
              <w:rPr>
                <w:rFonts w:asciiTheme="minorHAnsi" w:hAnsiTheme="minorHAnsi" w:cstheme="minorHAnsi"/>
                <w:szCs w:val="22"/>
              </w:rPr>
              <w:t xml:space="preserve"> (Japan)</w:t>
            </w:r>
          </w:p>
          <w:p w14:paraId="6D34D87B" w14:textId="3638DAC7" w:rsidR="00B453A6" w:rsidRPr="00B845AF" w:rsidRDefault="00B453A6" w:rsidP="00290BE9">
            <w:pPr>
              <w:widowControl w:val="0"/>
              <w:kinsoku w:val="0"/>
              <w:overflowPunct w:val="0"/>
              <w:autoSpaceDE w:val="0"/>
              <w:autoSpaceDN w:val="0"/>
              <w:adjustRightInd w:val="0"/>
              <w:snapToGrid w:val="0"/>
              <w:jc w:val="both"/>
              <w:rPr>
                <w:rFonts w:asciiTheme="minorHAnsi" w:hAnsiTheme="minorHAnsi" w:cstheme="minorHAnsi"/>
                <w:szCs w:val="22"/>
                <w:lang w:eastAsia="ko-KR"/>
              </w:rPr>
            </w:pPr>
            <w:r w:rsidRPr="00B845AF">
              <w:rPr>
                <w:rFonts w:asciiTheme="minorHAnsi" w:hAnsiTheme="minorHAnsi" w:cstheme="minorHAnsi"/>
                <w:szCs w:val="22"/>
                <w:lang w:eastAsia="ko-KR"/>
              </w:rPr>
              <w:t xml:space="preserve">Berry Muller </w:t>
            </w:r>
            <w:r w:rsidR="00BF4D0C" w:rsidRPr="00B845AF">
              <w:rPr>
                <w:rFonts w:asciiTheme="minorHAnsi" w:hAnsiTheme="minorHAnsi" w:cstheme="minorHAnsi"/>
                <w:szCs w:val="22"/>
                <w:lang w:eastAsia="ko-KR"/>
              </w:rPr>
              <w:t>(Marshall Islands)</w:t>
            </w:r>
          </w:p>
          <w:p w14:paraId="1F61CB04" w14:textId="4EDCA808" w:rsidR="00B453A6" w:rsidRPr="00B845AF" w:rsidRDefault="00B453A6" w:rsidP="00290BE9">
            <w:pPr>
              <w:widowControl w:val="0"/>
              <w:kinsoku w:val="0"/>
              <w:overflowPunct w:val="0"/>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Michelle Sculley</w:t>
            </w:r>
            <w:r w:rsidR="007529C5" w:rsidRPr="00B845AF">
              <w:rPr>
                <w:rFonts w:asciiTheme="minorHAnsi" w:hAnsiTheme="minorHAnsi" w:cstheme="minorHAnsi"/>
                <w:szCs w:val="22"/>
              </w:rPr>
              <w:t xml:space="preserve"> </w:t>
            </w:r>
            <w:r w:rsidR="007529C5" w:rsidRPr="00B845AF">
              <w:rPr>
                <w:rFonts w:asciiTheme="minorHAnsi" w:hAnsiTheme="minorHAnsi" w:cstheme="minorHAnsi"/>
              </w:rPr>
              <w:t>(USA)</w:t>
            </w:r>
          </w:p>
        </w:tc>
      </w:tr>
      <w:tr w:rsidR="00B453A6" w:rsidRPr="00B845AF" w14:paraId="1A9A7DF6" w14:textId="77777777" w:rsidTr="00B453A6">
        <w:tc>
          <w:tcPr>
            <w:tcW w:w="115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5366CA6" w14:textId="77777777" w:rsidR="00B453A6" w:rsidRPr="00B845AF" w:rsidRDefault="00B453A6" w:rsidP="00290BE9">
            <w:pPr>
              <w:widowControl w:val="0"/>
              <w:kinsoku w:val="0"/>
              <w:overflowPunct w:val="0"/>
              <w:autoSpaceDE w:val="0"/>
              <w:autoSpaceDN w:val="0"/>
              <w:adjustRightInd w:val="0"/>
              <w:snapToGrid w:val="0"/>
              <w:ind w:left="162"/>
              <w:jc w:val="both"/>
              <w:rPr>
                <w:rFonts w:asciiTheme="minorHAnsi" w:eastAsiaTheme="minorEastAsia" w:hAnsiTheme="minorHAnsi" w:cstheme="minorHAnsi"/>
                <w:szCs w:val="22"/>
                <w:lang w:eastAsia="ko-KR"/>
              </w:rPr>
            </w:pPr>
            <w:r w:rsidRPr="00B845AF">
              <w:rPr>
                <w:rFonts w:asciiTheme="minorHAnsi" w:hAnsiTheme="minorHAnsi" w:cstheme="minorHAnsi"/>
                <w:szCs w:val="22"/>
                <w:lang w:eastAsia="ko-KR"/>
              </w:rPr>
              <w:t>MI Theme</w:t>
            </w:r>
          </w:p>
        </w:tc>
        <w:tc>
          <w:tcPr>
            <w:tcW w:w="3846"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F2F480" w14:textId="18BFDFD1" w:rsidR="00B453A6" w:rsidRPr="00B845AF" w:rsidRDefault="00B453A6" w:rsidP="00290BE9">
            <w:pPr>
              <w:widowControl w:val="0"/>
              <w:kinsoku w:val="0"/>
              <w:overflowPunct w:val="0"/>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iCs/>
                <w:szCs w:val="22"/>
                <w:lang w:eastAsia="ko-KR"/>
              </w:rPr>
              <w:t>Shuya Nakatsuka</w:t>
            </w:r>
            <w:r w:rsidR="007529C5" w:rsidRPr="00B845AF">
              <w:rPr>
                <w:rFonts w:asciiTheme="minorHAnsi" w:hAnsiTheme="minorHAnsi" w:cstheme="minorHAnsi"/>
                <w:iCs/>
                <w:szCs w:val="22"/>
                <w:lang w:eastAsia="ko-KR"/>
              </w:rPr>
              <w:t xml:space="preserve"> </w:t>
            </w:r>
            <w:r w:rsidR="007529C5" w:rsidRPr="00B845AF">
              <w:rPr>
                <w:rFonts w:asciiTheme="minorHAnsi" w:hAnsiTheme="minorHAnsi" w:cstheme="minorHAnsi"/>
                <w:iCs/>
                <w:lang w:eastAsia="ko-KR"/>
              </w:rPr>
              <w:t>(Japan)</w:t>
            </w:r>
          </w:p>
        </w:tc>
      </w:tr>
      <w:tr w:rsidR="00B453A6" w:rsidRPr="00B845AF" w14:paraId="6B694151" w14:textId="77777777" w:rsidTr="00B453A6">
        <w:tc>
          <w:tcPr>
            <w:tcW w:w="1154"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3DF0755" w14:textId="77777777" w:rsidR="00B453A6" w:rsidRPr="00B845AF" w:rsidRDefault="00B453A6" w:rsidP="00290BE9">
            <w:pPr>
              <w:widowControl w:val="0"/>
              <w:kinsoku w:val="0"/>
              <w:overflowPunct w:val="0"/>
              <w:autoSpaceDE w:val="0"/>
              <w:autoSpaceDN w:val="0"/>
              <w:adjustRightInd w:val="0"/>
              <w:snapToGrid w:val="0"/>
              <w:ind w:left="162"/>
              <w:jc w:val="both"/>
              <w:rPr>
                <w:rFonts w:asciiTheme="minorHAnsi" w:eastAsiaTheme="minorEastAsia" w:hAnsiTheme="minorHAnsi" w:cstheme="minorHAnsi"/>
                <w:szCs w:val="22"/>
                <w:lang w:eastAsia="ko-KR"/>
              </w:rPr>
            </w:pPr>
            <w:r w:rsidRPr="00B845AF">
              <w:rPr>
                <w:rFonts w:asciiTheme="minorHAnsi" w:hAnsiTheme="minorHAnsi" w:cstheme="minorHAnsi"/>
                <w:szCs w:val="22"/>
                <w:lang w:eastAsia="ko-KR"/>
              </w:rPr>
              <w:t>EB Theme</w:t>
            </w:r>
          </w:p>
        </w:tc>
        <w:tc>
          <w:tcPr>
            <w:tcW w:w="3846" w:type="pc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805A3C9" w14:textId="272BA2AB" w:rsidR="00B453A6" w:rsidRPr="00B845AF" w:rsidRDefault="00B453A6" w:rsidP="00A44CA2">
            <w:pPr>
              <w:widowControl w:val="0"/>
              <w:kinsoku w:val="0"/>
              <w:overflowPunct w:val="0"/>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iCs/>
                <w:szCs w:val="22"/>
                <w:lang w:eastAsia="ko-KR"/>
              </w:rPr>
              <w:t>Leyla Knittweis</w:t>
            </w:r>
            <w:r w:rsidR="007529C5" w:rsidRPr="00B845AF">
              <w:rPr>
                <w:rFonts w:asciiTheme="minorHAnsi" w:hAnsiTheme="minorHAnsi" w:cstheme="minorHAnsi"/>
                <w:iCs/>
                <w:szCs w:val="22"/>
                <w:lang w:eastAsia="ko-KR"/>
              </w:rPr>
              <w:t xml:space="preserve"> </w:t>
            </w:r>
            <w:r w:rsidR="007529C5" w:rsidRPr="00B845AF">
              <w:rPr>
                <w:rFonts w:asciiTheme="minorHAnsi" w:hAnsiTheme="minorHAnsi" w:cstheme="minorHAnsi"/>
                <w:iCs/>
                <w:lang w:eastAsia="ko-KR"/>
              </w:rPr>
              <w:t>(New Zealand)</w:t>
            </w:r>
          </w:p>
        </w:tc>
      </w:tr>
      <w:bookmarkEnd w:id="6"/>
    </w:tbl>
    <w:p w14:paraId="0F161244" w14:textId="77777777" w:rsidR="00081C7D" w:rsidRPr="00B845AF" w:rsidRDefault="00081C7D" w:rsidP="008E04CD">
      <w:pPr>
        <w:autoSpaceDE w:val="0"/>
        <w:autoSpaceDN w:val="0"/>
        <w:adjustRightInd w:val="0"/>
        <w:snapToGrid w:val="0"/>
        <w:jc w:val="both"/>
        <w:rPr>
          <w:rFonts w:asciiTheme="minorHAnsi" w:eastAsia="Batang" w:hAnsiTheme="minorHAnsi" w:cstheme="minorHAnsi"/>
          <w:szCs w:val="22"/>
          <w:lang w:eastAsia="ko-KR"/>
        </w:rPr>
      </w:pPr>
    </w:p>
    <w:p w14:paraId="476543E5" w14:textId="7036F0F0" w:rsidR="00E15AD6" w:rsidRPr="00B845AF" w:rsidRDefault="000A02B4">
      <w:pPr>
        <w:pStyle w:val="SCtext"/>
        <w:rPr>
          <w:rFonts w:asciiTheme="minorHAnsi" w:hAnsiTheme="minorHAnsi" w:cstheme="minorHAnsi"/>
          <w:lang w:val="en-US"/>
        </w:rPr>
      </w:pPr>
      <w:r w:rsidRPr="00B845AF">
        <w:rPr>
          <w:rFonts w:asciiTheme="minorHAnsi" w:hAnsiTheme="minorHAnsi" w:cstheme="minorHAnsi"/>
          <w:lang w:val="en-US"/>
        </w:rPr>
        <w:t>Eleven informal small groups (ISGs) were proposed, as listed below, but ISG09 was not established.</w:t>
      </w:r>
    </w:p>
    <w:p w14:paraId="7E4B73AF" w14:textId="77777777" w:rsidR="00313C11" w:rsidRPr="00B845AF" w:rsidRDefault="00313C11" w:rsidP="00313C11">
      <w:pPr>
        <w:pStyle w:val="SCtext"/>
        <w:numPr>
          <w:ilvl w:val="0"/>
          <w:numId w:val="0"/>
        </w:numPr>
        <w:rPr>
          <w:rFonts w:asciiTheme="minorHAnsi" w:hAnsiTheme="minorHAnsi" w:cstheme="minorHAnsi"/>
          <w:lang w:val="en-US"/>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1098"/>
        <w:gridCol w:w="4634"/>
        <w:gridCol w:w="989"/>
        <w:gridCol w:w="2629"/>
      </w:tblGrid>
      <w:tr w:rsidR="00290BE9" w:rsidRPr="00B845AF" w14:paraId="7D7FE0CE" w14:textId="60F35CD4" w:rsidTr="00E657CA">
        <w:tc>
          <w:tcPr>
            <w:tcW w:w="587" w:type="pct"/>
            <w:shd w:val="clear" w:color="auto" w:fill="D9D9D9" w:themeFill="background1" w:themeFillShade="D9"/>
            <w:tcMar>
              <w:top w:w="0" w:type="dxa"/>
              <w:left w:w="108" w:type="dxa"/>
              <w:bottom w:w="0" w:type="dxa"/>
              <w:right w:w="108" w:type="dxa"/>
            </w:tcMar>
            <w:vAlign w:val="center"/>
            <w:hideMark/>
          </w:tcPr>
          <w:p w14:paraId="2FBC4B5B" w14:textId="77777777" w:rsidR="00290BE9" w:rsidRPr="00B845AF" w:rsidRDefault="00290BE9" w:rsidP="00290BE9">
            <w:pPr>
              <w:adjustRightInd w:val="0"/>
              <w:snapToGrid w:val="0"/>
              <w:jc w:val="center"/>
              <w:rPr>
                <w:rFonts w:asciiTheme="minorHAnsi" w:hAnsiTheme="minorHAnsi" w:cstheme="minorHAnsi"/>
                <w:b/>
                <w:bCs/>
                <w:sz w:val="20"/>
                <w:szCs w:val="20"/>
              </w:rPr>
            </w:pPr>
            <w:bookmarkStart w:id="7" w:name="_Hlk173507341"/>
            <w:bookmarkStart w:id="8" w:name="_Hlk174203023"/>
            <w:r w:rsidRPr="00B845AF">
              <w:rPr>
                <w:rFonts w:asciiTheme="minorHAnsi" w:hAnsiTheme="minorHAnsi" w:cstheme="minorHAnsi"/>
                <w:b/>
                <w:bCs/>
                <w:sz w:val="20"/>
                <w:szCs w:val="20"/>
              </w:rPr>
              <w:t>ISG-ID</w:t>
            </w:r>
          </w:p>
        </w:tc>
        <w:tc>
          <w:tcPr>
            <w:tcW w:w="2478" w:type="pct"/>
            <w:shd w:val="clear" w:color="auto" w:fill="D9D9D9" w:themeFill="background1" w:themeFillShade="D9"/>
            <w:tcMar>
              <w:top w:w="0" w:type="dxa"/>
              <w:left w:w="108" w:type="dxa"/>
              <w:bottom w:w="0" w:type="dxa"/>
              <w:right w:w="108" w:type="dxa"/>
            </w:tcMar>
            <w:vAlign w:val="center"/>
            <w:hideMark/>
          </w:tcPr>
          <w:p w14:paraId="65A3B993" w14:textId="77777777" w:rsidR="00290BE9" w:rsidRPr="00B845AF" w:rsidRDefault="00290BE9"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Title/TOR</w:t>
            </w:r>
          </w:p>
        </w:tc>
        <w:tc>
          <w:tcPr>
            <w:tcW w:w="529" w:type="pct"/>
            <w:shd w:val="clear" w:color="auto" w:fill="D9D9D9" w:themeFill="background1" w:themeFillShade="D9"/>
            <w:tcMar>
              <w:top w:w="0" w:type="dxa"/>
              <w:left w:w="108" w:type="dxa"/>
              <w:bottom w:w="0" w:type="dxa"/>
              <w:right w:w="108" w:type="dxa"/>
            </w:tcMar>
            <w:vAlign w:val="center"/>
            <w:hideMark/>
          </w:tcPr>
          <w:p w14:paraId="55131C3C" w14:textId="77777777" w:rsidR="00290BE9" w:rsidRPr="00B845AF" w:rsidRDefault="00290BE9"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Agenda</w:t>
            </w:r>
          </w:p>
        </w:tc>
        <w:tc>
          <w:tcPr>
            <w:tcW w:w="1406" w:type="pct"/>
            <w:shd w:val="clear" w:color="auto" w:fill="D9D9D9" w:themeFill="background1" w:themeFillShade="D9"/>
            <w:tcMar>
              <w:top w:w="0" w:type="dxa"/>
              <w:left w:w="108" w:type="dxa"/>
              <w:bottom w:w="0" w:type="dxa"/>
              <w:right w:w="108" w:type="dxa"/>
            </w:tcMar>
            <w:vAlign w:val="center"/>
            <w:hideMark/>
          </w:tcPr>
          <w:p w14:paraId="592F0FD9" w14:textId="77777777" w:rsidR="00290BE9" w:rsidRPr="00B845AF" w:rsidRDefault="00290BE9"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Coordinator/ Facilitator</w:t>
            </w:r>
          </w:p>
        </w:tc>
      </w:tr>
      <w:tr w:rsidR="00290BE9" w:rsidRPr="00B845AF" w14:paraId="337EE6FC" w14:textId="0AE14230" w:rsidTr="00E657CA">
        <w:tc>
          <w:tcPr>
            <w:tcW w:w="587" w:type="pct"/>
            <w:tcMar>
              <w:top w:w="0" w:type="dxa"/>
              <w:left w:w="108" w:type="dxa"/>
              <w:bottom w:w="0" w:type="dxa"/>
              <w:right w:w="108" w:type="dxa"/>
            </w:tcMar>
            <w:vAlign w:val="center"/>
          </w:tcPr>
          <w:p w14:paraId="0BDFB6D7" w14:textId="6A972090" w:rsidR="00290BE9" w:rsidRPr="00B845AF" w:rsidRDefault="00290BE9"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ISG01</w:t>
            </w:r>
            <w:r w:rsidR="007B774B" w:rsidRPr="00B845AF">
              <w:rPr>
                <w:rFonts w:asciiTheme="minorHAnsi" w:hAnsiTheme="minorHAnsi" w:cstheme="minorHAnsi"/>
                <w:b/>
                <w:bCs/>
                <w:sz w:val="20"/>
                <w:szCs w:val="20"/>
              </w:rPr>
              <w:t xml:space="preserve"> (SC operation)</w:t>
            </w:r>
          </w:p>
        </w:tc>
        <w:tc>
          <w:tcPr>
            <w:tcW w:w="2478" w:type="pct"/>
            <w:tcMar>
              <w:top w:w="0" w:type="dxa"/>
              <w:left w:w="108" w:type="dxa"/>
              <w:bottom w:w="0" w:type="dxa"/>
              <w:right w:w="108" w:type="dxa"/>
            </w:tcMar>
            <w:vAlign w:val="center"/>
          </w:tcPr>
          <w:p w14:paraId="2075FCEC" w14:textId="7ED637EB" w:rsidR="00290BE9" w:rsidRPr="00B845AF" w:rsidRDefault="00B81593"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WCPFC-SC22-2026-GN-WP05. </w:t>
            </w:r>
            <w:r w:rsidRPr="00B845AF">
              <w:rPr>
                <w:rFonts w:asciiTheme="minorHAnsi" w:hAnsiTheme="minorHAnsi" w:cstheme="minorHAnsi"/>
                <w:sz w:val="20"/>
                <w:szCs w:val="20"/>
              </w:rPr>
              <w:t>R. Currey and E. Crigler.</w:t>
            </w:r>
            <w:r w:rsidRPr="00B845AF">
              <w:rPr>
                <w:rFonts w:asciiTheme="minorHAnsi" w:hAnsiTheme="minorHAnsi" w:cstheme="minorHAnsi"/>
                <w:b/>
                <w:bCs/>
                <w:sz w:val="20"/>
                <w:szCs w:val="20"/>
              </w:rPr>
              <w:t xml:space="preserve"> A proposed process and preliminary recommendations for prioritising the work of the Scientific Committee</w:t>
            </w:r>
            <w:r w:rsidRPr="00B845AF">
              <w:rPr>
                <w:rFonts w:asciiTheme="minorHAnsi" w:hAnsiTheme="minorHAnsi" w:cstheme="minorHAnsi"/>
                <w:b/>
                <w:bCs/>
                <w:sz w:val="20"/>
                <w:szCs w:val="20"/>
              </w:rPr>
              <w:br/>
            </w:r>
            <w:r w:rsidRPr="00B845AF">
              <w:rPr>
                <w:rFonts w:asciiTheme="minorHAnsi" w:hAnsiTheme="minorHAnsi" w:cstheme="minorHAnsi"/>
                <w:b/>
                <w:bCs/>
                <w:sz w:val="20"/>
                <w:szCs w:val="20"/>
              </w:rPr>
              <w:br/>
              <w:t xml:space="preserve">WCPFC-SC22-2026-GN-WP06. </w:t>
            </w:r>
            <w:r w:rsidRPr="00B845AF">
              <w:rPr>
                <w:rFonts w:asciiTheme="minorHAnsi" w:hAnsiTheme="minorHAnsi" w:cstheme="minorHAnsi"/>
                <w:sz w:val="20"/>
                <w:szCs w:val="20"/>
              </w:rPr>
              <w:t>R. Currey.</w:t>
            </w:r>
            <w:r w:rsidRPr="00B845AF">
              <w:rPr>
                <w:rFonts w:asciiTheme="minorHAnsi" w:hAnsiTheme="minorHAnsi" w:cstheme="minorHAnsi"/>
                <w:b/>
                <w:bCs/>
                <w:sz w:val="20"/>
                <w:szCs w:val="20"/>
              </w:rPr>
              <w:t xml:space="preserve"> A proposed process to establish a schedule of independent reviews of stock assessments</w:t>
            </w:r>
          </w:p>
        </w:tc>
        <w:tc>
          <w:tcPr>
            <w:tcW w:w="529" w:type="pct"/>
            <w:tcMar>
              <w:top w:w="0" w:type="dxa"/>
              <w:left w:w="108" w:type="dxa"/>
              <w:bottom w:w="0" w:type="dxa"/>
              <w:right w:w="108" w:type="dxa"/>
            </w:tcMar>
            <w:vAlign w:val="center"/>
          </w:tcPr>
          <w:p w14:paraId="463AD072" w14:textId="77777777" w:rsidR="00290BE9" w:rsidRPr="00B845AF" w:rsidRDefault="00B81593"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11.1.2</w:t>
            </w:r>
          </w:p>
          <w:p w14:paraId="6974A0A8" w14:textId="4E8ADA7C" w:rsidR="00B81593" w:rsidRPr="00B845AF" w:rsidRDefault="00B81593"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11.1.3</w:t>
            </w:r>
          </w:p>
        </w:tc>
        <w:tc>
          <w:tcPr>
            <w:tcW w:w="1406" w:type="pct"/>
            <w:tcMar>
              <w:top w:w="0" w:type="dxa"/>
              <w:left w:w="108" w:type="dxa"/>
              <w:bottom w:w="0" w:type="dxa"/>
              <w:right w:w="108" w:type="dxa"/>
            </w:tcMar>
            <w:vAlign w:val="center"/>
          </w:tcPr>
          <w:p w14:paraId="6465E13E" w14:textId="385C56F1" w:rsidR="00290BE9" w:rsidRPr="00B845AF" w:rsidRDefault="00B81593"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Chair/Vice-Chair</w:t>
            </w:r>
          </w:p>
        </w:tc>
      </w:tr>
      <w:tr w:rsidR="00290BE9" w:rsidRPr="00B845AF" w14:paraId="4BFC0644" w14:textId="7B2650B2" w:rsidTr="00E657CA">
        <w:tc>
          <w:tcPr>
            <w:tcW w:w="587" w:type="pct"/>
            <w:tcMar>
              <w:top w:w="0" w:type="dxa"/>
              <w:left w:w="108" w:type="dxa"/>
              <w:bottom w:w="0" w:type="dxa"/>
              <w:right w:w="108" w:type="dxa"/>
            </w:tcMar>
            <w:vAlign w:val="center"/>
          </w:tcPr>
          <w:p w14:paraId="34D92DB2" w14:textId="42C92395" w:rsidR="00290BE9" w:rsidRPr="00B845AF" w:rsidRDefault="00290BE9"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ISG02</w:t>
            </w:r>
            <w:r w:rsidR="007B774B" w:rsidRPr="00B845AF">
              <w:rPr>
                <w:rFonts w:asciiTheme="minorHAnsi" w:hAnsiTheme="minorHAnsi" w:cstheme="minorHAnsi"/>
                <w:b/>
                <w:bCs/>
                <w:sz w:val="20"/>
                <w:szCs w:val="20"/>
              </w:rPr>
              <w:t xml:space="preserve"> (SciData Update)</w:t>
            </w:r>
          </w:p>
        </w:tc>
        <w:tc>
          <w:tcPr>
            <w:tcW w:w="2478" w:type="pct"/>
            <w:tcMar>
              <w:top w:w="0" w:type="dxa"/>
              <w:left w:w="108" w:type="dxa"/>
              <w:bottom w:w="0" w:type="dxa"/>
              <w:right w:w="108" w:type="dxa"/>
            </w:tcMar>
            <w:vAlign w:val="center"/>
          </w:tcPr>
          <w:p w14:paraId="0ABAC9A1" w14:textId="7E89A179" w:rsidR="00290BE9" w:rsidRPr="00B845AF" w:rsidRDefault="00B81593"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WCPFC-SC22-2026-ST-WP05_Rev02. </w:t>
            </w:r>
            <w:r w:rsidRPr="00B845AF">
              <w:rPr>
                <w:rFonts w:asciiTheme="minorHAnsi" w:hAnsiTheme="minorHAnsi" w:cstheme="minorHAnsi"/>
                <w:sz w:val="20"/>
                <w:szCs w:val="20"/>
              </w:rPr>
              <w:t>SPC-OFP.</w:t>
            </w:r>
            <w:r w:rsidRPr="00B845AF">
              <w:rPr>
                <w:rFonts w:asciiTheme="minorHAnsi" w:hAnsiTheme="minorHAnsi" w:cstheme="minorHAnsi"/>
                <w:b/>
                <w:bCs/>
                <w:sz w:val="20"/>
                <w:szCs w:val="20"/>
              </w:rPr>
              <w:t xml:space="preserve"> Proposed Revisions to </w:t>
            </w:r>
            <w:r w:rsidR="00211901" w:rsidRPr="00B845AF">
              <w:rPr>
                <w:rFonts w:asciiTheme="minorHAnsi" w:hAnsiTheme="minorHAnsi" w:cstheme="minorHAnsi"/>
                <w:b/>
                <w:bCs/>
                <w:sz w:val="20"/>
                <w:szCs w:val="20"/>
              </w:rPr>
              <w:t>Scientific</w:t>
            </w:r>
            <w:r w:rsidRPr="00B845AF">
              <w:rPr>
                <w:rFonts w:asciiTheme="minorHAnsi" w:hAnsiTheme="minorHAnsi" w:cstheme="minorHAnsi"/>
                <w:b/>
                <w:bCs/>
                <w:sz w:val="20"/>
                <w:szCs w:val="20"/>
              </w:rPr>
              <w:t xml:space="preserve"> Data to be Provided to the Commission</w:t>
            </w:r>
          </w:p>
        </w:tc>
        <w:tc>
          <w:tcPr>
            <w:tcW w:w="529" w:type="pct"/>
            <w:tcMar>
              <w:top w:w="0" w:type="dxa"/>
              <w:left w:w="108" w:type="dxa"/>
              <w:bottom w:w="0" w:type="dxa"/>
              <w:right w:w="108" w:type="dxa"/>
            </w:tcMar>
            <w:vAlign w:val="center"/>
          </w:tcPr>
          <w:p w14:paraId="3AD5CF4D" w14:textId="76085D3F" w:rsidR="00290BE9" w:rsidRPr="00B845AF" w:rsidRDefault="00B81593"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3.1.5</w:t>
            </w:r>
          </w:p>
        </w:tc>
        <w:tc>
          <w:tcPr>
            <w:tcW w:w="1406" w:type="pct"/>
            <w:tcMar>
              <w:top w:w="0" w:type="dxa"/>
              <w:left w:w="108" w:type="dxa"/>
              <w:bottom w:w="0" w:type="dxa"/>
              <w:right w:w="108" w:type="dxa"/>
            </w:tcMar>
            <w:vAlign w:val="center"/>
          </w:tcPr>
          <w:p w14:paraId="0AB7E5EA" w14:textId="2EE63B7B" w:rsidR="00290BE9" w:rsidRPr="00B845AF" w:rsidRDefault="00B81593"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T. Vidal/</w:t>
            </w:r>
            <w:r w:rsidR="007B774B" w:rsidRPr="00B845AF">
              <w:rPr>
                <w:rFonts w:asciiTheme="minorHAnsi" w:eastAsia="MS Mincho" w:hAnsiTheme="minorHAnsi" w:cstheme="minorHAnsi"/>
                <w:sz w:val="20"/>
                <w:szCs w:val="20"/>
                <w:lang w:eastAsia="ja-JP"/>
              </w:rPr>
              <w:t>Chair</w:t>
            </w:r>
          </w:p>
        </w:tc>
      </w:tr>
      <w:tr w:rsidR="009B60EE" w:rsidRPr="00B845AF" w14:paraId="0E2B5912" w14:textId="51106154" w:rsidTr="00E657CA">
        <w:tc>
          <w:tcPr>
            <w:tcW w:w="587" w:type="pct"/>
            <w:tcMar>
              <w:top w:w="0" w:type="dxa"/>
              <w:left w:w="108" w:type="dxa"/>
              <w:bottom w:w="0" w:type="dxa"/>
              <w:right w:w="108" w:type="dxa"/>
            </w:tcMar>
            <w:vAlign w:val="center"/>
          </w:tcPr>
          <w:p w14:paraId="75D4269A" w14:textId="3966DADA" w:rsidR="009B60EE" w:rsidRPr="00B845AF" w:rsidRDefault="009B60EE"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w:t>
            </w:r>
            <w:r w:rsidR="007B774B" w:rsidRPr="00B845AF">
              <w:rPr>
                <w:rFonts w:asciiTheme="minorHAnsi" w:hAnsiTheme="minorHAnsi" w:cstheme="minorHAnsi"/>
                <w:b/>
                <w:bCs/>
                <w:sz w:val="20"/>
                <w:szCs w:val="20"/>
              </w:rPr>
              <w:t>3 (SA Software, P123)</w:t>
            </w:r>
          </w:p>
        </w:tc>
        <w:tc>
          <w:tcPr>
            <w:tcW w:w="2478" w:type="pct"/>
            <w:tcMar>
              <w:top w:w="0" w:type="dxa"/>
              <w:left w:w="108" w:type="dxa"/>
              <w:bottom w:w="0" w:type="dxa"/>
              <w:right w:w="108" w:type="dxa"/>
            </w:tcMar>
          </w:tcPr>
          <w:p w14:paraId="66D9E059" w14:textId="2B74ED6D" w:rsidR="009B60EE" w:rsidRPr="00B845AF" w:rsidRDefault="009B60EE" w:rsidP="009B60EE">
            <w:pPr>
              <w:adjustRightInd w:val="0"/>
              <w:snapToGrid w:val="0"/>
              <w:rPr>
                <w:rFonts w:asciiTheme="minorHAnsi" w:eastAsia="MS Mincho" w:hAnsiTheme="minorHAnsi" w:cstheme="minorHAnsi"/>
                <w:b/>
                <w:bCs/>
                <w:sz w:val="20"/>
                <w:szCs w:val="20"/>
                <w:lang w:eastAsia="ja-JP"/>
              </w:rPr>
            </w:pPr>
            <w:r w:rsidRPr="00B845AF">
              <w:rPr>
                <w:rFonts w:asciiTheme="minorHAnsi" w:hAnsiTheme="minorHAnsi" w:cstheme="minorHAnsi"/>
                <w:b/>
                <w:bCs/>
                <w:sz w:val="20"/>
                <w:szCs w:val="20"/>
              </w:rPr>
              <w:t xml:space="preserve">WCPFC-SC22-2026-SA-WP01. </w:t>
            </w:r>
            <w:r w:rsidRPr="00B845AF">
              <w:rPr>
                <w:rFonts w:asciiTheme="minorHAnsi" w:hAnsiTheme="minorHAnsi" w:cstheme="minorHAnsi"/>
                <w:sz w:val="20"/>
                <w:szCs w:val="20"/>
              </w:rPr>
              <w:t>P. Hamer, A. Magnusson, M. Maunder, G. Pilling.</w:t>
            </w:r>
            <w:r w:rsidRPr="00B845AF">
              <w:rPr>
                <w:rFonts w:asciiTheme="minorHAnsi" w:hAnsiTheme="minorHAnsi" w:cstheme="minorHAnsi"/>
                <w:b/>
                <w:bCs/>
                <w:sz w:val="20"/>
                <w:szCs w:val="20"/>
              </w:rPr>
              <w:t xml:space="preserve"> Project 123: Scoping the next generation of tuna stock assessment software</w:t>
            </w:r>
            <w:r w:rsidRPr="00B845AF">
              <w:rPr>
                <w:rFonts w:asciiTheme="minorHAnsi" w:hAnsiTheme="minorHAnsi" w:cstheme="minorHAnsi"/>
                <w:b/>
                <w:bCs/>
                <w:sz w:val="20"/>
                <w:szCs w:val="20"/>
              </w:rPr>
              <w:br/>
            </w:r>
            <w:r w:rsidRPr="00B845AF">
              <w:rPr>
                <w:rFonts w:asciiTheme="minorHAnsi" w:hAnsiTheme="minorHAnsi" w:cstheme="minorHAnsi"/>
                <w:b/>
                <w:bCs/>
                <w:sz w:val="20"/>
                <w:szCs w:val="20"/>
              </w:rPr>
              <w:br/>
              <w:t xml:space="preserve">WCPFC-SC22-2026-SA-WP02. </w:t>
            </w:r>
            <w:r w:rsidRPr="00B845AF">
              <w:rPr>
                <w:rFonts w:asciiTheme="minorHAnsi" w:hAnsiTheme="minorHAnsi" w:cstheme="minorHAnsi"/>
                <w:sz w:val="20"/>
                <w:szCs w:val="20"/>
              </w:rPr>
              <w:t>N. Ducharme-Barth.</w:t>
            </w:r>
            <w:r w:rsidRPr="00B845AF">
              <w:rPr>
                <w:rFonts w:asciiTheme="minorHAnsi" w:hAnsiTheme="minorHAnsi" w:cstheme="minorHAnsi"/>
                <w:b/>
                <w:bCs/>
                <w:sz w:val="20"/>
                <w:szCs w:val="20"/>
              </w:rPr>
              <w:t xml:space="preserve"> Opal: the open population assessment library</w:t>
            </w:r>
          </w:p>
        </w:tc>
        <w:tc>
          <w:tcPr>
            <w:tcW w:w="529" w:type="pct"/>
            <w:tcMar>
              <w:top w:w="0" w:type="dxa"/>
              <w:left w:w="108" w:type="dxa"/>
              <w:bottom w:w="0" w:type="dxa"/>
              <w:right w:w="108" w:type="dxa"/>
            </w:tcMar>
            <w:vAlign w:val="center"/>
          </w:tcPr>
          <w:p w14:paraId="4F80A0A8" w14:textId="70320A2A" w:rsidR="009B60EE" w:rsidRPr="00B845AF" w:rsidRDefault="009B60EE" w:rsidP="009B60EE">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4.1.2</w:t>
            </w:r>
          </w:p>
        </w:tc>
        <w:tc>
          <w:tcPr>
            <w:tcW w:w="1406" w:type="pct"/>
            <w:tcMar>
              <w:top w:w="0" w:type="dxa"/>
              <w:left w:w="108" w:type="dxa"/>
              <w:bottom w:w="0" w:type="dxa"/>
              <w:right w:w="108" w:type="dxa"/>
            </w:tcMar>
            <w:vAlign w:val="center"/>
          </w:tcPr>
          <w:p w14:paraId="5D8D3B5D" w14:textId="639AA5DD" w:rsidR="009B60EE" w:rsidRPr="00B845AF" w:rsidRDefault="00211901" w:rsidP="009B60EE">
            <w:pPr>
              <w:adjustRightInd w:val="0"/>
              <w:snapToGrid w:val="0"/>
              <w:rPr>
                <w:rFonts w:asciiTheme="minorHAnsi" w:eastAsia="MS Mincho" w:hAnsiTheme="minorHAnsi" w:cstheme="minorHAnsi"/>
                <w:sz w:val="20"/>
                <w:szCs w:val="20"/>
                <w:lang w:eastAsia="ja-JP"/>
              </w:rPr>
            </w:pPr>
            <w:r w:rsidRPr="00B845AF">
              <w:rPr>
                <w:rFonts w:asciiTheme="minorHAnsi" w:hAnsiTheme="minorHAnsi" w:cstheme="minorHAnsi"/>
                <w:sz w:val="20"/>
                <w:szCs w:val="20"/>
              </w:rPr>
              <w:t>P. Hamer</w:t>
            </w:r>
            <w:r w:rsidR="04651EF2" w:rsidRPr="00B845AF">
              <w:rPr>
                <w:rFonts w:asciiTheme="minorHAnsi" w:hAnsiTheme="minorHAnsi" w:cstheme="minorHAnsi"/>
                <w:sz w:val="20"/>
                <w:szCs w:val="20"/>
              </w:rPr>
              <w:t>/</w:t>
            </w:r>
            <w:r w:rsidR="009B60EE" w:rsidRPr="00B845AF">
              <w:rPr>
                <w:rFonts w:asciiTheme="minorHAnsi" w:hAnsiTheme="minorHAnsi" w:cstheme="minorHAnsi"/>
                <w:sz w:val="20"/>
                <w:szCs w:val="20"/>
              </w:rPr>
              <w:t>A. Magnusson/</w:t>
            </w:r>
            <w:r w:rsidR="00880A07" w:rsidRPr="00B845AF">
              <w:rPr>
                <w:rFonts w:asciiTheme="minorHAnsi" w:eastAsia="MS Mincho" w:hAnsiTheme="minorHAnsi" w:cstheme="minorHAnsi"/>
                <w:sz w:val="20"/>
                <w:szCs w:val="20"/>
                <w:lang w:eastAsia="ja-JP"/>
              </w:rPr>
              <w:t>M. Fitchett</w:t>
            </w:r>
          </w:p>
        </w:tc>
      </w:tr>
      <w:tr w:rsidR="009B60EE" w:rsidRPr="00B845AF" w14:paraId="3F78AE3C" w14:textId="5768829B" w:rsidTr="00E657CA">
        <w:tc>
          <w:tcPr>
            <w:tcW w:w="587" w:type="pct"/>
            <w:tcMar>
              <w:top w:w="0" w:type="dxa"/>
              <w:left w:w="108" w:type="dxa"/>
              <w:bottom w:w="0" w:type="dxa"/>
              <w:right w:w="108" w:type="dxa"/>
            </w:tcMar>
            <w:vAlign w:val="center"/>
          </w:tcPr>
          <w:p w14:paraId="430B3D28" w14:textId="39E6C13A" w:rsidR="009B60EE" w:rsidRPr="00B845AF" w:rsidRDefault="009B60EE"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w:t>
            </w:r>
            <w:r w:rsidR="007B774B" w:rsidRPr="00B845AF">
              <w:rPr>
                <w:rFonts w:asciiTheme="minorHAnsi" w:hAnsiTheme="minorHAnsi" w:cstheme="minorHAnsi"/>
                <w:b/>
                <w:bCs/>
                <w:sz w:val="20"/>
                <w:szCs w:val="20"/>
              </w:rPr>
              <w:t>4 (TARP)</w:t>
            </w:r>
          </w:p>
        </w:tc>
        <w:tc>
          <w:tcPr>
            <w:tcW w:w="2478" w:type="pct"/>
            <w:tcMar>
              <w:top w:w="0" w:type="dxa"/>
              <w:left w:w="108" w:type="dxa"/>
              <w:bottom w:w="0" w:type="dxa"/>
              <w:right w:w="108" w:type="dxa"/>
            </w:tcMar>
          </w:tcPr>
          <w:p w14:paraId="2135FE86" w14:textId="7D462528" w:rsidR="009B60EE" w:rsidRPr="00B845AF" w:rsidRDefault="009B60EE" w:rsidP="009B60EE">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WCPFC-SC22-2026-SA-IP22. </w:t>
            </w:r>
            <w:r w:rsidRPr="00B845AF">
              <w:rPr>
                <w:rFonts w:asciiTheme="minorHAnsi" w:hAnsiTheme="minorHAnsi" w:cstheme="minorHAnsi"/>
                <w:sz w:val="20"/>
                <w:szCs w:val="20"/>
              </w:rPr>
              <w:t>G Pilling, P. Hamer and S. Nicol.</w:t>
            </w:r>
            <w:r w:rsidRPr="00B845AF">
              <w:rPr>
                <w:rFonts w:asciiTheme="minorHAnsi" w:hAnsiTheme="minorHAnsi" w:cstheme="minorHAnsi"/>
                <w:b/>
                <w:bCs/>
                <w:sz w:val="20"/>
                <w:szCs w:val="20"/>
              </w:rPr>
              <w:t xml:space="preserve"> Tuna Assessment Research Plan (TARP) for </w:t>
            </w:r>
            <w:r w:rsidRPr="00B845AF">
              <w:rPr>
                <w:rFonts w:asciiTheme="minorHAnsi" w:hAnsiTheme="minorHAnsi" w:cstheme="minorHAnsi"/>
                <w:b/>
                <w:bCs/>
                <w:sz w:val="20"/>
                <w:szCs w:val="20"/>
              </w:rPr>
              <w:lastRenderedPageBreak/>
              <w:t>'Key' Tuna Species Assessments in the WCPO, 2026-2029</w:t>
            </w:r>
          </w:p>
        </w:tc>
        <w:tc>
          <w:tcPr>
            <w:tcW w:w="529" w:type="pct"/>
            <w:tcMar>
              <w:top w:w="0" w:type="dxa"/>
              <w:left w:w="108" w:type="dxa"/>
              <w:bottom w:w="0" w:type="dxa"/>
              <w:right w:w="108" w:type="dxa"/>
            </w:tcMar>
            <w:vAlign w:val="center"/>
          </w:tcPr>
          <w:p w14:paraId="2F723019" w14:textId="0107907F" w:rsidR="009B60EE" w:rsidRPr="00B845AF" w:rsidRDefault="009B60EE" w:rsidP="009B60EE">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lastRenderedPageBreak/>
              <w:t>4.6.</w:t>
            </w:r>
            <w:r w:rsidR="00A32A60" w:rsidRPr="00B845AF">
              <w:rPr>
                <w:rFonts w:asciiTheme="minorHAnsi" w:eastAsia="MS Mincho" w:hAnsiTheme="minorHAnsi" w:cstheme="minorHAnsi"/>
                <w:sz w:val="20"/>
                <w:szCs w:val="20"/>
                <w:lang w:eastAsia="ja-JP"/>
              </w:rPr>
              <w:t>8</w:t>
            </w:r>
            <w:r w:rsidRPr="00B845AF">
              <w:rPr>
                <w:rFonts w:asciiTheme="minorHAnsi" w:eastAsia="MS Mincho" w:hAnsiTheme="minorHAnsi" w:cstheme="minorHAnsi"/>
                <w:sz w:val="20"/>
                <w:szCs w:val="20"/>
                <w:lang w:eastAsia="ja-JP"/>
              </w:rPr>
              <w:t>.1</w:t>
            </w:r>
          </w:p>
        </w:tc>
        <w:tc>
          <w:tcPr>
            <w:tcW w:w="1406" w:type="pct"/>
            <w:tcMar>
              <w:top w:w="0" w:type="dxa"/>
              <w:left w:w="108" w:type="dxa"/>
              <w:bottom w:w="0" w:type="dxa"/>
              <w:right w:w="108" w:type="dxa"/>
            </w:tcMar>
            <w:vAlign w:val="center"/>
          </w:tcPr>
          <w:p w14:paraId="454692C0" w14:textId="6969D683" w:rsidR="009B60EE" w:rsidRPr="00B845AF" w:rsidRDefault="7282AB21" w:rsidP="00211901">
            <w:pPr>
              <w:spacing w:line="259" w:lineRule="auto"/>
              <w:rPr>
                <w:rFonts w:asciiTheme="minorHAnsi" w:eastAsia="MS Mincho" w:hAnsiTheme="minorHAnsi" w:cstheme="minorHAnsi"/>
                <w:sz w:val="20"/>
                <w:szCs w:val="20"/>
                <w:lang w:eastAsia="ja-JP"/>
              </w:rPr>
            </w:pPr>
            <w:r w:rsidRPr="00B845AF">
              <w:rPr>
                <w:rFonts w:asciiTheme="minorHAnsi" w:hAnsiTheme="minorHAnsi" w:cstheme="minorHAnsi"/>
                <w:sz w:val="20"/>
                <w:szCs w:val="20"/>
              </w:rPr>
              <w:t>G. Pilling</w:t>
            </w:r>
            <w:r w:rsidR="009B60EE" w:rsidRPr="00B845AF">
              <w:rPr>
                <w:rFonts w:asciiTheme="minorHAnsi" w:hAnsiTheme="minorHAnsi" w:cstheme="minorHAnsi"/>
                <w:sz w:val="20"/>
                <w:szCs w:val="20"/>
              </w:rPr>
              <w:t>/</w:t>
            </w:r>
            <w:r w:rsidR="003D181F" w:rsidRPr="00B845AF">
              <w:rPr>
                <w:rFonts w:asciiTheme="minorHAnsi" w:eastAsia="MS Mincho" w:hAnsiTheme="minorHAnsi" w:cstheme="minorHAnsi"/>
                <w:sz w:val="20"/>
                <w:szCs w:val="20"/>
                <w:lang w:eastAsia="ja-JP"/>
              </w:rPr>
              <w:t>M. Sculley</w:t>
            </w:r>
          </w:p>
        </w:tc>
      </w:tr>
      <w:tr w:rsidR="00290BE9" w:rsidRPr="00B845AF" w14:paraId="68569B52" w14:textId="1D7DA7D1" w:rsidTr="00E657CA">
        <w:tc>
          <w:tcPr>
            <w:tcW w:w="587" w:type="pct"/>
            <w:tcMar>
              <w:top w:w="0" w:type="dxa"/>
              <w:left w:w="108" w:type="dxa"/>
              <w:bottom w:w="0" w:type="dxa"/>
              <w:right w:w="108" w:type="dxa"/>
            </w:tcMar>
            <w:vAlign w:val="center"/>
          </w:tcPr>
          <w:p w14:paraId="707CD4A7" w14:textId="648F945A" w:rsidR="00290BE9" w:rsidRPr="00B845AF" w:rsidRDefault="00290BE9"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w:t>
            </w:r>
            <w:r w:rsidR="007B774B" w:rsidRPr="00B845AF">
              <w:rPr>
                <w:rFonts w:asciiTheme="minorHAnsi" w:hAnsiTheme="minorHAnsi" w:cstheme="minorHAnsi"/>
                <w:b/>
                <w:bCs/>
                <w:sz w:val="20"/>
                <w:szCs w:val="20"/>
              </w:rPr>
              <w:t>5 (BRP)</w:t>
            </w:r>
          </w:p>
        </w:tc>
        <w:tc>
          <w:tcPr>
            <w:tcW w:w="2478" w:type="pct"/>
            <w:tcMar>
              <w:top w:w="0" w:type="dxa"/>
              <w:left w:w="108" w:type="dxa"/>
              <w:bottom w:w="0" w:type="dxa"/>
              <w:right w:w="108" w:type="dxa"/>
            </w:tcMar>
            <w:vAlign w:val="center"/>
          </w:tcPr>
          <w:p w14:paraId="7FF6F01E" w14:textId="7C690F03" w:rsidR="00290BE9" w:rsidRPr="00B845AF" w:rsidRDefault="009B60EE"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WCPFC-SC22-2026-SA-IP23. </w:t>
            </w:r>
            <w:r w:rsidRPr="00B845AF">
              <w:rPr>
                <w:rFonts w:asciiTheme="minorHAnsi" w:hAnsiTheme="minorHAnsi" w:cstheme="minorHAnsi"/>
                <w:sz w:val="20"/>
                <w:szCs w:val="20"/>
              </w:rPr>
              <w:t xml:space="preserve">S Brouwer and P. Hamer. </w:t>
            </w:r>
            <w:r w:rsidRPr="00B845AF">
              <w:rPr>
                <w:rFonts w:asciiTheme="minorHAnsi" w:hAnsiTheme="minorHAnsi" w:cstheme="minorHAnsi"/>
                <w:b/>
                <w:bCs/>
                <w:sz w:val="20"/>
                <w:szCs w:val="20"/>
              </w:rPr>
              <w:t>Progress against the 2023-2030 Billfish Research Plan – 2026</w:t>
            </w:r>
          </w:p>
        </w:tc>
        <w:tc>
          <w:tcPr>
            <w:tcW w:w="529" w:type="pct"/>
            <w:tcMar>
              <w:top w:w="0" w:type="dxa"/>
              <w:left w:w="108" w:type="dxa"/>
              <w:bottom w:w="0" w:type="dxa"/>
              <w:right w:w="108" w:type="dxa"/>
            </w:tcMar>
            <w:vAlign w:val="center"/>
          </w:tcPr>
          <w:p w14:paraId="3F66AD01" w14:textId="007C4E67" w:rsidR="00290BE9" w:rsidRPr="00B845AF" w:rsidRDefault="009B60EE"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4.6.</w:t>
            </w:r>
            <w:r w:rsidR="00A32A60" w:rsidRPr="00B845AF">
              <w:rPr>
                <w:rFonts w:asciiTheme="minorHAnsi" w:eastAsia="MS Mincho" w:hAnsiTheme="minorHAnsi" w:cstheme="minorHAnsi"/>
                <w:sz w:val="20"/>
                <w:szCs w:val="20"/>
                <w:lang w:eastAsia="ja-JP"/>
              </w:rPr>
              <w:t>8</w:t>
            </w:r>
            <w:r w:rsidRPr="00B845AF">
              <w:rPr>
                <w:rFonts w:asciiTheme="minorHAnsi" w:eastAsia="MS Mincho" w:hAnsiTheme="minorHAnsi" w:cstheme="minorHAnsi"/>
                <w:sz w:val="20"/>
                <w:szCs w:val="20"/>
                <w:lang w:eastAsia="ja-JP"/>
              </w:rPr>
              <w:t>.2</w:t>
            </w:r>
          </w:p>
        </w:tc>
        <w:tc>
          <w:tcPr>
            <w:tcW w:w="1406" w:type="pct"/>
            <w:tcMar>
              <w:top w:w="0" w:type="dxa"/>
              <w:left w:w="108" w:type="dxa"/>
              <w:bottom w:w="0" w:type="dxa"/>
              <w:right w:w="108" w:type="dxa"/>
            </w:tcMar>
            <w:vAlign w:val="center"/>
          </w:tcPr>
          <w:p w14:paraId="036F8539" w14:textId="35A0323E" w:rsidR="00290BE9" w:rsidRPr="00B845AF" w:rsidRDefault="009B60EE" w:rsidP="00290BE9">
            <w:pPr>
              <w:adjustRightInd w:val="0"/>
              <w:snapToGrid w:val="0"/>
              <w:rPr>
                <w:rFonts w:asciiTheme="minorHAnsi" w:eastAsia="MS Mincho" w:hAnsiTheme="minorHAnsi" w:cstheme="minorHAnsi"/>
                <w:sz w:val="20"/>
                <w:szCs w:val="20"/>
                <w:lang w:eastAsia="ja-JP"/>
              </w:rPr>
            </w:pPr>
            <w:r w:rsidRPr="00B845AF">
              <w:rPr>
                <w:rFonts w:asciiTheme="minorHAnsi" w:hAnsiTheme="minorHAnsi" w:cstheme="minorHAnsi"/>
                <w:sz w:val="20"/>
                <w:szCs w:val="20"/>
              </w:rPr>
              <w:t>S. Brouwer/</w:t>
            </w:r>
            <w:r w:rsidR="009709B4" w:rsidRPr="00B845AF">
              <w:rPr>
                <w:rFonts w:asciiTheme="minorHAnsi" w:eastAsia="MS Mincho" w:hAnsiTheme="minorHAnsi" w:cstheme="minorHAnsi"/>
                <w:sz w:val="20"/>
                <w:szCs w:val="20"/>
                <w:lang w:eastAsia="ja-JP"/>
              </w:rPr>
              <w:t>N. Ducharme-Barth</w:t>
            </w:r>
          </w:p>
        </w:tc>
      </w:tr>
      <w:tr w:rsidR="00290BE9" w:rsidRPr="00B845AF" w14:paraId="3DA4DACE" w14:textId="0C09C035" w:rsidTr="00E657CA">
        <w:trPr>
          <w:trHeight w:val="511"/>
        </w:trPr>
        <w:tc>
          <w:tcPr>
            <w:tcW w:w="587" w:type="pct"/>
            <w:tcMar>
              <w:top w:w="0" w:type="dxa"/>
              <w:left w:w="108" w:type="dxa"/>
              <w:bottom w:w="0" w:type="dxa"/>
              <w:right w:w="108" w:type="dxa"/>
            </w:tcMar>
            <w:vAlign w:val="center"/>
          </w:tcPr>
          <w:p w14:paraId="3120AE11" w14:textId="733B2911" w:rsidR="00290BE9" w:rsidRPr="00B845AF" w:rsidRDefault="00290BE9" w:rsidP="007B774B">
            <w:pPr>
              <w:adjustRightInd w:val="0"/>
              <w:snapToGrid w:val="0"/>
              <w:jc w:val="center"/>
              <w:rPr>
                <w:rFonts w:asciiTheme="minorHAnsi" w:hAnsiTheme="minorHAnsi" w:cstheme="minorHAnsi"/>
                <w:b/>
                <w:bCs/>
                <w:sz w:val="20"/>
                <w:szCs w:val="20"/>
              </w:rPr>
            </w:pPr>
            <w:r w:rsidRPr="00B845AF">
              <w:rPr>
                <w:rFonts w:asciiTheme="minorHAnsi" w:hAnsiTheme="minorHAnsi" w:cstheme="minorHAnsi"/>
                <w:b/>
                <w:bCs/>
                <w:sz w:val="20"/>
                <w:szCs w:val="20"/>
              </w:rPr>
              <w:t>ISG0</w:t>
            </w:r>
            <w:r w:rsidR="007B774B" w:rsidRPr="00B845AF">
              <w:rPr>
                <w:rFonts w:asciiTheme="minorHAnsi" w:hAnsiTheme="minorHAnsi" w:cstheme="minorHAnsi"/>
                <w:b/>
                <w:bCs/>
                <w:sz w:val="20"/>
                <w:szCs w:val="20"/>
              </w:rPr>
              <w:t>6 (SRP)</w:t>
            </w:r>
          </w:p>
        </w:tc>
        <w:tc>
          <w:tcPr>
            <w:tcW w:w="2478" w:type="pct"/>
            <w:tcMar>
              <w:top w:w="0" w:type="dxa"/>
              <w:left w:w="108" w:type="dxa"/>
              <w:bottom w:w="0" w:type="dxa"/>
              <w:right w:w="108" w:type="dxa"/>
            </w:tcMar>
            <w:vAlign w:val="center"/>
          </w:tcPr>
          <w:p w14:paraId="4DC2805E" w14:textId="4B150438" w:rsidR="00290BE9" w:rsidRPr="00B845AF" w:rsidRDefault="009B60EE"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WCPFC-SC22-2026-SA-IP24. </w:t>
            </w:r>
            <w:r w:rsidRPr="00B845AF">
              <w:rPr>
                <w:rFonts w:asciiTheme="minorHAnsi" w:hAnsiTheme="minorHAnsi" w:cstheme="minorHAnsi"/>
                <w:sz w:val="20"/>
                <w:szCs w:val="20"/>
              </w:rPr>
              <w:t>S Brouwer and P. Hamer.</w:t>
            </w:r>
            <w:r w:rsidRPr="00B845AF">
              <w:rPr>
                <w:rFonts w:asciiTheme="minorHAnsi" w:hAnsiTheme="minorHAnsi" w:cstheme="minorHAnsi"/>
                <w:b/>
                <w:bCs/>
                <w:sz w:val="20"/>
                <w:szCs w:val="20"/>
              </w:rPr>
              <w:t xml:space="preserve"> Progress against the 2021-2030 Shark Research Plan - 2026</w:t>
            </w:r>
          </w:p>
        </w:tc>
        <w:tc>
          <w:tcPr>
            <w:tcW w:w="529" w:type="pct"/>
            <w:tcMar>
              <w:top w:w="0" w:type="dxa"/>
              <w:left w:w="108" w:type="dxa"/>
              <w:bottom w:w="0" w:type="dxa"/>
              <w:right w:w="108" w:type="dxa"/>
            </w:tcMar>
            <w:vAlign w:val="center"/>
          </w:tcPr>
          <w:p w14:paraId="39C366D9" w14:textId="7811E86A" w:rsidR="00290BE9" w:rsidRPr="00B845AF" w:rsidRDefault="00290BE9" w:rsidP="00290BE9">
            <w:pPr>
              <w:adjustRightInd w:val="0"/>
              <w:snapToGrid w:val="0"/>
              <w:rPr>
                <w:rFonts w:asciiTheme="minorHAnsi" w:hAnsiTheme="minorHAnsi" w:cstheme="minorHAnsi"/>
                <w:sz w:val="20"/>
                <w:szCs w:val="20"/>
              </w:rPr>
            </w:pPr>
            <w:r w:rsidRPr="00B845AF">
              <w:rPr>
                <w:rFonts w:asciiTheme="minorHAnsi" w:hAnsiTheme="minorHAnsi" w:cstheme="minorHAnsi"/>
                <w:sz w:val="20"/>
                <w:szCs w:val="20"/>
              </w:rPr>
              <w:t>4.</w:t>
            </w:r>
            <w:r w:rsidR="009B60EE" w:rsidRPr="00B845AF">
              <w:rPr>
                <w:rFonts w:asciiTheme="minorHAnsi" w:hAnsiTheme="minorHAnsi" w:cstheme="minorHAnsi"/>
                <w:sz w:val="20"/>
                <w:szCs w:val="20"/>
              </w:rPr>
              <w:t>6.</w:t>
            </w:r>
            <w:r w:rsidR="00A32A60" w:rsidRPr="00B845AF">
              <w:rPr>
                <w:rFonts w:asciiTheme="minorHAnsi" w:hAnsiTheme="minorHAnsi" w:cstheme="minorHAnsi"/>
                <w:sz w:val="20"/>
                <w:szCs w:val="20"/>
              </w:rPr>
              <w:t>8</w:t>
            </w:r>
            <w:r w:rsidR="009B60EE" w:rsidRPr="00B845AF">
              <w:rPr>
                <w:rFonts w:asciiTheme="minorHAnsi" w:hAnsiTheme="minorHAnsi" w:cstheme="minorHAnsi"/>
                <w:sz w:val="20"/>
                <w:szCs w:val="20"/>
              </w:rPr>
              <w:t>.3</w:t>
            </w:r>
          </w:p>
        </w:tc>
        <w:tc>
          <w:tcPr>
            <w:tcW w:w="1406" w:type="pct"/>
            <w:tcMar>
              <w:top w:w="0" w:type="dxa"/>
              <w:left w:w="108" w:type="dxa"/>
              <w:bottom w:w="0" w:type="dxa"/>
              <w:right w:w="108" w:type="dxa"/>
            </w:tcMar>
            <w:vAlign w:val="center"/>
          </w:tcPr>
          <w:p w14:paraId="6B29CCDB" w14:textId="7DC6B65C" w:rsidR="00290BE9" w:rsidRPr="00B845AF" w:rsidRDefault="009B60EE" w:rsidP="00290BE9">
            <w:pPr>
              <w:adjustRightInd w:val="0"/>
              <w:snapToGrid w:val="0"/>
              <w:rPr>
                <w:rFonts w:asciiTheme="minorHAnsi" w:eastAsia="MS Mincho" w:hAnsiTheme="minorHAnsi" w:cstheme="minorHAnsi"/>
                <w:sz w:val="20"/>
                <w:szCs w:val="20"/>
                <w:lang w:eastAsia="ja-JP"/>
              </w:rPr>
            </w:pPr>
            <w:r w:rsidRPr="00B845AF">
              <w:rPr>
                <w:rFonts w:asciiTheme="minorHAnsi" w:hAnsiTheme="minorHAnsi" w:cstheme="minorHAnsi"/>
                <w:sz w:val="20"/>
                <w:szCs w:val="20"/>
              </w:rPr>
              <w:t>S. Brouwer/</w:t>
            </w:r>
            <w:r w:rsidR="00C12139" w:rsidRPr="00B845AF">
              <w:rPr>
                <w:rFonts w:asciiTheme="minorHAnsi" w:eastAsia="MS Mincho" w:hAnsiTheme="minorHAnsi" w:cstheme="minorHAnsi"/>
                <w:sz w:val="20"/>
                <w:szCs w:val="20"/>
                <w:lang w:eastAsia="ja-JP"/>
              </w:rPr>
              <w:t>Y. Aoki</w:t>
            </w:r>
          </w:p>
        </w:tc>
      </w:tr>
      <w:tr w:rsidR="007B774B" w:rsidRPr="00B845AF" w14:paraId="3291F771" w14:textId="77777777" w:rsidTr="00E657CA">
        <w:trPr>
          <w:trHeight w:val="511"/>
        </w:trPr>
        <w:tc>
          <w:tcPr>
            <w:tcW w:w="587" w:type="pct"/>
            <w:tcMar>
              <w:top w:w="0" w:type="dxa"/>
              <w:left w:w="108" w:type="dxa"/>
              <w:bottom w:w="0" w:type="dxa"/>
              <w:right w:w="108" w:type="dxa"/>
            </w:tcMar>
            <w:vAlign w:val="center"/>
          </w:tcPr>
          <w:p w14:paraId="4285076D" w14:textId="3FA3725A" w:rsidR="007B774B" w:rsidRPr="00B845AF" w:rsidRDefault="007B774B" w:rsidP="007B774B">
            <w:pPr>
              <w:adjustRightInd w:val="0"/>
              <w:snapToGrid w:val="0"/>
              <w:jc w:val="center"/>
              <w:rPr>
                <w:rFonts w:asciiTheme="minorHAnsi" w:eastAsia="MS Mincho" w:hAnsiTheme="minorHAnsi" w:cstheme="minorHAnsi"/>
                <w:b/>
                <w:bCs/>
                <w:sz w:val="20"/>
                <w:szCs w:val="20"/>
                <w:lang w:eastAsia="ja-JP"/>
              </w:rPr>
            </w:pPr>
            <w:r w:rsidRPr="00B845AF">
              <w:rPr>
                <w:rFonts w:asciiTheme="minorHAnsi" w:eastAsia="MS Mincho" w:hAnsiTheme="minorHAnsi" w:cstheme="minorHAnsi"/>
                <w:b/>
                <w:bCs/>
                <w:sz w:val="20"/>
                <w:szCs w:val="20"/>
                <w:lang w:eastAsia="ja-JP"/>
              </w:rPr>
              <w:t>ISG07 (FAD MO IWG)</w:t>
            </w:r>
          </w:p>
        </w:tc>
        <w:tc>
          <w:tcPr>
            <w:tcW w:w="2478" w:type="pct"/>
            <w:tcMar>
              <w:top w:w="0" w:type="dxa"/>
              <w:left w:w="108" w:type="dxa"/>
              <w:bottom w:w="0" w:type="dxa"/>
              <w:right w:w="108" w:type="dxa"/>
            </w:tcMar>
            <w:vAlign w:val="center"/>
          </w:tcPr>
          <w:p w14:paraId="047ABD37" w14:textId="59FB7CF9" w:rsidR="007B774B" w:rsidRPr="00B845AF" w:rsidRDefault="007B774B"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WCPFC-SC22-2026-EB-WP04 </w:t>
            </w:r>
            <w:r w:rsidRPr="00B845AF">
              <w:rPr>
                <w:rFonts w:asciiTheme="minorHAnsi" w:hAnsiTheme="minorHAnsi" w:cstheme="minorHAnsi"/>
                <w:sz w:val="20"/>
                <w:szCs w:val="20"/>
              </w:rPr>
              <w:t>FADMO-IWG.</w:t>
            </w:r>
            <w:r w:rsidRPr="00B845AF">
              <w:rPr>
                <w:rFonts w:asciiTheme="minorHAnsi" w:hAnsiTheme="minorHAnsi" w:cstheme="minorHAnsi"/>
                <w:b/>
                <w:bCs/>
                <w:sz w:val="20"/>
                <w:szCs w:val="20"/>
              </w:rPr>
              <w:t xml:space="preserve"> Progress of the FADMO-IWG Priority Tasks for 2026</w:t>
            </w:r>
          </w:p>
        </w:tc>
        <w:tc>
          <w:tcPr>
            <w:tcW w:w="529" w:type="pct"/>
            <w:tcMar>
              <w:top w:w="0" w:type="dxa"/>
              <w:left w:w="108" w:type="dxa"/>
              <w:bottom w:w="0" w:type="dxa"/>
              <w:right w:w="108" w:type="dxa"/>
            </w:tcMar>
            <w:vAlign w:val="center"/>
          </w:tcPr>
          <w:p w14:paraId="73B98792" w14:textId="32DBC553" w:rsidR="007B774B" w:rsidRPr="00B845AF" w:rsidRDefault="007B774B"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6.3.3</w:t>
            </w:r>
          </w:p>
        </w:tc>
        <w:tc>
          <w:tcPr>
            <w:tcW w:w="1406" w:type="pct"/>
            <w:tcMar>
              <w:top w:w="0" w:type="dxa"/>
              <w:left w:w="108" w:type="dxa"/>
              <w:bottom w:w="0" w:type="dxa"/>
              <w:right w:w="108" w:type="dxa"/>
            </w:tcMar>
            <w:vAlign w:val="center"/>
          </w:tcPr>
          <w:p w14:paraId="2F92ECC4" w14:textId="4C80CCDC" w:rsidR="007B774B" w:rsidRPr="00B845AF" w:rsidRDefault="007B774B" w:rsidP="00290BE9">
            <w:pPr>
              <w:adjustRightInd w:val="0"/>
              <w:snapToGrid w:val="0"/>
              <w:rPr>
                <w:rFonts w:asciiTheme="minorHAnsi" w:hAnsiTheme="minorHAnsi" w:cstheme="minorHAnsi"/>
                <w:sz w:val="20"/>
                <w:szCs w:val="20"/>
              </w:rPr>
            </w:pPr>
            <w:r w:rsidRPr="00B845AF">
              <w:rPr>
                <w:rFonts w:asciiTheme="minorHAnsi" w:hAnsiTheme="minorHAnsi" w:cstheme="minorHAnsi"/>
                <w:sz w:val="20"/>
                <w:szCs w:val="20"/>
              </w:rPr>
              <w:t>Poi (Niue)/EB Theme Conven</w:t>
            </w:r>
            <w:r w:rsidR="00EA0482" w:rsidRPr="00B845AF">
              <w:rPr>
                <w:rFonts w:asciiTheme="minorHAnsi" w:hAnsiTheme="minorHAnsi" w:cstheme="minorHAnsi"/>
                <w:sz w:val="20"/>
                <w:szCs w:val="20"/>
              </w:rPr>
              <w:t>e</w:t>
            </w:r>
            <w:r w:rsidRPr="00B845AF">
              <w:rPr>
                <w:rFonts w:asciiTheme="minorHAnsi" w:hAnsiTheme="minorHAnsi" w:cstheme="minorHAnsi"/>
                <w:sz w:val="20"/>
                <w:szCs w:val="20"/>
              </w:rPr>
              <w:t>r</w:t>
            </w:r>
          </w:p>
        </w:tc>
      </w:tr>
      <w:tr w:rsidR="00416182" w:rsidRPr="00B845AF" w14:paraId="0085F705" w14:textId="77777777" w:rsidTr="00E657CA">
        <w:trPr>
          <w:trHeight w:val="511"/>
        </w:trPr>
        <w:tc>
          <w:tcPr>
            <w:tcW w:w="587" w:type="pct"/>
            <w:tcMar>
              <w:top w:w="0" w:type="dxa"/>
              <w:left w:w="108" w:type="dxa"/>
              <w:bottom w:w="0" w:type="dxa"/>
              <w:right w:w="108" w:type="dxa"/>
            </w:tcMar>
            <w:vAlign w:val="center"/>
          </w:tcPr>
          <w:p w14:paraId="1519C450" w14:textId="51A396A1" w:rsidR="00416182" w:rsidRPr="00B845AF" w:rsidRDefault="00416182" w:rsidP="00532252">
            <w:pPr>
              <w:adjustRightInd w:val="0"/>
              <w:snapToGrid w:val="0"/>
              <w:jc w:val="center"/>
              <w:rPr>
                <w:rFonts w:asciiTheme="minorHAnsi" w:eastAsia="MS Mincho" w:hAnsiTheme="minorHAnsi" w:cstheme="minorHAnsi"/>
                <w:b/>
                <w:bCs/>
                <w:sz w:val="20"/>
                <w:szCs w:val="20"/>
                <w:lang w:eastAsia="ja-JP"/>
              </w:rPr>
            </w:pPr>
            <w:r w:rsidRPr="00B845AF">
              <w:rPr>
                <w:rFonts w:asciiTheme="minorHAnsi" w:eastAsia="MS Mincho" w:hAnsiTheme="minorHAnsi" w:cstheme="minorHAnsi"/>
                <w:b/>
                <w:bCs/>
                <w:sz w:val="20"/>
                <w:szCs w:val="20"/>
                <w:lang w:eastAsia="ja-JP"/>
              </w:rPr>
              <w:t>ISG08</w:t>
            </w:r>
            <w:r w:rsidR="00532252" w:rsidRPr="00B845AF">
              <w:rPr>
                <w:rFonts w:asciiTheme="minorHAnsi" w:eastAsia="MS Mincho" w:hAnsiTheme="minorHAnsi" w:cstheme="minorHAnsi"/>
                <w:b/>
                <w:bCs/>
                <w:sz w:val="20"/>
                <w:szCs w:val="20"/>
                <w:lang w:eastAsia="ja-JP"/>
              </w:rPr>
              <w:t xml:space="preserve"> (Sea turtle)</w:t>
            </w:r>
          </w:p>
        </w:tc>
        <w:tc>
          <w:tcPr>
            <w:tcW w:w="2478" w:type="pct"/>
            <w:tcMar>
              <w:top w:w="0" w:type="dxa"/>
              <w:left w:w="108" w:type="dxa"/>
              <w:bottom w:w="0" w:type="dxa"/>
              <w:right w:w="108" w:type="dxa"/>
            </w:tcMar>
            <w:vAlign w:val="center"/>
          </w:tcPr>
          <w:p w14:paraId="188CE058" w14:textId="28F90CE0" w:rsidR="00416182" w:rsidRPr="00B845AF" w:rsidRDefault="00416182" w:rsidP="00290BE9">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WCPFC-SC22-2026-EB-WP08. </w:t>
            </w:r>
            <w:r w:rsidRPr="00B845AF">
              <w:rPr>
                <w:rFonts w:asciiTheme="minorHAnsi" w:hAnsiTheme="minorHAnsi" w:cstheme="minorHAnsi"/>
                <w:sz w:val="20"/>
                <w:szCs w:val="20"/>
              </w:rPr>
              <w:t xml:space="preserve">United States. </w:t>
            </w:r>
            <w:r w:rsidRPr="00B845AF">
              <w:rPr>
                <w:rFonts w:asciiTheme="minorHAnsi" w:hAnsiTheme="minorHAnsi" w:cstheme="minorHAnsi"/>
                <w:b/>
                <w:bCs/>
                <w:sz w:val="20"/>
                <w:szCs w:val="20"/>
              </w:rPr>
              <w:t>Identifying risk factors in leatherback bycatch in Hawaii</w:t>
            </w:r>
            <w:r w:rsidR="007C63B2" w:rsidRPr="00B845AF">
              <w:rPr>
                <w:rFonts w:asciiTheme="minorHAnsi" w:eastAsia="MS Mincho" w:hAnsiTheme="minorHAnsi" w:cstheme="minorHAnsi"/>
                <w:b/>
                <w:bCs/>
                <w:sz w:val="20"/>
                <w:szCs w:val="20"/>
                <w:lang w:eastAsia="ja-JP"/>
              </w:rPr>
              <w:t>’</w:t>
            </w:r>
            <w:r w:rsidRPr="00B845AF">
              <w:rPr>
                <w:rFonts w:asciiTheme="minorHAnsi" w:hAnsiTheme="minorHAnsi" w:cstheme="minorHAnsi"/>
                <w:b/>
                <w:bCs/>
                <w:sz w:val="20"/>
                <w:szCs w:val="20"/>
              </w:rPr>
              <w:t>s deep-set longline fishery</w:t>
            </w:r>
          </w:p>
        </w:tc>
        <w:tc>
          <w:tcPr>
            <w:tcW w:w="529" w:type="pct"/>
            <w:tcMar>
              <w:top w:w="0" w:type="dxa"/>
              <w:left w:w="108" w:type="dxa"/>
              <w:bottom w:w="0" w:type="dxa"/>
              <w:right w:w="108" w:type="dxa"/>
            </w:tcMar>
            <w:vAlign w:val="center"/>
          </w:tcPr>
          <w:p w14:paraId="6F875B0B" w14:textId="573E7369" w:rsidR="00416182" w:rsidRPr="00B845AF" w:rsidRDefault="00416182"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6.4.3</w:t>
            </w:r>
          </w:p>
        </w:tc>
        <w:tc>
          <w:tcPr>
            <w:tcW w:w="1406" w:type="pct"/>
            <w:tcMar>
              <w:top w:w="0" w:type="dxa"/>
              <w:left w:w="108" w:type="dxa"/>
              <w:bottom w:w="0" w:type="dxa"/>
              <w:right w:w="108" w:type="dxa"/>
            </w:tcMar>
            <w:vAlign w:val="center"/>
          </w:tcPr>
          <w:p w14:paraId="36BCB559" w14:textId="381EE1AA" w:rsidR="00416182" w:rsidRPr="00B845AF" w:rsidRDefault="00416182"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USA</w:t>
            </w:r>
          </w:p>
        </w:tc>
      </w:tr>
      <w:tr w:rsidR="009B60EE" w:rsidRPr="00B845AF" w14:paraId="67DA3CA3" w14:textId="77777777" w:rsidTr="00E657CA">
        <w:trPr>
          <w:trHeight w:val="511"/>
        </w:trPr>
        <w:tc>
          <w:tcPr>
            <w:tcW w:w="587" w:type="pct"/>
            <w:tcMar>
              <w:top w:w="0" w:type="dxa"/>
              <w:left w:w="108" w:type="dxa"/>
              <w:bottom w:w="0" w:type="dxa"/>
              <w:right w:w="108" w:type="dxa"/>
            </w:tcMar>
            <w:vAlign w:val="center"/>
          </w:tcPr>
          <w:p w14:paraId="33A61FED" w14:textId="0DCF8F9E" w:rsidR="009B60EE" w:rsidRPr="00B845AF" w:rsidRDefault="009B60EE" w:rsidP="00290BE9">
            <w:pPr>
              <w:adjustRightInd w:val="0"/>
              <w:snapToGrid w:val="0"/>
              <w:jc w:val="center"/>
              <w:rPr>
                <w:rFonts w:asciiTheme="minorHAnsi" w:eastAsia="MS Mincho" w:hAnsiTheme="minorHAnsi" w:cstheme="minorHAnsi"/>
                <w:b/>
                <w:sz w:val="20"/>
                <w:szCs w:val="20"/>
                <w:lang w:eastAsia="ja-JP"/>
              </w:rPr>
            </w:pPr>
            <w:r w:rsidRPr="00B845AF">
              <w:rPr>
                <w:rFonts w:asciiTheme="minorHAnsi" w:eastAsia="MS Mincho" w:hAnsiTheme="minorHAnsi" w:cstheme="minorHAnsi"/>
                <w:b/>
                <w:sz w:val="20"/>
                <w:szCs w:val="20"/>
                <w:lang w:eastAsia="ja-JP"/>
              </w:rPr>
              <w:t>ISG0</w:t>
            </w:r>
            <w:r w:rsidR="00416182" w:rsidRPr="00B845AF">
              <w:rPr>
                <w:rFonts w:asciiTheme="minorHAnsi" w:eastAsia="MS Mincho" w:hAnsiTheme="minorHAnsi" w:cstheme="minorHAnsi"/>
                <w:b/>
                <w:sz w:val="20"/>
                <w:szCs w:val="20"/>
                <w:lang w:eastAsia="ja-JP"/>
              </w:rPr>
              <w:t>9</w:t>
            </w:r>
            <w:r w:rsidR="007B774B" w:rsidRPr="00B845AF">
              <w:rPr>
                <w:rFonts w:asciiTheme="minorHAnsi" w:eastAsia="MS Mincho" w:hAnsiTheme="minorHAnsi" w:cstheme="minorHAnsi"/>
                <w:b/>
                <w:sz w:val="20"/>
                <w:szCs w:val="20"/>
                <w:lang w:eastAsia="ja-JP"/>
              </w:rPr>
              <w:t xml:space="preserve"> (BET </w:t>
            </w:r>
            <w:proofErr w:type="spellStart"/>
            <w:r w:rsidR="007B774B" w:rsidRPr="00B845AF">
              <w:rPr>
                <w:rFonts w:asciiTheme="minorHAnsi" w:eastAsia="MS Mincho" w:hAnsiTheme="minorHAnsi" w:cstheme="minorHAnsi"/>
                <w:b/>
                <w:sz w:val="20"/>
                <w:szCs w:val="20"/>
                <w:lang w:eastAsia="ja-JP"/>
              </w:rPr>
              <w:t>Recom</w:t>
            </w:r>
            <w:proofErr w:type="spellEnd"/>
            <w:r w:rsidR="007B774B" w:rsidRPr="00B845AF">
              <w:rPr>
                <w:rFonts w:asciiTheme="minorHAnsi" w:eastAsia="MS Mincho" w:hAnsiTheme="minorHAnsi" w:cstheme="minorHAnsi"/>
                <w:b/>
                <w:sz w:val="20"/>
                <w:szCs w:val="20"/>
                <w:lang w:eastAsia="ja-JP"/>
              </w:rPr>
              <w:t>)</w:t>
            </w:r>
          </w:p>
        </w:tc>
        <w:tc>
          <w:tcPr>
            <w:tcW w:w="2478" w:type="pct"/>
            <w:tcMar>
              <w:top w:w="0" w:type="dxa"/>
              <w:left w:w="108" w:type="dxa"/>
              <w:bottom w:w="0" w:type="dxa"/>
              <w:right w:w="108" w:type="dxa"/>
            </w:tcMar>
            <w:vAlign w:val="center"/>
          </w:tcPr>
          <w:p w14:paraId="072387EA" w14:textId="02750C18" w:rsidR="009B60EE" w:rsidRPr="00B845AF" w:rsidRDefault="009B60EE" w:rsidP="00290BE9">
            <w:pPr>
              <w:adjustRightInd w:val="0"/>
              <w:snapToGrid w:val="0"/>
              <w:rPr>
                <w:rFonts w:asciiTheme="minorHAnsi" w:hAnsiTheme="minorHAnsi" w:cstheme="minorHAnsi"/>
                <w:b/>
                <w:sz w:val="20"/>
                <w:szCs w:val="20"/>
              </w:rPr>
            </w:pPr>
            <w:r w:rsidRPr="00B845AF">
              <w:rPr>
                <w:rFonts w:asciiTheme="minorHAnsi" w:hAnsiTheme="minorHAnsi" w:cstheme="minorHAnsi"/>
                <w:b/>
                <w:sz w:val="20"/>
                <w:szCs w:val="20"/>
              </w:rPr>
              <w:t>WCPFC-SC22-2026-SA-WP06.</w:t>
            </w:r>
            <w:r w:rsidRPr="00B845AF">
              <w:rPr>
                <w:rFonts w:asciiTheme="minorHAnsi" w:hAnsiTheme="minorHAnsi" w:cstheme="minorHAnsi"/>
                <w:sz w:val="20"/>
                <w:szCs w:val="20"/>
              </w:rPr>
              <w:t xml:space="preserve"> K. Kim et al. </w:t>
            </w:r>
            <w:r w:rsidRPr="00B845AF">
              <w:rPr>
                <w:rFonts w:asciiTheme="minorHAnsi" w:hAnsiTheme="minorHAnsi" w:cstheme="minorHAnsi"/>
                <w:b/>
                <w:sz w:val="20"/>
                <w:szCs w:val="20"/>
              </w:rPr>
              <w:t>Stock assessment of bigeye tuna in the western and central Pacific Ocean: 2026</w:t>
            </w:r>
          </w:p>
        </w:tc>
        <w:tc>
          <w:tcPr>
            <w:tcW w:w="529" w:type="pct"/>
            <w:tcMar>
              <w:top w:w="0" w:type="dxa"/>
              <w:left w:w="108" w:type="dxa"/>
              <w:bottom w:w="0" w:type="dxa"/>
              <w:right w:w="108" w:type="dxa"/>
            </w:tcMar>
            <w:vAlign w:val="center"/>
          </w:tcPr>
          <w:p w14:paraId="7921D40D" w14:textId="7923FC30" w:rsidR="009B60EE" w:rsidRPr="00B845AF" w:rsidRDefault="009B60EE"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4.3.2.1</w:t>
            </w:r>
          </w:p>
        </w:tc>
        <w:tc>
          <w:tcPr>
            <w:tcW w:w="1406" w:type="pct"/>
            <w:tcMar>
              <w:top w:w="0" w:type="dxa"/>
              <w:left w:w="108" w:type="dxa"/>
              <w:bottom w:w="0" w:type="dxa"/>
              <w:right w:w="108" w:type="dxa"/>
            </w:tcMar>
            <w:vAlign w:val="center"/>
          </w:tcPr>
          <w:p w14:paraId="21D0F1D5" w14:textId="2E675ED9" w:rsidR="009B60EE" w:rsidRPr="00B845AF" w:rsidRDefault="009B60EE"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K. Kim (P. Hamer)/SA Conven</w:t>
            </w:r>
            <w:r w:rsidR="00A037B7" w:rsidRPr="00B845AF">
              <w:rPr>
                <w:rFonts w:asciiTheme="minorHAnsi" w:eastAsia="MS Mincho" w:hAnsiTheme="minorHAnsi" w:cstheme="minorHAnsi"/>
                <w:sz w:val="20"/>
                <w:szCs w:val="20"/>
                <w:lang w:eastAsia="ja-JP"/>
              </w:rPr>
              <w:t>e</w:t>
            </w:r>
            <w:r w:rsidRPr="00B845AF">
              <w:rPr>
                <w:rFonts w:asciiTheme="minorHAnsi" w:eastAsia="MS Mincho" w:hAnsiTheme="minorHAnsi" w:cstheme="minorHAnsi"/>
                <w:sz w:val="20"/>
                <w:szCs w:val="20"/>
                <w:lang w:eastAsia="ja-JP"/>
              </w:rPr>
              <w:t>r</w:t>
            </w:r>
          </w:p>
        </w:tc>
      </w:tr>
      <w:tr w:rsidR="001D3733" w:rsidRPr="00B845AF" w14:paraId="6969909A" w14:textId="77777777" w:rsidTr="00E657CA">
        <w:trPr>
          <w:trHeight w:val="511"/>
        </w:trPr>
        <w:tc>
          <w:tcPr>
            <w:tcW w:w="587" w:type="pct"/>
            <w:tcMar>
              <w:top w:w="0" w:type="dxa"/>
              <w:left w:w="108" w:type="dxa"/>
              <w:bottom w:w="0" w:type="dxa"/>
              <w:right w:w="108" w:type="dxa"/>
            </w:tcMar>
            <w:vAlign w:val="center"/>
          </w:tcPr>
          <w:p w14:paraId="3F0F6506" w14:textId="756FB3E1" w:rsidR="001D3733" w:rsidRPr="00B845AF" w:rsidRDefault="001D3733" w:rsidP="00290BE9">
            <w:pPr>
              <w:adjustRightInd w:val="0"/>
              <w:snapToGrid w:val="0"/>
              <w:jc w:val="center"/>
              <w:rPr>
                <w:rFonts w:asciiTheme="minorHAnsi" w:eastAsia="MS Mincho" w:hAnsiTheme="minorHAnsi" w:cstheme="minorHAnsi"/>
                <w:b/>
                <w:bCs/>
                <w:sz w:val="20"/>
                <w:szCs w:val="20"/>
                <w:lang w:eastAsia="ja-JP"/>
              </w:rPr>
            </w:pPr>
            <w:r w:rsidRPr="00B845AF">
              <w:rPr>
                <w:rFonts w:asciiTheme="minorHAnsi" w:eastAsia="MS Mincho" w:hAnsiTheme="minorHAnsi" w:cstheme="minorHAnsi"/>
                <w:b/>
                <w:bCs/>
                <w:sz w:val="20"/>
                <w:szCs w:val="20"/>
                <w:lang w:eastAsia="ja-JP"/>
              </w:rPr>
              <w:t>ISG</w:t>
            </w:r>
            <w:r w:rsidR="00416182" w:rsidRPr="00B845AF">
              <w:rPr>
                <w:rFonts w:asciiTheme="minorHAnsi" w:eastAsia="MS Mincho" w:hAnsiTheme="minorHAnsi" w:cstheme="minorHAnsi"/>
                <w:b/>
                <w:bCs/>
                <w:sz w:val="20"/>
                <w:szCs w:val="20"/>
                <w:lang w:eastAsia="ja-JP"/>
              </w:rPr>
              <w:t>10</w:t>
            </w:r>
            <w:r w:rsidR="007B774B" w:rsidRPr="00B845AF">
              <w:rPr>
                <w:rFonts w:asciiTheme="minorHAnsi" w:eastAsia="MS Mincho" w:hAnsiTheme="minorHAnsi" w:cstheme="minorHAnsi"/>
                <w:b/>
                <w:bCs/>
                <w:sz w:val="20"/>
                <w:szCs w:val="20"/>
                <w:lang w:eastAsia="ja-JP"/>
              </w:rPr>
              <w:t xml:space="preserve"> (BET OM-MP </w:t>
            </w:r>
            <w:proofErr w:type="spellStart"/>
            <w:r w:rsidR="007B774B" w:rsidRPr="00B845AF">
              <w:rPr>
                <w:rFonts w:asciiTheme="minorHAnsi" w:eastAsia="MS Mincho" w:hAnsiTheme="minorHAnsi" w:cstheme="minorHAnsi"/>
                <w:b/>
                <w:bCs/>
                <w:sz w:val="20"/>
                <w:szCs w:val="20"/>
                <w:lang w:eastAsia="ja-JP"/>
              </w:rPr>
              <w:t>Recom</w:t>
            </w:r>
            <w:proofErr w:type="spellEnd"/>
            <w:r w:rsidR="007B774B" w:rsidRPr="00B845AF">
              <w:rPr>
                <w:rFonts w:asciiTheme="minorHAnsi" w:eastAsia="MS Mincho" w:hAnsiTheme="minorHAnsi" w:cstheme="minorHAnsi"/>
                <w:b/>
                <w:bCs/>
                <w:sz w:val="20"/>
                <w:szCs w:val="20"/>
                <w:lang w:eastAsia="ja-JP"/>
              </w:rPr>
              <w:t>)</w:t>
            </w:r>
          </w:p>
        </w:tc>
        <w:tc>
          <w:tcPr>
            <w:tcW w:w="2478" w:type="pct"/>
            <w:tcMar>
              <w:top w:w="0" w:type="dxa"/>
              <w:left w:w="108" w:type="dxa"/>
              <w:bottom w:w="0" w:type="dxa"/>
              <w:right w:w="108" w:type="dxa"/>
            </w:tcMar>
            <w:vAlign w:val="center"/>
          </w:tcPr>
          <w:p w14:paraId="092830B5" w14:textId="77777777" w:rsidR="00E657CA" w:rsidRPr="00B845AF" w:rsidRDefault="00E657CA" w:rsidP="00E657CA">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WCPFC-SC22-2026-MI-WP01_Rev01. </w:t>
            </w:r>
            <w:r w:rsidRPr="00B845AF">
              <w:rPr>
                <w:rFonts w:asciiTheme="minorHAnsi" w:hAnsiTheme="minorHAnsi" w:cstheme="minorHAnsi"/>
                <w:sz w:val="20"/>
                <w:szCs w:val="20"/>
              </w:rPr>
              <w:t xml:space="preserve">R. Scott, M. Wickens, F. Scott, N. Yao, A. </w:t>
            </w:r>
            <w:proofErr w:type="spellStart"/>
            <w:r w:rsidRPr="00B845AF">
              <w:rPr>
                <w:rFonts w:asciiTheme="minorHAnsi" w:hAnsiTheme="minorHAnsi" w:cstheme="minorHAnsi"/>
                <w:sz w:val="20"/>
                <w:szCs w:val="20"/>
              </w:rPr>
              <w:t>Dabae</w:t>
            </w:r>
            <w:proofErr w:type="spellEnd"/>
            <w:r w:rsidRPr="00B845AF">
              <w:rPr>
                <w:rFonts w:asciiTheme="minorHAnsi" w:hAnsiTheme="minorHAnsi" w:cstheme="minorHAnsi"/>
                <w:sz w:val="20"/>
                <w:szCs w:val="20"/>
              </w:rPr>
              <w:t xml:space="preserve">. </w:t>
            </w:r>
            <w:r w:rsidRPr="00B845AF">
              <w:rPr>
                <w:rFonts w:asciiTheme="minorHAnsi" w:hAnsiTheme="minorHAnsi" w:cstheme="minorHAnsi"/>
                <w:b/>
                <w:bCs/>
                <w:sz w:val="20"/>
                <w:szCs w:val="20"/>
              </w:rPr>
              <w:t>Updates to the Operating models for bigeye tuna in the WCPO</w:t>
            </w:r>
          </w:p>
          <w:p w14:paraId="65E14FD1" w14:textId="77777777" w:rsidR="00E657CA" w:rsidRPr="00B845AF" w:rsidRDefault="00E657CA" w:rsidP="00E657CA">
            <w:pPr>
              <w:adjustRightInd w:val="0"/>
              <w:snapToGrid w:val="0"/>
              <w:rPr>
                <w:rFonts w:asciiTheme="minorHAnsi" w:hAnsiTheme="minorHAnsi" w:cstheme="minorHAnsi"/>
                <w:b/>
                <w:bCs/>
                <w:sz w:val="20"/>
                <w:szCs w:val="20"/>
              </w:rPr>
            </w:pPr>
          </w:p>
          <w:p w14:paraId="0FBFEA62" w14:textId="77777777" w:rsidR="00E657CA" w:rsidRPr="00B845AF" w:rsidRDefault="00E657CA" w:rsidP="00E657CA">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WCPFC-SC22-2026-MI-WP02 </w:t>
            </w:r>
            <w:r w:rsidRPr="00B845AF">
              <w:rPr>
                <w:rFonts w:asciiTheme="minorHAnsi" w:hAnsiTheme="minorHAnsi" w:cstheme="minorHAnsi"/>
                <w:sz w:val="20"/>
                <w:szCs w:val="20"/>
              </w:rPr>
              <w:t>M. Wickens, F. Scott, R. Scott.</w:t>
            </w:r>
            <w:r w:rsidRPr="00B845AF">
              <w:rPr>
                <w:rFonts w:asciiTheme="minorHAnsi" w:hAnsiTheme="minorHAnsi" w:cstheme="minorHAnsi"/>
                <w:b/>
                <w:bCs/>
                <w:sz w:val="20"/>
                <w:szCs w:val="20"/>
              </w:rPr>
              <w:t xml:space="preserve"> Updates to the Estimation Method for Bigeye Tuna in the WCPO</w:t>
            </w:r>
          </w:p>
          <w:p w14:paraId="508F62D4" w14:textId="77777777" w:rsidR="00E657CA" w:rsidRPr="00B845AF" w:rsidRDefault="00E657CA" w:rsidP="00E657CA">
            <w:pPr>
              <w:adjustRightInd w:val="0"/>
              <w:snapToGrid w:val="0"/>
              <w:rPr>
                <w:rFonts w:asciiTheme="minorHAnsi" w:hAnsiTheme="minorHAnsi" w:cstheme="minorHAnsi"/>
                <w:b/>
                <w:bCs/>
                <w:sz w:val="20"/>
                <w:szCs w:val="20"/>
              </w:rPr>
            </w:pPr>
          </w:p>
          <w:p w14:paraId="4CA373F1" w14:textId="27CF45D2" w:rsidR="001D3733" w:rsidRPr="00B845AF" w:rsidRDefault="00E657CA" w:rsidP="00E657CA">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WCPFC-SC22-2026-MI-WP03. </w:t>
            </w:r>
            <w:r w:rsidRPr="00B845AF">
              <w:rPr>
                <w:rFonts w:asciiTheme="minorHAnsi" w:hAnsiTheme="minorHAnsi" w:cstheme="minorHAnsi"/>
                <w:sz w:val="20"/>
                <w:szCs w:val="20"/>
              </w:rPr>
              <w:t xml:space="preserve">F. Scott, R. Scott, M. Wickens, N. Yao, A. </w:t>
            </w:r>
            <w:proofErr w:type="spellStart"/>
            <w:r w:rsidRPr="00B845AF">
              <w:rPr>
                <w:rFonts w:asciiTheme="minorHAnsi" w:hAnsiTheme="minorHAnsi" w:cstheme="minorHAnsi"/>
                <w:sz w:val="20"/>
                <w:szCs w:val="20"/>
              </w:rPr>
              <w:t>Dabea</w:t>
            </w:r>
            <w:proofErr w:type="spellEnd"/>
            <w:r w:rsidRPr="00B845AF">
              <w:rPr>
                <w:rFonts w:asciiTheme="minorHAnsi" w:hAnsiTheme="minorHAnsi" w:cstheme="minorHAnsi"/>
                <w:sz w:val="20"/>
                <w:szCs w:val="20"/>
              </w:rPr>
              <w:t xml:space="preserve">, P. Hamer and G. M. Pilling. </w:t>
            </w:r>
            <w:r w:rsidRPr="00B845AF">
              <w:rPr>
                <w:rFonts w:asciiTheme="minorHAnsi" w:hAnsiTheme="minorHAnsi" w:cstheme="minorHAnsi"/>
                <w:b/>
                <w:bCs/>
                <w:sz w:val="20"/>
                <w:szCs w:val="20"/>
              </w:rPr>
              <w:t>Bigeye tuna management procedure design and implementation considerations</w:t>
            </w:r>
          </w:p>
        </w:tc>
        <w:tc>
          <w:tcPr>
            <w:tcW w:w="529" w:type="pct"/>
            <w:tcMar>
              <w:top w:w="0" w:type="dxa"/>
              <w:left w:w="108" w:type="dxa"/>
              <w:bottom w:w="0" w:type="dxa"/>
              <w:right w:w="108" w:type="dxa"/>
            </w:tcMar>
            <w:vAlign w:val="center"/>
          </w:tcPr>
          <w:p w14:paraId="35A3B972" w14:textId="3054A3B9" w:rsidR="001D3733" w:rsidRPr="00B845AF" w:rsidRDefault="00E657CA"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5.1.1</w:t>
            </w:r>
          </w:p>
        </w:tc>
        <w:tc>
          <w:tcPr>
            <w:tcW w:w="1406" w:type="pct"/>
            <w:tcMar>
              <w:top w:w="0" w:type="dxa"/>
              <w:left w:w="108" w:type="dxa"/>
              <w:bottom w:w="0" w:type="dxa"/>
              <w:right w:w="108" w:type="dxa"/>
            </w:tcMar>
            <w:vAlign w:val="center"/>
          </w:tcPr>
          <w:p w14:paraId="650E1C89" w14:textId="28C5AC3D" w:rsidR="001D3733" w:rsidRPr="00B845AF" w:rsidRDefault="00E657CA"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AU/MI Convener</w:t>
            </w:r>
          </w:p>
        </w:tc>
      </w:tr>
      <w:tr w:rsidR="006B0D7B" w:rsidRPr="00B845AF" w14:paraId="2E987E5D" w14:textId="77777777" w:rsidTr="00683620">
        <w:trPr>
          <w:trHeight w:val="511"/>
        </w:trPr>
        <w:tc>
          <w:tcPr>
            <w:tcW w:w="587" w:type="pct"/>
            <w:tcMar>
              <w:top w:w="0" w:type="dxa"/>
              <w:left w:w="108" w:type="dxa"/>
              <w:bottom w:w="0" w:type="dxa"/>
              <w:right w:w="108" w:type="dxa"/>
            </w:tcMar>
            <w:vAlign w:val="center"/>
          </w:tcPr>
          <w:p w14:paraId="7E33FC83" w14:textId="5954BC04" w:rsidR="006B0D7B" w:rsidRPr="00B845AF" w:rsidRDefault="006B0D7B" w:rsidP="00290BE9">
            <w:pPr>
              <w:adjustRightInd w:val="0"/>
              <w:snapToGrid w:val="0"/>
              <w:jc w:val="center"/>
              <w:rPr>
                <w:rFonts w:asciiTheme="minorHAnsi" w:eastAsia="MS Mincho" w:hAnsiTheme="minorHAnsi" w:cstheme="minorHAnsi"/>
                <w:b/>
                <w:bCs/>
                <w:sz w:val="20"/>
                <w:szCs w:val="20"/>
                <w:lang w:eastAsia="ja-JP"/>
              </w:rPr>
            </w:pPr>
            <w:r w:rsidRPr="00B845AF">
              <w:rPr>
                <w:rFonts w:asciiTheme="minorHAnsi" w:eastAsia="MS Mincho" w:hAnsiTheme="minorHAnsi" w:cstheme="minorHAnsi"/>
                <w:b/>
                <w:bCs/>
                <w:sz w:val="20"/>
                <w:szCs w:val="20"/>
                <w:lang w:eastAsia="ja-JP"/>
              </w:rPr>
              <w:t>ISG11 (Project 114)</w:t>
            </w:r>
          </w:p>
        </w:tc>
        <w:tc>
          <w:tcPr>
            <w:tcW w:w="2478" w:type="pct"/>
            <w:tcMar>
              <w:top w:w="0" w:type="dxa"/>
              <w:left w:w="108" w:type="dxa"/>
              <w:bottom w:w="0" w:type="dxa"/>
              <w:right w:w="108" w:type="dxa"/>
            </w:tcMar>
            <w:vAlign w:val="center"/>
          </w:tcPr>
          <w:p w14:paraId="2B6B2EC5" w14:textId="5A0552CB" w:rsidR="006B0D7B" w:rsidRPr="00B845AF" w:rsidRDefault="006B0D7B" w:rsidP="00E657CA">
            <w:pPr>
              <w:adjustRightInd w:val="0"/>
              <w:snapToGrid w:val="0"/>
              <w:rPr>
                <w:rFonts w:asciiTheme="minorHAnsi" w:hAnsiTheme="minorHAnsi" w:cstheme="minorHAnsi"/>
                <w:b/>
                <w:bCs/>
                <w:sz w:val="20"/>
                <w:szCs w:val="20"/>
              </w:rPr>
            </w:pPr>
            <w:r w:rsidRPr="00B845AF">
              <w:rPr>
                <w:rFonts w:asciiTheme="minorHAnsi" w:hAnsiTheme="minorHAnsi" w:cstheme="minorHAnsi"/>
                <w:b/>
                <w:bCs/>
                <w:sz w:val="20"/>
                <w:szCs w:val="20"/>
              </w:rPr>
              <w:t xml:space="preserve">WCPFC-SC22-2026-ST-IP06 </w:t>
            </w:r>
            <w:r w:rsidRPr="00B845AF">
              <w:rPr>
                <w:rFonts w:asciiTheme="minorHAnsi" w:hAnsiTheme="minorHAnsi" w:cstheme="minorHAnsi"/>
                <w:sz w:val="20"/>
                <w:szCs w:val="20"/>
              </w:rPr>
              <w:t>SPC-OFP.</w:t>
            </w:r>
            <w:r w:rsidRPr="00B845AF">
              <w:rPr>
                <w:rFonts w:asciiTheme="minorHAnsi" w:hAnsiTheme="minorHAnsi" w:cstheme="minorHAnsi"/>
                <w:b/>
                <w:bCs/>
                <w:sz w:val="20"/>
                <w:szCs w:val="20"/>
              </w:rPr>
              <w:t xml:space="preserve"> Progressing the use of cannery receipt data for scientific work (P114) –a new approach</w:t>
            </w:r>
          </w:p>
        </w:tc>
        <w:tc>
          <w:tcPr>
            <w:tcW w:w="529" w:type="pct"/>
            <w:tcMar>
              <w:top w:w="0" w:type="dxa"/>
              <w:left w:w="108" w:type="dxa"/>
              <w:bottom w:w="0" w:type="dxa"/>
              <w:right w:w="108" w:type="dxa"/>
            </w:tcMar>
            <w:vAlign w:val="center"/>
          </w:tcPr>
          <w:p w14:paraId="49EE0046" w14:textId="07899454" w:rsidR="006B0D7B" w:rsidRPr="00B845AF" w:rsidRDefault="006B0D7B"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3.1.3</w:t>
            </w:r>
          </w:p>
        </w:tc>
        <w:tc>
          <w:tcPr>
            <w:tcW w:w="1406" w:type="pct"/>
            <w:tcMar>
              <w:top w:w="0" w:type="dxa"/>
              <w:left w:w="108" w:type="dxa"/>
              <w:bottom w:w="0" w:type="dxa"/>
              <w:right w:w="108" w:type="dxa"/>
            </w:tcMar>
            <w:vAlign w:val="center"/>
          </w:tcPr>
          <w:p w14:paraId="4A8D6CEC" w14:textId="6DF8E47D" w:rsidR="006B0D7B" w:rsidRPr="00B845AF" w:rsidRDefault="006B0D7B" w:rsidP="00290BE9">
            <w:pPr>
              <w:adjustRightInd w:val="0"/>
              <w:snapToGrid w:val="0"/>
              <w:rPr>
                <w:rFonts w:asciiTheme="minorHAnsi" w:eastAsia="MS Mincho" w:hAnsiTheme="minorHAnsi" w:cstheme="minorHAnsi"/>
                <w:sz w:val="20"/>
                <w:szCs w:val="20"/>
                <w:lang w:eastAsia="ja-JP"/>
              </w:rPr>
            </w:pPr>
            <w:r w:rsidRPr="00B845AF">
              <w:rPr>
                <w:rFonts w:asciiTheme="minorHAnsi" w:eastAsia="MS Mincho" w:hAnsiTheme="minorHAnsi" w:cstheme="minorHAnsi"/>
                <w:sz w:val="20"/>
                <w:szCs w:val="20"/>
                <w:lang w:eastAsia="ja-JP"/>
              </w:rPr>
              <w:t>T. Vidal/Chair</w:t>
            </w:r>
          </w:p>
        </w:tc>
      </w:tr>
      <w:bookmarkEnd w:id="7"/>
      <w:bookmarkEnd w:id="8"/>
    </w:tbl>
    <w:p w14:paraId="7337078A" w14:textId="77777777" w:rsidR="00A04D57" w:rsidRPr="00B845AF" w:rsidRDefault="00A04D57" w:rsidP="00A04D57">
      <w:pPr>
        <w:pStyle w:val="SCtext"/>
        <w:numPr>
          <w:ilvl w:val="0"/>
          <w:numId w:val="0"/>
        </w:numPr>
        <w:rPr>
          <w:rFonts w:asciiTheme="minorHAnsi" w:hAnsiTheme="minorHAnsi" w:cstheme="minorHAnsi"/>
          <w:lang w:val="en-US"/>
        </w:rPr>
      </w:pPr>
    </w:p>
    <w:p w14:paraId="78A0241C" w14:textId="30379166" w:rsidR="007B688B" w:rsidRPr="00B845AF" w:rsidRDefault="007B688B">
      <w:pPr>
        <w:pStyle w:val="SCtext"/>
        <w:rPr>
          <w:rFonts w:asciiTheme="minorHAnsi" w:hAnsiTheme="minorHAnsi" w:cstheme="minorHAnsi"/>
          <w:lang w:val="en-US"/>
        </w:rPr>
      </w:pPr>
      <w:r w:rsidRPr="00B845AF">
        <w:rPr>
          <w:rFonts w:asciiTheme="minorHAnsi" w:hAnsiTheme="minorHAnsi" w:cstheme="minorHAnsi"/>
          <w:lang w:val="en-US"/>
        </w:rPr>
        <w:t>SC2</w:t>
      </w:r>
      <w:r w:rsidR="003B33F5" w:rsidRPr="00B845AF">
        <w:rPr>
          <w:rFonts w:asciiTheme="minorHAnsi" w:hAnsiTheme="minorHAnsi" w:cstheme="minorHAnsi"/>
          <w:lang w:val="en-US"/>
        </w:rPr>
        <w:t>2</w:t>
      </w:r>
      <w:r w:rsidRPr="00B845AF">
        <w:rPr>
          <w:rFonts w:asciiTheme="minorHAnsi" w:hAnsiTheme="minorHAnsi" w:cstheme="minorHAnsi"/>
          <w:lang w:val="en-US"/>
        </w:rPr>
        <w:t xml:space="preserve"> made use of an online discussion forum (ODF) to facilitate consideration of discussions on 202</w:t>
      </w:r>
      <w:r w:rsidR="003B33F5" w:rsidRPr="00B845AF">
        <w:rPr>
          <w:rFonts w:asciiTheme="minorHAnsi" w:hAnsiTheme="minorHAnsi" w:cstheme="minorHAnsi"/>
          <w:lang w:val="en-US"/>
        </w:rPr>
        <w:t>6</w:t>
      </w:r>
      <w:r w:rsidRPr="00B845AF">
        <w:rPr>
          <w:rFonts w:asciiTheme="minorHAnsi" w:hAnsiTheme="minorHAnsi" w:cstheme="minorHAnsi"/>
          <w:lang w:val="en-US"/>
        </w:rPr>
        <w:t xml:space="preserve"> SC projects and other items. The ODF was closed on </w:t>
      </w:r>
      <w:r w:rsidR="001D3733" w:rsidRPr="00B845AF">
        <w:rPr>
          <w:rFonts w:asciiTheme="minorHAnsi" w:hAnsiTheme="minorHAnsi" w:cstheme="minorHAnsi"/>
          <w:lang w:val="en-US"/>
        </w:rPr>
        <w:t>16</w:t>
      </w:r>
      <w:r w:rsidRPr="00B845AF">
        <w:rPr>
          <w:rFonts w:asciiTheme="minorHAnsi" w:hAnsiTheme="minorHAnsi" w:cstheme="minorHAnsi"/>
          <w:lang w:val="en-US"/>
        </w:rPr>
        <w:t xml:space="preserve"> August 202</w:t>
      </w:r>
      <w:r w:rsidR="009B60EE" w:rsidRPr="00B845AF">
        <w:rPr>
          <w:rFonts w:asciiTheme="minorHAnsi" w:hAnsiTheme="minorHAnsi" w:cstheme="minorHAnsi"/>
          <w:lang w:val="en-US"/>
        </w:rPr>
        <w:t>6</w:t>
      </w:r>
      <w:r w:rsidRPr="00B845AF">
        <w:rPr>
          <w:rFonts w:asciiTheme="minorHAnsi" w:hAnsiTheme="minorHAnsi" w:cstheme="minorHAnsi"/>
          <w:lang w:val="en-US"/>
        </w:rPr>
        <w:t>, during SC2</w:t>
      </w:r>
      <w:r w:rsidR="009B60EE" w:rsidRPr="00B845AF">
        <w:rPr>
          <w:rFonts w:asciiTheme="minorHAnsi" w:hAnsiTheme="minorHAnsi" w:cstheme="minorHAnsi"/>
          <w:lang w:val="en-US"/>
        </w:rPr>
        <w:t>2</w:t>
      </w:r>
      <w:r w:rsidRPr="00B845AF">
        <w:rPr>
          <w:rFonts w:asciiTheme="minorHAnsi" w:hAnsiTheme="minorHAnsi" w:cstheme="minorHAnsi"/>
          <w:lang w:val="en-US"/>
        </w:rPr>
        <w:t>, to allow the outcomes of the ODF discussions to be considered by CCMs at SC2</w:t>
      </w:r>
      <w:r w:rsidR="009B60EE" w:rsidRPr="00B845AF">
        <w:rPr>
          <w:rFonts w:asciiTheme="minorHAnsi" w:hAnsiTheme="minorHAnsi" w:cstheme="minorHAnsi"/>
          <w:lang w:val="en-US"/>
        </w:rPr>
        <w:t>2</w:t>
      </w:r>
      <w:r w:rsidRPr="00B845AF">
        <w:rPr>
          <w:rFonts w:asciiTheme="minorHAnsi" w:hAnsiTheme="minorHAnsi" w:cstheme="minorHAnsi"/>
          <w:lang w:val="en-US"/>
        </w:rPr>
        <w:t xml:space="preserve">. A summary of the comments made through the ODF </w:t>
      </w:r>
      <w:r w:rsidR="007D1414" w:rsidRPr="00B845AF">
        <w:rPr>
          <w:rFonts w:asciiTheme="minorHAnsi" w:hAnsiTheme="minorHAnsi" w:cstheme="minorHAnsi"/>
          <w:lang w:val="en-US"/>
        </w:rPr>
        <w:t xml:space="preserve">is </w:t>
      </w:r>
      <w:r w:rsidRPr="00B845AF">
        <w:rPr>
          <w:rFonts w:asciiTheme="minorHAnsi" w:hAnsiTheme="minorHAnsi" w:cstheme="minorHAnsi"/>
          <w:lang w:val="en-US"/>
        </w:rPr>
        <w:t xml:space="preserve">included as </w:t>
      </w:r>
      <w:r w:rsidRPr="00B845AF">
        <w:rPr>
          <w:rFonts w:asciiTheme="minorHAnsi" w:hAnsiTheme="minorHAnsi" w:cstheme="minorHAnsi"/>
          <w:b/>
          <w:bCs/>
          <w:lang w:val="en-US"/>
        </w:rPr>
        <w:t>Attachment</w:t>
      </w:r>
      <w:r w:rsidR="00804673" w:rsidRPr="00B845AF">
        <w:rPr>
          <w:rFonts w:asciiTheme="minorHAnsi" w:hAnsiTheme="minorHAnsi" w:cstheme="minorHAnsi"/>
          <w:b/>
          <w:bCs/>
          <w:lang w:val="en-US"/>
        </w:rPr>
        <w:t xml:space="preserve"> </w:t>
      </w:r>
      <w:r w:rsidR="00867FDE" w:rsidRPr="00B845AF">
        <w:rPr>
          <w:rFonts w:asciiTheme="minorHAnsi" w:eastAsia="MS Mincho" w:hAnsiTheme="minorHAnsi" w:cstheme="minorHAnsi"/>
          <w:b/>
          <w:bCs/>
          <w:lang w:val="en-US" w:eastAsia="ja-JP"/>
        </w:rPr>
        <w:t>M</w:t>
      </w:r>
      <w:r w:rsidR="00804673" w:rsidRPr="00B845AF">
        <w:rPr>
          <w:rFonts w:asciiTheme="minorHAnsi" w:hAnsiTheme="minorHAnsi" w:cstheme="minorHAnsi"/>
          <w:lang w:val="en-US"/>
        </w:rPr>
        <w:t>.</w:t>
      </w:r>
    </w:p>
    <w:p w14:paraId="1A3648A1" w14:textId="77777777" w:rsidR="009B60EE" w:rsidRPr="00B845AF" w:rsidRDefault="009B60EE" w:rsidP="009B60EE">
      <w:pPr>
        <w:pStyle w:val="SCtext"/>
        <w:numPr>
          <w:ilvl w:val="0"/>
          <w:numId w:val="0"/>
        </w:numPr>
        <w:rPr>
          <w:rFonts w:asciiTheme="minorHAnsi" w:hAnsiTheme="minorHAnsi" w:cstheme="minorHAnsi"/>
          <w:lang w:val="en-US"/>
        </w:rPr>
      </w:pPr>
    </w:p>
    <w:p w14:paraId="55A0A669" w14:textId="79BC782D" w:rsidR="00A2122B" w:rsidRPr="00B845AF" w:rsidRDefault="00A44CA2">
      <w:pPr>
        <w:pStyle w:val="SC2"/>
        <w:spacing w:after="0"/>
        <w:rPr>
          <w:rFonts w:asciiTheme="minorHAnsi" w:hAnsiTheme="minorHAnsi" w:cstheme="minorHAnsi"/>
        </w:rPr>
      </w:pPr>
      <w:r w:rsidRPr="00B845AF">
        <w:rPr>
          <w:rFonts w:asciiTheme="minorHAnsi" w:hAnsiTheme="minorHAnsi" w:cstheme="minorHAnsi"/>
        </w:rPr>
        <w:t>Issues arising from the Commission</w:t>
      </w:r>
    </w:p>
    <w:p w14:paraId="1EE0A466" w14:textId="77777777" w:rsidR="00382620" w:rsidRPr="00B845AF" w:rsidRDefault="00382620" w:rsidP="00382620">
      <w:pPr>
        <w:pStyle w:val="SC2"/>
        <w:numPr>
          <w:ilvl w:val="0"/>
          <w:numId w:val="0"/>
        </w:numPr>
        <w:spacing w:after="0"/>
        <w:ind w:left="720"/>
        <w:rPr>
          <w:rFonts w:asciiTheme="minorHAnsi" w:hAnsiTheme="minorHAnsi" w:cstheme="minorHAnsi"/>
        </w:rPr>
      </w:pPr>
    </w:p>
    <w:p w14:paraId="791E2793" w14:textId="163298A7" w:rsidR="00382620" w:rsidRPr="00B845AF" w:rsidRDefault="00382620">
      <w:pPr>
        <w:pStyle w:val="SCtext"/>
        <w:rPr>
          <w:rFonts w:asciiTheme="minorHAnsi" w:hAnsiTheme="minorHAnsi" w:cstheme="minorHAnsi"/>
          <w:lang w:val="en-US"/>
        </w:rPr>
      </w:pPr>
      <w:r w:rsidRPr="00B845AF">
        <w:rPr>
          <w:rFonts w:asciiTheme="minorHAnsi" w:hAnsiTheme="minorHAnsi" w:cstheme="minorHAnsi"/>
          <w:lang w:val="en-US"/>
        </w:rPr>
        <w:t>The SC2</w:t>
      </w:r>
      <w:r w:rsidR="009B60EE" w:rsidRPr="00B845AF">
        <w:rPr>
          <w:rFonts w:asciiTheme="minorHAnsi" w:hAnsiTheme="minorHAnsi" w:cstheme="minorHAnsi"/>
          <w:lang w:val="en-US"/>
        </w:rPr>
        <w:t>2</w:t>
      </w:r>
      <w:r w:rsidRPr="00B845AF">
        <w:rPr>
          <w:rFonts w:asciiTheme="minorHAnsi" w:hAnsiTheme="minorHAnsi" w:cstheme="minorHAnsi"/>
          <w:lang w:val="en-US"/>
        </w:rPr>
        <w:t xml:space="preserve"> Chair noted paper </w:t>
      </w:r>
      <w:hyperlink r:id="rId15" w:history="1">
        <w:r w:rsidR="008A66B2" w:rsidRPr="00B845AF">
          <w:rPr>
            <w:rStyle w:val="Hyperlink"/>
            <w:rFonts w:asciiTheme="minorHAnsi" w:hAnsiTheme="minorHAnsi" w:cstheme="minorHAnsi"/>
            <w:lang w:val="en-US"/>
          </w:rPr>
          <w:t>SC2</w:t>
        </w:r>
        <w:r w:rsidR="009B60EE" w:rsidRPr="00B845AF">
          <w:rPr>
            <w:rStyle w:val="Hyperlink"/>
            <w:rFonts w:asciiTheme="minorHAnsi" w:hAnsiTheme="minorHAnsi" w:cstheme="minorHAnsi"/>
            <w:lang w:val="en-US"/>
          </w:rPr>
          <w:t>2</w:t>
        </w:r>
        <w:r w:rsidR="008A66B2" w:rsidRPr="00B845AF">
          <w:rPr>
            <w:rStyle w:val="Hyperlink"/>
            <w:rFonts w:asciiTheme="minorHAnsi" w:hAnsiTheme="minorHAnsi" w:cstheme="minorHAnsi"/>
            <w:lang w:val="en-US"/>
          </w:rPr>
          <w:t>-</w:t>
        </w:r>
        <w:r w:rsidR="004B1B67" w:rsidRPr="00B845AF">
          <w:rPr>
            <w:rStyle w:val="Hyperlink"/>
            <w:rFonts w:asciiTheme="minorHAnsi" w:hAnsiTheme="minorHAnsi" w:cstheme="minorHAnsi"/>
            <w:lang w:val="en-US"/>
          </w:rPr>
          <w:t>2026-</w:t>
        </w:r>
        <w:r w:rsidR="008A66B2" w:rsidRPr="00B845AF">
          <w:rPr>
            <w:rStyle w:val="Hyperlink"/>
            <w:rFonts w:asciiTheme="minorHAnsi" w:hAnsiTheme="minorHAnsi" w:cstheme="minorHAnsi"/>
            <w:lang w:val="en-US"/>
          </w:rPr>
          <w:t>GN-IP01</w:t>
        </w:r>
        <w:r w:rsidR="008A66B2" w:rsidRPr="00B845AF">
          <w:rPr>
            <w:rStyle w:val="Hyperlink"/>
            <w:rFonts w:asciiTheme="minorHAnsi" w:hAnsiTheme="minorHAnsi" w:cstheme="minorHAnsi"/>
            <w:color w:val="auto"/>
            <w:u w:val="none"/>
            <w:lang w:val="en-US"/>
          </w:rPr>
          <w:t>,</w:t>
        </w:r>
      </w:hyperlink>
      <w:r w:rsidR="002B62FD" w:rsidRPr="00B845AF">
        <w:rPr>
          <w:rFonts w:asciiTheme="minorHAnsi" w:hAnsiTheme="minorHAnsi" w:cstheme="minorHAnsi"/>
          <w:lang w:val="en-US"/>
        </w:rPr>
        <w:t xml:space="preserve"> </w:t>
      </w:r>
      <w:r w:rsidRPr="00B845AF">
        <w:rPr>
          <w:rFonts w:asciiTheme="minorHAnsi" w:hAnsiTheme="minorHAnsi" w:cstheme="minorHAnsi"/>
          <w:i/>
          <w:iCs/>
          <w:lang w:val="en-US"/>
        </w:rPr>
        <w:t>Issues arising from the Commission</w:t>
      </w:r>
      <w:r w:rsidR="00721A0A" w:rsidRPr="00B845AF">
        <w:rPr>
          <w:rFonts w:asciiTheme="minorHAnsi" w:hAnsiTheme="minorHAnsi" w:cstheme="minorHAnsi"/>
          <w:lang w:val="en-US"/>
        </w:rPr>
        <w:t>.</w:t>
      </w:r>
      <w:r w:rsidR="00CE0C62" w:rsidRPr="00B845AF">
        <w:rPr>
          <w:rFonts w:asciiTheme="minorHAnsi" w:hAnsiTheme="minorHAnsi" w:cstheme="minorHAnsi"/>
          <w:lang w:val="en-US"/>
        </w:rPr>
        <w:t xml:space="preserve"> There were no questions or comments</w:t>
      </w:r>
      <w:r w:rsidR="007D1414" w:rsidRPr="00B845AF">
        <w:rPr>
          <w:rFonts w:asciiTheme="minorHAnsi" w:hAnsiTheme="minorHAnsi" w:cstheme="minorHAnsi"/>
          <w:lang w:val="en-US"/>
        </w:rPr>
        <w:t>.</w:t>
      </w:r>
    </w:p>
    <w:p w14:paraId="19370EF3" w14:textId="77777777" w:rsidR="001E2BDE" w:rsidRPr="00B845AF" w:rsidRDefault="001E2BDE" w:rsidP="001A23E2">
      <w:pPr>
        <w:autoSpaceDE w:val="0"/>
        <w:autoSpaceDN w:val="0"/>
        <w:adjustRightInd w:val="0"/>
        <w:snapToGrid w:val="0"/>
        <w:jc w:val="both"/>
        <w:rPr>
          <w:rFonts w:asciiTheme="minorHAnsi" w:eastAsia="Batang" w:hAnsiTheme="minorHAnsi" w:cstheme="minorHAnsi"/>
          <w:szCs w:val="22"/>
          <w:lang w:eastAsia="ko-KR"/>
        </w:rPr>
      </w:pPr>
    </w:p>
    <w:p w14:paraId="7045456F" w14:textId="6E93CDB1" w:rsidR="00A83306" w:rsidRPr="00B845AF" w:rsidRDefault="00A44CA2">
      <w:pPr>
        <w:pStyle w:val="SC2"/>
        <w:spacing w:after="0"/>
        <w:rPr>
          <w:rFonts w:asciiTheme="minorHAnsi" w:hAnsiTheme="minorHAnsi" w:cstheme="minorHAnsi"/>
        </w:rPr>
      </w:pPr>
      <w:r w:rsidRPr="00B845AF">
        <w:rPr>
          <w:rFonts w:asciiTheme="minorHAnsi" w:hAnsiTheme="minorHAnsi" w:cstheme="minorHAnsi"/>
        </w:rPr>
        <w:t>Adoption of the agenda</w:t>
      </w:r>
      <w:r w:rsidR="00E93DF0" w:rsidRPr="00B845AF">
        <w:rPr>
          <w:rFonts w:asciiTheme="minorHAnsi" w:hAnsiTheme="minorHAnsi" w:cstheme="minorHAnsi"/>
        </w:rPr>
        <w:t xml:space="preserve"> </w:t>
      </w:r>
    </w:p>
    <w:p w14:paraId="2C85A644" w14:textId="77777777" w:rsidR="0063725B" w:rsidRPr="00B845AF" w:rsidRDefault="0063725B" w:rsidP="001A23E2">
      <w:pPr>
        <w:pStyle w:val="SC2"/>
        <w:numPr>
          <w:ilvl w:val="0"/>
          <w:numId w:val="0"/>
        </w:numPr>
        <w:spacing w:after="0"/>
        <w:ind w:left="720"/>
        <w:rPr>
          <w:rFonts w:asciiTheme="minorHAnsi" w:hAnsiTheme="minorHAnsi" w:cstheme="minorHAnsi"/>
        </w:rPr>
      </w:pPr>
    </w:p>
    <w:p w14:paraId="1F1DC7C5" w14:textId="2A5EF51F" w:rsidR="003E74BD" w:rsidRPr="00B845AF" w:rsidRDefault="003E74BD">
      <w:pPr>
        <w:pStyle w:val="SCtext"/>
        <w:rPr>
          <w:rFonts w:asciiTheme="minorHAnsi" w:eastAsia="Batang" w:hAnsiTheme="minorHAnsi" w:cstheme="minorHAnsi"/>
          <w:lang w:val="en-US"/>
        </w:rPr>
      </w:pPr>
      <w:r w:rsidRPr="00B845AF">
        <w:rPr>
          <w:rFonts w:asciiTheme="minorHAnsi" w:eastAsia="Batang" w:hAnsiTheme="minorHAnsi" w:cstheme="minorHAnsi"/>
          <w:lang w:val="en-US"/>
        </w:rPr>
        <w:t>The SC</w:t>
      </w:r>
      <w:r w:rsidR="00B1083C" w:rsidRPr="00B845AF">
        <w:rPr>
          <w:rFonts w:asciiTheme="minorHAnsi" w:eastAsia="Batang" w:hAnsiTheme="minorHAnsi" w:cstheme="minorHAnsi"/>
          <w:lang w:val="en-US"/>
        </w:rPr>
        <w:t>2</w:t>
      </w:r>
      <w:r w:rsidR="004B1B67" w:rsidRPr="00B845AF">
        <w:rPr>
          <w:rFonts w:asciiTheme="minorHAnsi" w:eastAsia="Batang" w:hAnsiTheme="minorHAnsi" w:cstheme="minorHAnsi"/>
          <w:lang w:val="en-US"/>
        </w:rPr>
        <w:t>2</w:t>
      </w:r>
      <w:r w:rsidRPr="00B845AF">
        <w:rPr>
          <w:rFonts w:asciiTheme="minorHAnsi" w:eastAsia="Batang" w:hAnsiTheme="minorHAnsi" w:cstheme="minorHAnsi"/>
          <w:lang w:val="en-US"/>
        </w:rPr>
        <w:t xml:space="preserve"> </w:t>
      </w:r>
      <w:r w:rsidRPr="00B845AF">
        <w:rPr>
          <w:rFonts w:asciiTheme="minorHAnsi" w:hAnsiTheme="minorHAnsi" w:cstheme="minorHAnsi"/>
          <w:lang w:val="en-US"/>
        </w:rPr>
        <w:t>agenda</w:t>
      </w:r>
      <w:r w:rsidRPr="00B845AF">
        <w:rPr>
          <w:rFonts w:asciiTheme="minorHAnsi" w:eastAsia="Batang" w:hAnsiTheme="minorHAnsi" w:cstheme="minorHAnsi"/>
          <w:lang w:val="en-US"/>
        </w:rPr>
        <w:t xml:space="preserve"> was adopted (</w:t>
      </w:r>
      <w:r w:rsidRPr="00B845AF">
        <w:rPr>
          <w:rFonts w:asciiTheme="minorHAnsi" w:eastAsia="Batang" w:hAnsiTheme="minorHAnsi" w:cstheme="minorHAnsi"/>
          <w:b/>
          <w:bCs/>
          <w:lang w:val="en-US"/>
        </w:rPr>
        <w:t xml:space="preserve">Attachment </w:t>
      </w:r>
      <w:r w:rsidR="00E07041" w:rsidRPr="00B845AF">
        <w:rPr>
          <w:rFonts w:asciiTheme="minorHAnsi" w:eastAsia="MS Mincho" w:hAnsiTheme="minorHAnsi" w:cstheme="minorHAnsi"/>
          <w:b/>
          <w:bCs/>
          <w:lang w:val="en-US" w:eastAsia="ja-JP"/>
        </w:rPr>
        <w:t>E</w:t>
      </w:r>
      <w:r w:rsidRPr="00B845AF">
        <w:rPr>
          <w:rFonts w:asciiTheme="minorHAnsi" w:eastAsia="Batang" w:hAnsiTheme="minorHAnsi" w:cstheme="minorHAnsi"/>
          <w:lang w:val="en-US"/>
        </w:rPr>
        <w:t>).</w:t>
      </w:r>
    </w:p>
    <w:p w14:paraId="1BB671E9" w14:textId="7FDBE127" w:rsidR="00CD6153" w:rsidRPr="00B845AF" w:rsidRDefault="00CD6153" w:rsidP="00053994">
      <w:pPr>
        <w:autoSpaceDE w:val="0"/>
        <w:autoSpaceDN w:val="0"/>
        <w:adjustRightInd w:val="0"/>
        <w:snapToGrid w:val="0"/>
        <w:jc w:val="both"/>
        <w:rPr>
          <w:rFonts w:asciiTheme="minorHAnsi" w:hAnsiTheme="minorHAnsi" w:cstheme="minorHAnsi"/>
          <w:szCs w:val="22"/>
        </w:rPr>
      </w:pPr>
    </w:p>
    <w:p w14:paraId="4F5B177C" w14:textId="6D663A06" w:rsidR="00CD6153" w:rsidRPr="00B845AF" w:rsidRDefault="00CD6153">
      <w:pPr>
        <w:pStyle w:val="SC2"/>
        <w:spacing w:after="0"/>
        <w:rPr>
          <w:rFonts w:asciiTheme="minorHAnsi" w:hAnsiTheme="minorHAnsi" w:cstheme="minorHAnsi"/>
        </w:rPr>
      </w:pPr>
      <w:r w:rsidRPr="00B845AF">
        <w:rPr>
          <w:rFonts w:asciiTheme="minorHAnsi" w:hAnsiTheme="minorHAnsi" w:cstheme="minorHAnsi"/>
        </w:rPr>
        <w:lastRenderedPageBreak/>
        <w:t>Reporting arrangements</w:t>
      </w:r>
    </w:p>
    <w:p w14:paraId="26B723A1" w14:textId="77777777" w:rsidR="002B3B0A" w:rsidRPr="00B845AF" w:rsidRDefault="002B3B0A" w:rsidP="002B3B0A">
      <w:pPr>
        <w:pStyle w:val="SC2"/>
        <w:numPr>
          <w:ilvl w:val="0"/>
          <w:numId w:val="0"/>
        </w:numPr>
        <w:spacing w:after="0"/>
        <w:ind w:left="720"/>
        <w:rPr>
          <w:rFonts w:asciiTheme="minorHAnsi" w:hAnsiTheme="minorHAnsi" w:cstheme="minorHAnsi"/>
        </w:rPr>
      </w:pPr>
    </w:p>
    <w:p w14:paraId="334BED61" w14:textId="21000C02" w:rsidR="00CD6153" w:rsidRPr="00B845AF" w:rsidRDefault="007C4574">
      <w:pPr>
        <w:pStyle w:val="SCtext"/>
        <w:rPr>
          <w:rFonts w:asciiTheme="minorHAnsi" w:hAnsiTheme="minorHAnsi" w:cstheme="minorHAnsi"/>
          <w:lang w:val="en-US"/>
        </w:rPr>
      </w:pPr>
      <w:r w:rsidRPr="00B845AF">
        <w:rPr>
          <w:rFonts w:asciiTheme="minorHAnsi" w:hAnsiTheme="minorHAnsi" w:cstheme="minorHAnsi"/>
          <w:lang w:val="en-US"/>
        </w:rPr>
        <w:t>The SC2</w:t>
      </w:r>
      <w:r w:rsidR="004B1B67" w:rsidRPr="00B845AF">
        <w:rPr>
          <w:rFonts w:asciiTheme="minorHAnsi" w:hAnsiTheme="minorHAnsi" w:cstheme="minorHAnsi"/>
          <w:lang w:val="en-US"/>
        </w:rPr>
        <w:t>2</w:t>
      </w:r>
      <w:r w:rsidRPr="00B845AF">
        <w:rPr>
          <w:rFonts w:asciiTheme="minorHAnsi" w:hAnsiTheme="minorHAnsi" w:cstheme="minorHAnsi"/>
          <w:lang w:val="en-US"/>
        </w:rPr>
        <w:t xml:space="preserve"> Chair reviewed the reporting arrangements. In accordance with Rule 33 of the Commission’s Rules of Procedure, the Outcomes Document, containing the text of all decisions adopted by SC2</w:t>
      </w:r>
      <w:r w:rsidR="004B1B67" w:rsidRPr="00B845AF">
        <w:rPr>
          <w:rFonts w:asciiTheme="minorHAnsi" w:hAnsiTheme="minorHAnsi" w:cstheme="minorHAnsi"/>
          <w:lang w:val="en-US"/>
        </w:rPr>
        <w:t>2</w:t>
      </w:r>
      <w:r w:rsidRPr="00B845AF">
        <w:rPr>
          <w:rFonts w:asciiTheme="minorHAnsi" w:hAnsiTheme="minorHAnsi" w:cstheme="minorHAnsi"/>
          <w:lang w:val="en-US"/>
        </w:rPr>
        <w:t>, will be distributed to all members, territories, and observers within seven (7) working days of the adoption. The SC2</w:t>
      </w:r>
      <w:r w:rsidR="004B1B67" w:rsidRPr="00B845AF">
        <w:rPr>
          <w:rFonts w:asciiTheme="minorHAnsi" w:hAnsiTheme="minorHAnsi" w:cstheme="minorHAnsi"/>
          <w:lang w:val="en-US"/>
        </w:rPr>
        <w:t>2</w:t>
      </w:r>
      <w:r w:rsidRPr="00B845AF">
        <w:rPr>
          <w:rFonts w:asciiTheme="minorHAnsi" w:hAnsiTheme="minorHAnsi" w:cstheme="minorHAnsi"/>
          <w:lang w:val="en-US"/>
        </w:rPr>
        <w:t xml:space="preserve"> Summary Report </w:t>
      </w:r>
      <w:r w:rsidR="00560A9A" w:rsidRPr="00B845AF">
        <w:rPr>
          <w:rFonts w:asciiTheme="minorHAnsi" w:hAnsiTheme="minorHAnsi" w:cstheme="minorHAnsi"/>
          <w:lang w:val="en-US"/>
        </w:rPr>
        <w:t xml:space="preserve">is </w:t>
      </w:r>
      <w:r w:rsidRPr="00B845AF">
        <w:rPr>
          <w:rFonts w:asciiTheme="minorHAnsi" w:hAnsiTheme="minorHAnsi" w:cstheme="minorHAnsi"/>
          <w:lang w:val="en-US"/>
        </w:rPr>
        <w:t xml:space="preserve">adopted intersessionally. </w:t>
      </w:r>
    </w:p>
    <w:p w14:paraId="19D964E6" w14:textId="77777777" w:rsidR="001055A3" w:rsidRPr="00B845AF" w:rsidRDefault="001055A3" w:rsidP="001055A3">
      <w:pPr>
        <w:pStyle w:val="SCtext"/>
        <w:numPr>
          <w:ilvl w:val="0"/>
          <w:numId w:val="0"/>
        </w:numPr>
        <w:rPr>
          <w:rFonts w:asciiTheme="minorHAnsi" w:hAnsiTheme="minorHAnsi" w:cstheme="minorHAnsi"/>
          <w:lang w:val="en-US"/>
        </w:rPr>
      </w:pPr>
    </w:p>
    <w:p w14:paraId="2344DAA5" w14:textId="0CC2341F" w:rsidR="00CD6153" w:rsidRPr="00B845AF" w:rsidRDefault="00CD6153">
      <w:pPr>
        <w:pStyle w:val="SC2"/>
        <w:spacing w:after="0"/>
        <w:rPr>
          <w:rFonts w:asciiTheme="minorHAnsi" w:hAnsiTheme="minorHAnsi" w:cstheme="minorHAnsi"/>
        </w:rPr>
      </w:pPr>
      <w:r w:rsidRPr="00B845AF">
        <w:rPr>
          <w:rFonts w:asciiTheme="minorHAnsi" w:hAnsiTheme="minorHAnsi" w:cstheme="minorHAnsi"/>
        </w:rPr>
        <w:t>Inter</w:t>
      </w:r>
      <w:r w:rsidR="003B33F5" w:rsidRPr="00B845AF">
        <w:rPr>
          <w:rFonts w:asciiTheme="minorHAnsi" w:hAnsiTheme="minorHAnsi" w:cstheme="minorHAnsi"/>
        </w:rPr>
        <w:t>s</w:t>
      </w:r>
      <w:r w:rsidRPr="00B845AF">
        <w:rPr>
          <w:rFonts w:asciiTheme="minorHAnsi" w:hAnsiTheme="minorHAnsi" w:cstheme="minorHAnsi"/>
        </w:rPr>
        <w:t>essional activities of the Scientific Committee</w:t>
      </w:r>
    </w:p>
    <w:p w14:paraId="14119115" w14:textId="77777777" w:rsidR="00CE0C62" w:rsidRPr="00B845AF" w:rsidRDefault="00CE0C62" w:rsidP="00CE0C62">
      <w:pPr>
        <w:pStyle w:val="SC2"/>
        <w:numPr>
          <w:ilvl w:val="0"/>
          <w:numId w:val="0"/>
        </w:numPr>
        <w:spacing w:after="0"/>
        <w:ind w:left="720"/>
        <w:rPr>
          <w:rFonts w:asciiTheme="minorHAnsi" w:hAnsiTheme="minorHAnsi" w:cstheme="minorHAnsi"/>
        </w:rPr>
      </w:pPr>
    </w:p>
    <w:p w14:paraId="458B55B6" w14:textId="0C3EEDC2" w:rsidR="001A6A31" w:rsidRPr="00B845AF" w:rsidRDefault="000F4819">
      <w:pPr>
        <w:pStyle w:val="SCtext"/>
        <w:rPr>
          <w:rFonts w:asciiTheme="minorHAnsi" w:hAnsiTheme="minorHAnsi" w:cstheme="minorHAnsi"/>
          <w:lang w:val="en-US"/>
        </w:rPr>
      </w:pPr>
      <w:r w:rsidRPr="00B845AF">
        <w:rPr>
          <w:rFonts w:asciiTheme="minorHAnsi" w:hAnsiTheme="minorHAnsi" w:cstheme="minorHAnsi"/>
          <w:lang w:val="en-US"/>
        </w:rPr>
        <w:t>The SC2</w:t>
      </w:r>
      <w:r w:rsidR="004B1B67" w:rsidRPr="00B845AF">
        <w:rPr>
          <w:rFonts w:asciiTheme="minorHAnsi" w:hAnsiTheme="minorHAnsi" w:cstheme="minorHAnsi"/>
          <w:lang w:val="en-US"/>
        </w:rPr>
        <w:t>2</w:t>
      </w:r>
      <w:r w:rsidRPr="00B845AF">
        <w:rPr>
          <w:rFonts w:asciiTheme="minorHAnsi" w:hAnsiTheme="minorHAnsi" w:cstheme="minorHAnsi"/>
          <w:lang w:val="en-US"/>
        </w:rPr>
        <w:t xml:space="preserve"> Chair noted </w:t>
      </w:r>
      <w:hyperlink r:id="rId16" w:history="1">
        <w:r w:rsidRPr="00B845AF">
          <w:rPr>
            <w:rStyle w:val="Hyperlink"/>
            <w:rFonts w:asciiTheme="minorHAnsi" w:hAnsiTheme="minorHAnsi" w:cstheme="minorHAnsi"/>
            <w:lang w:val="en-US"/>
          </w:rPr>
          <w:t>SC2</w:t>
        </w:r>
        <w:r w:rsidR="001A69A6" w:rsidRPr="00B845AF">
          <w:rPr>
            <w:rStyle w:val="Hyperlink"/>
            <w:rFonts w:asciiTheme="minorHAnsi" w:eastAsia="MS Mincho" w:hAnsiTheme="minorHAnsi" w:cstheme="minorHAnsi"/>
            <w:lang w:val="en-US" w:eastAsia="ja-JP"/>
          </w:rPr>
          <w:t>2</w:t>
        </w:r>
        <w:r w:rsidRPr="00B845AF">
          <w:rPr>
            <w:rStyle w:val="Hyperlink"/>
            <w:rFonts w:asciiTheme="minorHAnsi" w:hAnsiTheme="minorHAnsi" w:cstheme="minorHAnsi"/>
            <w:lang w:val="en-US"/>
          </w:rPr>
          <w:t>-</w:t>
        </w:r>
        <w:r w:rsidR="004B1B67" w:rsidRPr="00B845AF">
          <w:rPr>
            <w:rStyle w:val="Hyperlink"/>
            <w:rFonts w:asciiTheme="minorHAnsi" w:hAnsiTheme="minorHAnsi" w:cstheme="minorHAnsi"/>
            <w:lang w:val="en-US"/>
          </w:rPr>
          <w:t>2026-</w:t>
        </w:r>
        <w:r w:rsidRPr="00B845AF">
          <w:rPr>
            <w:rStyle w:val="Hyperlink"/>
            <w:rFonts w:asciiTheme="minorHAnsi" w:hAnsiTheme="minorHAnsi" w:cstheme="minorHAnsi"/>
            <w:lang w:val="en-US"/>
          </w:rPr>
          <w:t>GN-IP02</w:t>
        </w:r>
      </w:hyperlink>
      <w:r w:rsidRPr="00B845AF">
        <w:rPr>
          <w:rFonts w:asciiTheme="minorHAnsi" w:hAnsiTheme="minorHAnsi" w:cstheme="minorHAnsi"/>
          <w:lang w:val="en-US"/>
        </w:rPr>
        <w:t xml:space="preserve"> </w:t>
      </w:r>
      <w:r w:rsidR="007D1414" w:rsidRPr="00B845AF">
        <w:rPr>
          <w:rFonts w:asciiTheme="minorHAnsi" w:hAnsiTheme="minorHAnsi" w:cstheme="minorHAnsi"/>
          <w:lang w:val="en-US"/>
        </w:rPr>
        <w:t>(</w:t>
      </w:r>
      <w:r w:rsidRPr="00B845AF">
        <w:rPr>
          <w:rFonts w:asciiTheme="minorHAnsi" w:hAnsiTheme="minorHAnsi" w:cstheme="minorHAnsi"/>
          <w:i/>
          <w:iCs/>
          <w:lang w:val="en-US"/>
        </w:rPr>
        <w:t>Intersessional activities of the Scientific Committee</w:t>
      </w:r>
      <w:r w:rsidR="007D1414" w:rsidRPr="00B845AF">
        <w:rPr>
          <w:rFonts w:asciiTheme="minorHAnsi" w:hAnsiTheme="minorHAnsi" w:cstheme="minorHAnsi"/>
          <w:lang w:val="en-US"/>
        </w:rPr>
        <w:t>),</w:t>
      </w:r>
      <w:r w:rsidR="001A6A31" w:rsidRPr="00B845AF">
        <w:rPr>
          <w:rFonts w:asciiTheme="minorHAnsi" w:hAnsiTheme="minorHAnsi" w:cstheme="minorHAnsi"/>
          <w:lang w:val="en-US"/>
        </w:rPr>
        <w:t xml:space="preserve"> which includes a general update on the work of SPC, ongoing SC projects</w:t>
      </w:r>
      <w:r w:rsidR="008A66B2" w:rsidRPr="00B845AF">
        <w:rPr>
          <w:rFonts w:asciiTheme="minorHAnsi" w:hAnsiTheme="minorHAnsi" w:cstheme="minorHAnsi"/>
          <w:lang w:val="en-US"/>
        </w:rPr>
        <w:t>,</w:t>
      </w:r>
      <w:r w:rsidR="001A6A31" w:rsidRPr="00B845AF">
        <w:rPr>
          <w:rFonts w:asciiTheme="minorHAnsi" w:hAnsiTheme="minorHAnsi" w:cstheme="minorHAnsi"/>
          <w:lang w:val="en-US"/>
        </w:rPr>
        <w:t xml:space="preserve"> and the SC work program, </w:t>
      </w:r>
      <w:r w:rsidR="007D1414" w:rsidRPr="00B845AF">
        <w:rPr>
          <w:rFonts w:asciiTheme="minorHAnsi" w:hAnsiTheme="minorHAnsi" w:cstheme="minorHAnsi"/>
          <w:lang w:val="en-US"/>
        </w:rPr>
        <w:t xml:space="preserve">cooperation </w:t>
      </w:r>
      <w:r w:rsidR="001A6A31" w:rsidRPr="00B845AF">
        <w:rPr>
          <w:rFonts w:asciiTheme="minorHAnsi" w:hAnsiTheme="minorHAnsi" w:cstheme="minorHAnsi"/>
          <w:lang w:val="en-US"/>
        </w:rPr>
        <w:t>with other organizations, voluntary contributions</w:t>
      </w:r>
      <w:r w:rsidR="009774D6" w:rsidRPr="00B845AF">
        <w:rPr>
          <w:rFonts w:asciiTheme="minorHAnsi" w:hAnsiTheme="minorHAnsi" w:cstheme="minorHAnsi"/>
          <w:lang w:val="en-US"/>
        </w:rPr>
        <w:t>,</w:t>
      </w:r>
      <w:r w:rsidR="001A6A31" w:rsidRPr="00B845AF">
        <w:rPr>
          <w:rFonts w:asciiTheme="minorHAnsi" w:hAnsiTheme="minorHAnsi" w:cstheme="minorHAnsi"/>
          <w:lang w:val="en-US"/>
        </w:rPr>
        <w:t xml:space="preserve"> and research projects</w:t>
      </w:r>
      <w:r w:rsidR="009774D6" w:rsidRPr="00B845AF">
        <w:rPr>
          <w:rFonts w:asciiTheme="minorHAnsi" w:hAnsiTheme="minorHAnsi" w:cstheme="minorHAnsi"/>
          <w:lang w:val="en-US"/>
        </w:rPr>
        <w:t>, noting that these issues were addressed under various agenda items</w:t>
      </w:r>
      <w:r w:rsidR="001A6A31" w:rsidRPr="00B845AF">
        <w:rPr>
          <w:rFonts w:asciiTheme="minorHAnsi" w:hAnsiTheme="minorHAnsi" w:cstheme="minorHAnsi"/>
          <w:lang w:val="en-US"/>
        </w:rPr>
        <w:t>.</w:t>
      </w:r>
      <w:r w:rsidR="00560A9A" w:rsidRPr="00B845AF">
        <w:rPr>
          <w:rFonts w:asciiTheme="minorHAnsi" w:hAnsiTheme="minorHAnsi" w:cstheme="minorHAnsi"/>
          <w:lang w:val="en-US"/>
        </w:rPr>
        <w:t xml:space="preserve"> There were no questions or comments</w:t>
      </w:r>
      <w:r w:rsidR="009774D6" w:rsidRPr="00B845AF">
        <w:rPr>
          <w:rFonts w:asciiTheme="minorHAnsi" w:hAnsiTheme="minorHAnsi" w:cstheme="minorHAnsi"/>
          <w:lang w:val="en-US"/>
        </w:rPr>
        <w:t>.</w:t>
      </w:r>
      <w:r w:rsidR="00560A9A" w:rsidRPr="00B845AF">
        <w:rPr>
          <w:rFonts w:asciiTheme="minorHAnsi" w:hAnsiTheme="minorHAnsi" w:cstheme="minorHAnsi"/>
          <w:lang w:val="en-US"/>
        </w:rPr>
        <w:t xml:space="preserve"> </w:t>
      </w:r>
    </w:p>
    <w:p w14:paraId="48F71E98" w14:textId="77777777" w:rsidR="00931F3E" w:rsidRPr="00B845AF" w:rsidRDefault="00931F3E" w:rsidP="009774D6">
      <w:pPr>
        <w:pStyle w:val="SCtext"/>
        <w:numPr>
          <w:ilvl w:val="0"/>
          <w:numId w:val="0"/>
        </w:numPr>
        <w:rPr>
          <w:rFonts w:asciiTheme="minorHAnsi" w:hAnsiTheme="minorHAnsi" w:cstheme="minorHAnsi"/>
          <w:lang w:val="en-US"/>
        </w:rPr>
      </w:pPr>
    </w:p>
    <w:p w14:paraId="585883BE" w14:textId="77777777" w:rsidR="00BD738B" w:rsidRPr="00B845AF" w:rsidRDefault="00BD738B" w:rsidP="009774D6">
      <w:pPr>
        <w:pStyle w:val="SCtext"/>
        <w:numPr>
          <w:ilvl w:val="0"/>
          <w:numId w:val="0"/>
        </w:numPr>
        <w:rPr>
          <w:rFonts w:asciiTheme="minorHAnsi" w:hAnsiTheme="minorHAnsi" w:cstheme="minorHAnsi"/>
          <w:lang w:val="en-US"/>
        </w:rPr>
      </w:pPr>
    </w:p>
    <w:p w14:paraId="55BE87CE" w14:textId="7AE139D7" w:rsidR="0063725B" w:rsidRPr="00B845AF" w:rsidRDefault="0077252E" w:rsidP="0077252E">
      <w:pPr>
        <w:pStyle w:val="Heading1"/>
        <w:numPr>
          <w:ilvl w:val="0"/>
          <w:numId w:val="0"/>
        </w:numPr>
        <w:adjustRightInd w:val="0"/>
        <w:snapToGrid w:val="0"/>
        <w:spacing w:after="0"/>
        <w:rPr>
          <w:rFonts w:asciiTheme="minorHAnsi" w:hAnsiTheme="minorHAnsi" w:cstheme="minorHAnsi"/>
        </w:rPr>
      </w:pPr>
      <w:bookmarkStart w:id="9" w:name="_Hlk206696136"/>
      <w:bookmarkEnd w:id="3"/>
      <w:r w:rsidRPr="00B845AF">
        <w:rPr>
          <w:rFonts w:asciiTheme="minorHAnsi" w:hAnsiTheme="minorHAnsi" w:cstheme="minorHAnsi"/>
        </w:rPr>
        <w:t>AGE</w:t>
      </w:r>
      <w:r w:rsidR="004A23E8" w:rsidRPr="00B845AF">
        <w:rPr>
          <w:rFonts w:asciiTheme="minorHAnsi" w:hAnsiTheme="minorHAnsi" w:cstheme="minorHAnsi"/>
        </w:rPr>
        <w:t>N</w:t>
      </w:r>
      <w:r w:rsidRPr="00B845AF">
        <w:rPr>
          <w:rFonts w:asciiTheme="minorHAnsi" w:hAnsiTheme="minorHAnsi" w:cstheme="minorHAnsi"/>
        </w:rPr>
        <w:t xml:space="preserve">DA ITEM 2 — </w:t>
      </w:r>
      <w:r w:rsidR="005122FA" w:rsidRPr="00B845AF">
        <w:rPr>
          <w:rFonts w:asciiTheme="minorHAnsi" w:hAnsiTheme="minorHAnsi" w:cstheme="minorHAnsi"/>
        </w:rPr>
        <w:t>REVIEW OF FISHERIES</w:t>
      </w:r>
      <w:r w:rsidR="00F5218F" w:rsidRPr="00B845AF">
        <w:rPr>
          <w:rFonts w:asciiTheme="minorHAnsi" w:hAnsiTheme="minorHAnsi" w:cstheme="minorHAnsi"/>
        </w:rPr>
        <w:fldChar w:fldCharType="begin"/>
      </w:r>
      <w:r w:rsidR="00F5218F" w:rsidRPr="00B845AF">
        <w:rPr>
          <w:rFonts w:asciiTheme="minorHAnsi" w:hAnsiTheme="minorHAnsi" w:cstheme="minorHAnsi"/>
        </w:rPr>
        <w:instrText xml:space="preserve"> TC "</w:instrText>
      </w:r>
      <w:bookmarkStart w:id="10" w:name="_Toc239261424"/>
      <w:r w:rsidR="00F5218F" w:rsidRPr="00B845AF">
        <w:rPr>
          <w:rFonts w:asciiTheme="minorHAnsi" w:hAnsiTheme="minorHAnsi" w:cstheme="minorHAnsi"/>
        </w:rPr>
        <w:instrText xml:space="preserve">AGENDA ITEM 2 — </w:instrText>
      </w:r>
      <w:r w:rsidR="00334B8C" w:rsidRPr="00B845AF">
        <w:rPr>
          <w:rFonts w:asciiTheme="minorHAnsi" w:hAnsiTheme="minorHAnsi" w:cstheme="minorHAnsi"/>
        </w:rPr>
        <w:instrText>REVIEW OF FISHERIES</w:instrText>
      </w:r>
      <w:bookmarkEnd w:id="10"/>
      <w:r w:rsidR="00F5218F" w:rsidRPr="00B845AF">
        <w:rPr>
          <w:rFonts w:asciiTheme="minorHAnsi" w:hAnsiTheme="minorHAnsi" w:cstheme="minorHAnsi"/>
        </w:rPr>
        <w:instrText xml:space="preserve">" \f C \l "1" </w:instrText>
      </w:r>
      <w:r w:rsidR="00F5218F" w:rsidRPr="00B845AF">
        <w:rPr>
          <w:rFonts w:asciiTheme="minorHAnsi" w:hAnsiTheme="minorHAnsi" w:cstheme="minorHAnsi"/>
        </w:rPr>
        <w:fldChar w:fldCharType="end"/>
      </w:r>
    </w:p>
    <w:bookmarkEnd w:id="9"/>
    <w:p w14:paraId="283A278E" w14:textId="77777777" w:rsidR="00E05222" w:rsidRPr="00B845AF" w:rsidRDefault="00E05222">
      <w:pPr>
        <w:pStyle w:val="ListParagraph"/>
        <w:keepNext/>
        <w:numPr>
          <w:ilvl w:val="0"/>
          <w:numId w:val="7"/>
        </w:numPr>
        <w:suppressLineNumbers/>
        <w:adjustRightInd w:val="0"/>
        <w:snapToGrid w:val="0"/>
        <w:jc w:val="both"/>
        <w:rPr>
          <w:rFonts w:asciiTheme="minorHAnsi" w:hAnsiTheme="minorHAnsi" w:cstheme="minorHAnsi"/>
          <w:b/>
          <w:vanish/>
          <w:szCs w:val="22"/>
        </w:rPr>
      </w:pPr>
    </w:p>
    <w:p w14:paraId="7ABFB450" w14:textId="77777777" w:rsidR="003F6119" w:rsidRPr="00B845AF" w:rsidRDefault="003F6119" w:rsidP="003F6119">
      <w:pPr>
        <w:pStyle w:val="SC2"/>
        <w:numPr>
          <w:ilvl w:val="0"/>
          <w:numId w:val="0"/>
        </w:numPr>
        <w:spacing w:after="0"/>
        <w:ind w:left="720"/>
        <w:rPr>
          <w:rFonts w:asciiTheme="minorHAnsi" w:hAnsiTheme="minorHAnsi" w:cstheme="minorHAnsi"/>
        </w:rPr>
      </w:pPr>
    </w:p>
    <w:p w14:paraId="0FDBB96F" w14:textId="15A6C2A4" w:rsidR="00E1156B" w:rsidRPr="00B845AF" w:rsidRDefault="00D55490">
      <w:pPr>
        <w:pStyle w:val="SC2"/>
        <w:spacing w:after="0"/>
        <w:rPr>
          <w:rFonts w:asciiTheme="minorHAnsi" w:hAnsiTheme="minorHAnsi" w:cstheme="minorHAnsi"/>
        </w:rPr>
      </w:pPr>
      <w:bookmarkStart w:id="11" w:name="_Hlk206696163"/>
      <w:r w:rsidRPr="00B845AF">
        <w:rPr>
          <w:rFonts w:asciiTheme="minorHAnsi" w:hAnsiTheme="minorHAnsi" w:cstheme="minorHAnsi"/>
        </w:rPr>
        <w:t>Overview of Western and Central Pacific Ocean (WCPO) fisheries</w:t>
      </w:r>
    </w:p>
    <w:p w14:paraId="7F097E6C" w14:textId="77777777" w:rsidR="00B84D51" w:rsidRPr="00B845AF" w:rsidRDefault="00B84D51" w:rsidP="00B84D51">
      <w:pPr>
        <w:pStyle w:val="SC2"/>
        <w:numPr>
          <w:ilvl w:val="0"/>
          <w:numId w:val="0"/>
        </w:numPr>
        <w:spacing w:after="0"/>
        <w:ind w:left="720"/>
        <w:rPr>
          <w:rFonts w:asciiTheme="minorHAnsi" w:hAnsiTheme="minorHAnsi" w:cstheme="minorHAnsi"/>
        </w:rPr>
      </w:pPr>
    </w:p>
    <w:bookmarkEnd w:id="11"/>
    <w:p w14:paraId="2B7530AE" w14:textId="515E7574" w:rsidR="00C02064" w:rsidRPr="00B845AF" w:rsidRDefault="000A70A6">
      <w:pPr>
        <w:pStyle w:val="SCtext"/>
        <w:rPr>
          <w:rFonts w:asciiTheme="minorHAnsi" w:hAnsiTheme="minorHAnsi" w:cstheme="minorHAnsi"/>
          <w:lang w:val="en-US"/>
        </w:rPr>
      </w:pPr>
      <w:r w:rsidRPr="00B845AF">
        <w:rPr>
          <w:rFonts w:asciiTheme="minorHAnsi" w:hAnsiTheme="minorHAnsi" w:cstheme="minorHAnsi"/>
          <w:lang w:val="en-US"/>
        </w:rPr>
        <w:t>T. Vidal (SPC-OFP)</w:t>
      </w:r>
      <w:r w:rsidR="007C5D08" w:rsidRPr="00B845AF">
        <w:rPr>
          <w:rFonts w:asciiTheme="minorHAnsi" w:hAnsiTheme="minorHAnsi" w:cstheme="minorHAnsi"/>
          <w:lang w:val="en-US"/>
        </w:rPr>
        <w:t xml:space="preserve"> and </w:t>
      </w:r>
      <w:r w:rsidRPr="00B845AF">
        <w:rPr>
          <w:rFonts w:asciiTheme="minorHAnsi" w:hAnsiTheme="minorHAnsi" w:cstheme="minorHAnsi"/>
          <w:lang w:val="en-US"/>
        </w:rPr>
        <w:t>T. Ruaia (FFA)</w:t>
      </w:r>
      <w:r w:rsidR="007C5D08" w:rsidRPr="00B845AF">
        <w:rPr>
          <w:rFonts w:asciiTheme="minorHAnsi" w:hAnsiTheme="minorHAnsi" w:cstheme="minorHAnsi"/>
          <w:lang w:val="en-US"/>
        </w:rPr>
        <w:t xml:space="preserve"> </w:t>
      </w:r>
      <w:r w:rsidRPr="00B845AF">
        <w:rPr>
          <w:rFonts w:asciiTheme="minorHAnsi" w:hAnsiTheme="minorHAnsi" w:cstheme="minorHAnsi"/>
          <w:lang w:val="en-US"/>
        </w:rPr>
        <w:t xml:space="preserve">presented </w:t>
      </w:r>
      <w:hyperlink r:id="rId17" w:history="1">
        <w:r w:rsidRPr="00B845AF">
          <w:rPr>
            <w:rStyle w:val="Hyperlink"/>
            <w:rFonts w:asciiTheme="minorHAnsi" w:hAnsiTheme="minorHAnsi" w:cstheme="minorHAnsi"/>
            <w:lang w:val="en-US"/>
          </w:rPr>
          <w:t>WCPFC-SC22-2026-GN-WP01</w:t>
        </w:r>
      </w:hyperlink>
      <w:r w:rsidRPr="00B845AF">
        <w:rPr>
          <w:rFonts w:asciiTheme="minorHAnsi" w:hAnsiTheme="minorHAnsi" w:cstheme="minorHAnsi"/>
          <w:lang w:val="en-US"/>
        </w:rPr>
        <w:t xml:space="preserve">, </w:t>
      </w:r>
      <w:r w:rsidRPr="00B845AF">
        <w:rPr>
          <w:rFonts w:asciiTheme="minorHAnsi" w:hAnsiTheme="minorHAnsi" w:cstheme="minorHAnsi"/>
          <w:i/>
          <w:iCs/>
          <w:lang w:val="en-US"/>
        </w:rPr>
        <w:t>Overview of tuna fisheries in the Western and Central Pacific Ocean, including economic conditions</w:t>
      </w:r>
      <w:r w:rsidRPr="00B845AF">
        <w:rPr>
          <w:rFonts w:asciiTheme="minorHAnsi" w:hAnsiTheme="minorHAnsi" w:cstheme="minorHAnsi"/>
          <w:lang w:val="en-US"/>
        </w:rPr>
        <w:t>. The paper provides a broad description of the major fisheries in the WCPFC Statistical Area (WCPFC-CA), highlighting activities during the most recent calendar year (2025) and covering the most recent summary of catch estimates by gear and species.</w:t>
      </w:r>
    </w:p>
    <w:p w14:paraId="2FCCC12D" w14:textId="77777777" w:rsidR="00C02064" w:rsidRPr="00B845AF" w:rsidRDefault="00C02064" w:rsidP="00C02064">
      <w:pPr>
        <w:pStyle w:val="SCtext"/>
        <w:numPr>
          <w:ilvl w:val="0"/>
          <w:numId w:val="0"/>
        </w:numPr>
        <w:rPr>
          <w:rFonts w:asciiTheme="minorHAnsi" w:hAnsiTheme="minorHAnsi" w:cstheme="minorHAnsi"/>
          <w:lang w:val="en-US"/>
        </w:rPr>
      </w:pPr>
    </w:p>
    <w:p w14:paraId="2FA1BC96" w14:textId="4D40010D" w:rsidR="00722A05" w:rsidRPr="00B845AF" w:rsidRDefault="00E451E0" w:rsidP="00B1409E">
      <w:pPr>
        <w:pStyle w:val="SCtext"/>
        <w:numPr>
          <w:ilvl w:val="0"/>
          <w:numId w:val="0"/>
        </w:numPr>
        <w:ind w:left="640"/>
        <w:rPr>
          <w:rFonts w:asciiTheme="minorHAnsi" w:hAnsiTheme="minorHAnsi" w:cstheme="minorHAnsi"/>
          <w:lang w:val="en-US"/>
        </w:rPr>
      </w:pPr>
      <w:r w:rsidRPr="00B845AF">
        <w:rPr>
          <w:rFonts w:asciiTheme="minorHAnsi" w:hAnsiTheme="minorHAnsi" w:cstheme="minorHAnsi"/>
          <w:lang w:val="en-US"/>
        </w:rPr>
        <w:t xml:space="preserve">The provisional total WCPFC-CA tuna catch for 2025 was estimated at 2,588,945 mt, lower than the 2024 catch (3,060,763 mt) but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the 2023 level (2,685,724 mt). This represented 72% of the total Pacific Ocean tuna catch (3,575,435 mt) and 49% of the global tuna catch (provisional 2025 estimate 5,310,863 mt), noting that over 80% of the WCPFC-CA tuna catch occurs in the waters of coastal states. By species, skipjack (1,668,409 mt, 64%) and albacore (87,549 mt, 3.4%) were down from 2024, while yellowfin (677,123 mt, 26%) was down slightly from 2024 and remained below the 2021 record; bigeye (155,864 mt, 6%) increased from 2024. The provisional South Pacific albacore catch (62,228 mt) does not yet include EPO catches.</w:t>
      </w:r>
    </w:p>
    <w:p w14:paraId="0E89C5BE" w14:textId="77777777" w:rsidR="00AF0456" w:rsidRPr="00B845AF" w:rsidRDefault="00AF0456" w:rsidP="000F113C">
      <w:pPr>
        <w:pStyle w:val="SCtext"/>
        <w:numPr>
          <w:ilvl w:val="0"/>
          <w:numId w:val="0"/>
        </w:numPr>
        <w:ind w:leftChars="100" w:left="220"/>
        <w:rPr>
          <w:rFonts w:asciiTheme="minorHAnsi" w:hAnsiTheme="minorHAnsi" w:cstheme="minorHAnsi"/>
          <w:lang w:val="en-US"/>
        </w:rPr>
      </w:pPr>
    </w:p>
    <w:p w14:paraId="5C07E604" w14:textId="2C33C168" w:rsidR="00AF0456" w:rsidRPr="00B845AF" w:rsidRDefault="00E451E0" w:rsidP="00B1409E">
      <w:pPr>
        <w:pStyle w:val="SCtext"/>
        <w:numPr>
          <w:ilvl w:val="0"/>
          <w:numId w:val="0"/>
        </w:numPr>
        <w:ind w:left="640"/>
        <w:rPr>
          <w:rFonts w:asciiTheme="minorHAnsi" w:hAnsiTheme="minorHAnsi" w:cstheme="minorHAnsi"/>
          <w:lang w:val="en-US"/>
        </w:rPr>
      </w:pPr>
      <w:r w:rsidRPr="00B845AF">
        <w:rPr>
          <w:rFonts w:asciiTheme="minorHAnsi" w:hAnsiTheme="minorHAnsi" w:cstheme="minorHAnsi"/>
          <w:lang w:val="en-US"/>
        </w:rPr>
        <w:t xml:space="preserve">By gear, the 2025 purse seine catch (1,787,386 mt) was 358,754 mt below the 2024 record, with lower skipjack and yellowfin but higher bigeye </w:t>
      </w:r>
      <w:proofErr w:type="gramStart"/>
      <w:r w:rsidRPr="00B845AF">
        <w:rPr>
          <w:rFonts w:asciiTheme="minorHAnsi" w:hAnsiTheme="minorHAnsi" w:cstheme="minorHAnsi"/>
          <w:lang w:val="en-US"/>
        </w:rPr>
        <w:t>catch</w:t>
      </w:r>
      <w:proofErr w:type="gramEnd"/>
      <w:r w:rsidRPr="00B845AF">
        <w:rPr>
          <w:rFonts w:asciiTheme="minorHAnsi" w:hAnsiTheme="minorHAnsi" w:cstheme="minorHAnsi"/>
          <w:lang w:val="en-US"/>
        </w:rPr>
        <w:t>. Pole-and-line catch (103,588 mt) was down about 26% from 2024, reflecting reduced Japanese catches. The longline catch (218,014 mt) was below both 2024 and the prior decade’s average, with bigeye and yellowfin among the lowest of the past two decades. The South Pacific albacore troll catch (1,223 mt) was the lowest since 1983, driven by a contraction in the New Zealand troll fleet.</w:t>
      </w:r>
    </w:p>
    <w:p w14:paraId="1F7E86E0" w14:textId="77777777" w:rsidR="00AF0456" w:rsidRPr="00B845AF" w:rsidRDefault="00AF0456" w:rsidP="000F113C">
      <w:pPr>
        <w:pStyle w:val="SCtext"/>
        <w:numPr>
          <w:ilvl w:val="0"/>
          <w:numId w:val="0"/>
        </w:numPr>
        <w:ind w:leftChars="100" w:left="220"/>
        <w:rPr>
          <w:rFonts w:asciiTheme="minorHAnsi" w:hAnsiTheme="minorHAnsi" w:cstheme="minorHAnsi"/>
          <w:lang w:val="en-US"/>
        </w:rPr>
      </w:pPr>
    </w:p>
    <w:p w14:paraId="3F767F56" w14:textId="32027360" w:rsidR="007C1338" w:rsidRPr="00B845AF" w:rsidRDefault="00E451E0" w:rsidP="00B1409E">
      <w:pPr>
        <w:pStyle w:val="SCtext"/>
        <w:numPr>
          <w:ilvl w:val="0"/>
          <w:numId w:val="0"/>
        </w:numPr>
        <w:ind w:left="640"/>
        <w:rPr>
          <w:rFonts w:asciiTheme="minorHAnsi" w:hAnsiTheme="minorHAnsi" w:cstheme="minorHAnsi"/>
          <w:lang w:val="en-US"/>
        </w:rPr>
      </w:pPr>
      <w:r w:rsidRPr="00B845AF">
        <w:rPr>
          <w:rFonts w:asciiTheme="minorHAnsi" w:hAnsiTheme="minorHAnsi" w:cstheme="minorHAnsi"/>
          <w:lang w:val="en-US"/>
        </w:rPr>
        <w:t>In 2025, purse seine tuna prices rose in key markets (Thai imports up 8% to $1,641/mt; Yaizu up 2% to $1,519/mt). Longline yellowfin and bigeye prices moved in mixed directions across markets, with notable declines in US fresh imports of both species (yellowfin down 18% to $8.65/kg; bigeye down 19% to $9.42/kg). Albacore prices were also mixed, with US fresh prices falling 23% to $4.70/kg.</w:t>
      </w:r>
    </w:p>
    <w:p w14:paraId="54AC29AA" w14:textId="77777777" w:rsidR="007C1338" w:rsidRPr="00B845AF" w:rsidRDefault="007C1338" w:rsidP="000F113C">
      <w:pPr>
        <w:pStyle w:val="SCtext"/>
        <w:numPr>
          <w:ilvl w:val="0"/>
          <w:numId w:val="0"/>
        </w:numPr>
        <w:ind w:leftChars="100" w:left="220"/>
        <w:rPr>
          <w:rFonts w:asciiTheme="minorHAnsi" w:hAnsiTheme="minorHAnsi" w:cstheme="minorHAnsi"/>
          <w:lang w:val="en-US"/>
        </w:rPr>
      </w:pPr>
    </w:p>
    <w:p w14:paraId="0458FA64" w14:textId="3F5A6697" w:rsidR="00722A05" w:rsidRPr="00B845AF" w:rsidRDefault="00E451E0" w:rsidP="00B1409E">
      <w:pPr>
        <w:pStyle w:val="SCtext"/>
        <w:numPr>
          <w:ilvl w:val="0"/>
          <w:numId w:val="0"/>
        </w:numPr>
        <w:ind w:left="640"/>
        <w:rPr>
          <w:rFonts w:asciiTheme="minorHAnsi" w:hAnsiTheme="minorHAnsi" w:cstheme="minorHAnsi"/>
          <w:lang w:val="en-US"/>
        </w:rPr>
      </w:pPr>
      <w:r w:rsidRPr="00B845AF">
        <w:rPr>
          <w:rFonts w:asciiTheme="minorHAnsi" w:hAnsiTheme="minorHAnsi" w:cstheme="minorHAnsi"/>
          <w:lang w:val="en-US"/>
        </w:rPr>
        <w:lastRenderedPageBreak/>
        <w:t>The total estimated delivered value of the WCP-CA tuna catch declined 5% to $5.4 billion in 2025. Purse seine remained dominant (57% of value) despite an 11% drop</w:t>
      </w:r>
      <w:r w:rsidR="000001DD" w:rsidRPr="00B845AF">
        <w:rPr>
          <w:rFonts w:asciiTheme="minorHAnsi" w:hAnsiTheme="minorHAnsi" w:cstheme="minorHAnsi"/>
          <w:lang w:val="en-US"/>
        </w:rPr>
        <w:t>,</w:t>
      </w:r>
      <w:r w:rsidRPr="00B845AF">
        <w:rPr>
          <w:rFonts w:asciiTheme="minorHAnsi" w:hAnsiTheme="minorHAnsi" w:cstheme="minorHAnsi"/>
          <w:lang w:val="en-US"/>
        </w:rPr>
        <w:t xml:space="preserve"> longline value rose 9% to $1.18 billion</w:t>
      </w:r>
      <w:r w:rsidR="000001DD" w:rsidRPr="00B845AF">
        <w:rPr>
          <w:rFonts w:asciiTheme="minorHAnsi" w:hAnsiTheme="minorHAnsi" w:cstheme="minorHAnsi"/>
          <w:lang w:val="en-US"/>
        </w:rPr>
        <w:t>,</w:t>
      </w:r>
      <w:r w:rsidRPr="00B845AF">
        <w:rPr>
          <w:rFonts w:asciiTheme="minorHAnsi" w:hAnsiTheme="minorHAnsi" w:cstheme="minorHAnsi"/>
          <w:lang w:val="en-US"/>
        </w:rPr>
        <w:t xml:space="preserve"> and pole-and-line rose 13% to $230 million. By species, skipjack value fell 15% to $2.7 billion (51% of total), while yellowfin, bigeye, and albacore values all rose.</w:t>
      </w:r>
    </w:p>
    <w:p w14:paraId="05E97139" w14:textId="77777777" w:rsidR="00AF0456" w:rsidRPr="00B845AF" w:rsidRDefault="00AF0456" w:rsidP="000F113C">
      <w:pPr>
        <w:pStyle w:val="SCtext"/>
        <w:numPr>
          <w:ilvl w:val="0"/>
          <w:numId w:val="0"/>
        </w:numPr>
        <w:ind w:leftChars="100" w:left="220"/>
        <w:rPr>
          <w:rFonts w:asciiTheme="minorHAnsi" w:hAnsiTheme="minorHAnsi" w:cstheme="minorHAnsi"/>
          <w:lang w:val="en-US"/>
        </w:rPr>
      </w:pPr>
    </w:p>
    <w:p w14:paraId="0999888F" w14:textId="6426ACD9" w:rsidR="00AF0456" w:rsidRPr="00B845AF" w:rsidRDefault="00E451E0" w:rsidP="00B1409E">
      <w:pPr>
        <w:pStyle w:val="SCtext"/>
        <w:numPr>
          <w:ilvl w:val="0"/>
          <w:numId w:val="0"/>
        </w:numPr>
        <w:ind w:left="640"/>
        <w:rPr>
          <w:rFonts w:asciiTheme="minorHAnsi" w:hAnsiTheme="minorHAnsi" w:cstheme="minorHAnsi"/>
          <w:lang w:val="en-US"/>
        </w:rPr>
      </w:pPr>
      <w:r w:rsidRPr="00B845AF">
        <w:rPr>
          <w:rFonts w:asciiTheme="minorHAnsi" w:hAnsiTheme="minorHAnsi" w:cstheme="minorHAnsi"/>
          <w:lang w:val="en-US"/>
        </w:rPr>
        <w:t>Economic conditions deteriorated across all three indexed fisheries in 2025 relative to 2024: the tropical purse seine index fell to 80, the southern longline index fell to 79, and the tropical longline index fell to 74, all below their 20-year averages, primarily reflecting declining catch rates</w:t>
      </w:r>
      <w:r w:rsidR="00722A05" w:rsidRPr="00B845AF">
        <w:rPr>
          <w:rFonts w:asciiTheme="minorHAnsi" w:hAnsiTheme="minorHAnsi" w:cstheme="minorHAnsi"/>
          <w:lang w:val="en-US"/>
        </w:rPr>
        <w:t>.</w:t>
      </w:r>
    </w:p>
    <w:p w14:paraId="139666EF" w14:textId="6FEA1F90" w:rsidR="00290BE9" w:rsidRPr="00B845AF" w:rsidRDefault="000A70A6" w:rsidP="00F14811">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76F7AEA1" wp14:editId="294EE34D">
            <wp:extent cx="4867862" cy="37401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8">
                      <a:extLst>
                        <a:ext uri="{28A0092B-C50C-407E-A947-70E740481C1C}">
                          <a14:useLocalDpi xmlns:a14="http://schemas.microsoft.com/office/drawing/2010/main" val="0"/>
                        </a:ext>
                      </a:extLst>
                    </a:blip>
                    <a:stretch>
                      <a:fillRect/>
                    </a:stretch>
                  </pic:blipFill>
                  <pic:spPr>
                    <a:xfrm>
                      <a:off x="0" y="0"/>
                      <a:ext cx="4875042" cy="3745667"/>
                    </a:xfrm>
                    <a:prstGeom prst="rect">
                      <a:avLst/>
                    </a:prstGeom>
                  </pic:spPr>
                </pic:pic>
              </a:graphicData>
            </a:graphic>
          </wp:inline>
        </w:drawing>
      </w:r>
    </w:p>
    <w:p w14:paraId="0BF7AA5B" w14:textId="77777777" w:rsidR="00290BE9" w:rsidRPr="00B845AF" w:rsidRDefault="00290BE9" w:rsidP="00290BE9">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WCPO-01</w:t>
      </w:r>
      <w:r w:rsidRPr="00B845AF">
        <w:rPr>
          <w:rFonts w:asciiTheme="minorHAnsi" w:hAnsiTheme="minorHAnsi" w:cstheme="minorHAnsi"/>
          <w:lang w:val="en-US"/>
        </w:rPr>
        <w:t>. Catch (mt) of albacore, bigeye, skipjack, and yellowfin (combined) in the WCPFC–CA.</w:t>
      </w:r>
    </w:p>
    <w:p w14:paraId="374F1C22" w14:textId="77777777" w:rsidR="00290BE9" w:rsidRPr="00B845AF" w:rsidRDefault="00290BE9" w:rsidP="00290BE9">
      <w:pPr>
        <w:pStyle w:val="SCtext"/>
        <w:numPr>
          <w:ilvl w:val="0"/>
          <w:numId w:val="0"/>
        </w:numPr>
        <w:rPr>
          <w:rFonts w:asciiTheme="minorHAnsi" w:hAnsiTheme="minorHAnsi" w:cstheme="minorHAnsi"/>
          <w:lang w:val="en-US"/>
        </w:rPr>
      </w:pPr>
    </w:p>
    <w:p w14:paraId="70F70B3B" w14:textId="69221001" w:rsidR="00290BE9" w:rsidRPr="00B845AF" w:rsidRDefault="000A70A6" w:rsidP="00F14811">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19C1FAA0" wp14:editId="79809506">
            <wp:extent cx="5049078" cy="3796861"/>
            <wp:effectExtent l="0" t="0" r="0" b="0"/>
            <wp:docPr id="10" name="Picture 10" descr="A graph of different colored b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graph of different colored bar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057124" cy="3802911"/>
                    </a:xfrm>
                    <a:prstGeom prst="rect">
                      <a:avLst/>
                    </a:prstGeom>
                  </pic:spPr>
                </pic:pic>
              </a:graphicData>
            </a:graphic>
          </wp:inline>
        </w:drawing>
      </w:r>
    </w:p>
    <w:p w14:paraId="5076D031" w14:textId="77777777" w:rsidR="00290BE9" w:rsidRPr="00B845AF" w:rsidRDefault="00290BE9" w:rsidP="00290BE9">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WCPO-02</w:t>
      </w:r>
      <w:r w:rsidRPr="00B845AF">
        <w:rPr>
          <w:rFonts w:asciiTheme="minorHAnsi" w:hAnsiTheme="minorHAnsi" w:cstheme="minorHAnsi"/>
          <w:lang w:val="en-US"/>
        </w:rPr>
        <w:t>. Catch (mt) of albacore, bigeye, skipjack, and yellowfin tuna (combined) in the WCPFC-CA, by longline, pole-and-line, purse seine, and other gear types.</w:t>
      </w:r>
    </w:p>
    <w:p w14:paraId="791DC815" w14:textId="77777777" w:rsidR="00290BE9" w:rsidRPr="00B845AF" w:rsidRDefault="00290BE9" w:rsidP="00290BE9">
      <w:pPr>
        <w:pStyle w:val="SCtext"/>
        <w:numPr>
          <w:ilvl w:val="0"/>
          <w:numId w:val="0"/>
        </w:numPr>
        <w:rPr>
          <w:rFonts w:asciiTheme="minorHAnsi" w:hAnsiTheme="minorHAnsi" w:cstheme="minorHAnsi"/>
          <w:lang w:val="en-US"/>
        </w:rPr>
      </w:pPr>
    </w:p>
    <w:p w14:paraId="0691B722" w14:textId="70CC7E3E" w:rsidR="00290BE9" w:rsidRPr="00B845AF" w:rsidRDefault="000A70A6" w:rsidP="00F14811">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528CB293" wp14:editId="46C69DF3">
            <wp:extent cx="5087715" cy="3061252"/>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0">
                      <a:extLst>
                        <a:ext uri="{28A0092B-C50C-407E-A947-70E740481C1C}">
                          <a14:useLocalDpi xmlns:a14="http://schemas.microsoft.com/office/drawing/2010/main" val="0"/>
                        </a:ext>
                      </a:extLst>
                    </a:blip>
                    <a:stretch>
                      <a:fillRect/>
                    </a:stretch>
                  </pic:blipFill>
                  <pic:spPr>
                    <a:xfrm>
                      <a:off x="0" y="0"/>
                      <a:ext cx="5095764" cy="3066095"/>
                    </a:xfrm>
                    <a:prstGeom prst="rect">
                      <a:avLst/>
                    </a:prstGeom>
                  </pic:spPr>
                </pic:pic>
              </a:graphicData>
            </a:graphic>
          </wp:inline>
        </w:drawing>
      </w:r>
    </w:p>
    <w:p w14:paraId="1F2B3D3D" w14:textId="74836F27" w:rsidR="00290BE9" w:rsidRPr="00B845AF" w:rsidRDefault="00290BE9" w:rsidP="00290BE9">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WCPO-03</w:t>
      </w:r>
      <w:r w:rsidRPr="00B845AF">
        <w:rPr>
          <w:rFonts w:asciiTheme="minorHAnsi" w:hAnsiTheme="minorHAnsi" w:cstheme="minorHAnsi"/>
          <w:lang w:val="en-US"/>
        </w:rPr>
        <w:t>. Catch value of albacore, bigeye, skipjack</w:t>
      </w:r>
      <w:r w:rsidR="008A66B2" w:rsidRPr="00B845AF">
        <w:rPr>
          <w:rFonts w:asciiTheme="minorHAnsi" w:hAnsiTheme="minorHAnsi" w:cstheme="minorHAnsi"/>
          <w:lang w:val="en-US"/>
        </w:rPr>
        <w:t>,</w:t>
      </w:r>
      <w:r w:rsidRPr="00B845AF">
        <w:rPr>
          <w:rFonts w:asciiTheme="minorHAnsi" w:hAnsiTheme="minorHAnsi" w:cstheme="minorHAnsi"/>
          <w:lang w:val="en-US"/>
        </w:rPr>
        <w:t xml:space="preserve"> and yellowfin in the WCPFC–CA</w:t>
      </w:r>
      <w:r w:rsidR="008A66B2" w:rsidRPr="00B845AF">
        <w:rPr>
          <w:rFonts w:asciiTheme="minorHAnsi" w:hAnsiTheme="minorHAnsi" w:cstheme="minorHAnsi"/>
          <w:lang w:val="en-US"/>
        </w:rPr>
        <w:t>.</w:t>
      </w:r>
    </w:p>
    <w:p w14:paraId="58D9153D" w14:textId="77777777" w:rsidR="00290BE9" w:rsidRPr="00B845AF" w:rsidRDefault="00290BE9" w:rsidP="00290BE9">
      <w:pPr>
        <w:pStyle w:val="SCtext"/>
        <w:numPr>
          <w:ilvl w:val="0"/>
          <w:numId w:val="0"/>
        </w:numPr>
        <w:rPr>
          <w:rFonts w:asciiTheme="minorHAnsi" w:hAnsiTheme="minorHAnsi" w:cstheme="minorHAnsi"/>
          <w:lang w:val="en-US"/>
        </w:rPr>
      </w:pPr>
    </w:p>
    <w:p w14:paraId="295EC832" w14:textId="77777777" w:rsidR="00376AD8" w:rsidRPr="00B845AF" w:rsidRDefault="00376AD8" w:rsidP="00290BE9">
      <w:pPr>
        <w:pStyle w:val="SCtext"/>
        <w:numPr>
          <w:ilvl w:val="0"/>
          <w:numId w:val="0"/>
        </w:numPr>
        <w:rPr>
          <w:rFonts w:asciiTheme="minorHAnsi" w:hAnsiTheme="minorHAnsi" w:cstheme="minorHAnsi"/>
          <w:lang w:val="en-US"/>
        </w:rPr>
      </w:pPr>
    </w:p>
    <w:p w14:paraId="1B10BB53" w14:textId="09F34967" w:rsidR="00290BE9" w:rsidRPr="00B845AF" w:rsidRDefault="000A70A6" w:rsidP="00F14811">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659B83D1" wp14:editId="6E2E3F85">
            <wp:extent cx="5141609" cy="3037236"/>
            <wp:effectExtent l="0" t="0" r="190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1">
                      <a:extLst>
                        <a:ext uri="{28A0092B-C50C-407E-A947-70E740481C1C}">
                          <a14:useLocalDpi xmlns:a14="http://schemas.microsoft.com/office/drawing/2010/main" val="0"/>
                        </a:ext>
                      </a:extLst>
                    </a:blip>
                    <a:stretch>
                      <a:fillRect/>
                    </a:stretch>
                  </pic:blipFill>
                  <pic:spPr>
                    <a:xfrm>
                      <a:off x="0" y="0"/>
                      <a:ext cx="5150662" cy="3042584"/>
                    </a:xfrm>
                    <a:prstGeom prst="rect">
                      <a:avLst/>
                    </a:prstGeom>
                  </pic:spPr>
                </pic:pic>
              </a:graphicData>
            </a:graphic>
          </wp:inline>
        </w:drawing>
      </w:r>
    </w:p>
    <w:p w14:paraId="6BEF23C9" w14:textId="23513707" w:rsidR="00290BE9" w:rsidRPr="00B845AF" w:rsidRDefault="00290BE9" w:rsidP="00290BE9">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WCPO-04</w:t>
      </w:r>
      <w:r w:rsidRPr="00B845AF">
        <w:rPr>
          <w:rFonts w:asciiTheme="minorHAnsi" w:hAnsiTheme="minorHAnsi" w:cstheme="minorHAnsi"/>
          <w:lang w:val="en-US"/>
        </w:rPr>
        <w:t>. Catch value of albacore, bigeye, skipjack</w:t>
      </w:r>
      <w:r w:rsidR="008A66B2" w:rsidRPr="00B845AF">
        <w:rPr>
          <w:rFonts w:asciiTheme="minorHAnsi" w:hAnsiTheme="minorHAnsi" w:cstheme="minorHAnsi"/>
          <w:lang w:val="en-US"/>
        </w:rPr>
        <w:t>,</w:t>
      </w:r>
      <w:r w:rsidRPr="00B845AF">
        <w:rPr>
          <w:rFonts w:asciiTheme="minorHAnsi" w:hAnsiTheme="minorHAnsi" w:cstheme="minorHAnsi"/>
          <w:lang w:val="en-US"/>
        </w:rPr>
        <w:t xml:space="preserve"> and yellowfin in the WCPFC–CA, by longline, pole-and-line, purse seine</w:t>
      </w:r>
      <w:r w:rsidR="008A66B2" w:rsidRPr="00B845AF">
        <w:rPr>
          <w:rFonts w:asciiTheme="minorHAnsi" w:hAnsiTheme="minorHAnsi" w:cstheme="minorHAnsi"/>
          <w:lang w:val="en-US"/>
        </w:rPr>
        <w:t>,</w:t>
      </w:r>
      <w:r w:rsidRPr="00B845AF">
        <w:rPr>
          <w:rFonts w:asciiTheme="minorHAnsi" w:hAnsiTheme="minorHAnsi" w:cstheme="minorHAnsi"/>
          <w:lang w:val="en-US"/>
        </w:rPr>
        <w:t xml:space="preserve"> and other gear types</w:t>
      </w:r>
      <w:r w:rsidR="008A66B2" w:rsidRPr="00B845AF">
        <w:rPr>
          <w:rFonts w:asciiTheme="minorHAnsi" w:hAnsiTheme="minorHAnsi" w:cstheme="minorHAnsi"/>
          <w:lang w:val="en-US"/>
        </w:rPr>
        <w:t>.</w:t>
      </w:r>
    </w:p>
    <w:p w14:paraId="6665623E" w14:textId="77777777" w:rsidR="00290BE9" w:rsidRPr="00B845AF" w:rsidRDefault="00290BE9" w:rsidP="00290BE9">
      <w:pPr>
        <w:pStyle w:val="SCtext"/>
        <w:numPr>
          <w:ilvl w:val="0"/>
          <w:numId w:val="0"/>
        </w:numPr>
        <w:rPr>
          <w:rFonts w:asciiTheme="minorHAnsi" w:hAnsiTheme="minorHAnsi" w:cstheme="minorHAnsi"/>
          <w:lang w:val="en-US"/>
        </w:rPr>
      </w:pPr>
    </w:p>
    <w:p w14:paraId="7621CE67" w14:textId="46BA52D2" w:rsidR="00470E38" w:rsidRPr="00B845AF" w:rsidRDefault="00470E38" w:rsidP="00C576BF">
      <w:pPr>
        <w:pStyle w:val="SCDR"/>
        <w:rPr>
          <w:rFonts w:asciiTheme="minorHAnsi" w:hAnsiTheme="minorHAnsi" w:cstheme="minorHAnsi"/>
        </w:rPr>
      </w:pPr>
      <w:r w:rsidRPr="00B845AF">
        <w:rPr>
          <w:rFonts w:asciiTheme="minorHAnsi" w:hAnsiTheme="minorHAnsi" w:cstheme="minorHAnsi"/>
        </w:rPr>
        <w:t>Discussion</w:t>
      </w:r>
    </w:p>
    <w:p w14:paraId="685E7929" w14:textId="5AD58312" w:rsidR="00646E3E"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 xml:space="preserve">New Zealand, on behalf of the FFA members, thanked the SSP and FFA for the comprehensive work on the paper. FFA members noted a 15% decline in total tuna catch and a purse seine catch decline despite increased </w:t>
      </w:r>
      <w:r w:rsidR="00F14811" w:rsidRPr="00B845AF">
        <w:rPr>
          <w:rFonts w:asciiTheme="minorHAnsi" w:hAnsiTheme="minorHAnsi" w:cstheme="minorHAnsi"/>
          <w:lang w:val="en-US"/>
        </w:rPr>
        <w:t>effort and</w:t>
      </w:r>
      <w:r w:rsidRPr="00B845AF">
        <w:rPr>
          <w:rFonts w:asciiTheme="minorHAnsi" w:hAnsiTheme="minorHAnsi" w:cstheme="minorHAnsi"/>
          <w:lang w:val="en-US"/>
        </w:rPr>
        <w:t xml:space="preserve"> noted deterioration in the economic indices driven largely by lower catch rates. FFA members welcomed continued strengthening of economic indicators. On albacore, FFA members noted a 27% decline in WCPO albacore </w:t>
      </w:r>
      <w:r w:rsidR="00F14811" w:rsidRPr="00B845AF">
        <w:rPr>
          <w:rFonts w:asciiTheme="minorHAnsi" w:hAnsiTheme="minorHAnsi" w:cstheme="minorHAnsi"/>
          <w:lang w:val="en-US"/>
        </w:rPr>
        <w:t>catch and</w:t>
      </w:r>
      <w:r w:rsidRPr="00B845AF">
        <w:rPr>
          <w:rFonts w:asciiTheme="minorHAnsi" w:hAnsiTheme="minorHAnsi" w:cstheme="minorHAnsi"/>
          <w:lang w:val="en-US"/>
        </w:rPr>
        <w:t xml:space="preserve"> noted that 2025 EPO albacore data was not included in the paper, limiting complete analysis of South Pacific albacore. FFA members asked the SSP to clarify why the WCPFC Convention Area albacore catch estimate is expected to change once EPO estimates become available, whether this reflects reporting arrangements in the WCPFC-IATTC overlap area, and encouraged use of the Joint Working Group to streamline data submission. FFA members also suggested expanding future iterations of the paper to include South Pacific albacore catch within the management procedure</w:t>
      </w:r>
      <w:r w:rsidR="003B33F5" w:rsidRPr="00B845AF">
        <w:rPr>
          <w:rFonts w:asciiTheme="minorHAnsi" w:hAnsiTheme="minorHAnsi" w:cstheme="minorHAnsi"/>
          <w:lang w:val="en-US"/>
        </w:rPr>
        <w:t>’</w:t>
      </w:r>
      <w:r w:rsidRPr="00B845AF">
        <w:rPr>
          <w:rFonts w:asciiTheme="minorHAnsi" w:hAnsiTheme="minorHAnsi" w:cstheme="minorHAnsi"/>
          <w:lang w:val="en-US"/>
        </w:rPr>
        <w:t>s area of application, to allow comparison against the TAC output</w:t>
      </w:r>
      <w:r w:rsidR="00EA2E27" w:rsidRPr="00B845AF">
        <w:rPr>
          <w:rFonts w:asciiTheme="minorHAnsi" w:hAnsiTheme="minorHAnsi" w:cstheme="minorHAnsi"/>
          <w:lang w:val="en-US"/>
        </w:rPr>
        <w:t>.</w:t>
      </w:r>
    </w:p>
    <w:p w14:paraId="00419CC7" w14:textId="77777777" w:rsidR="00A177CB" w:rsidRPr="00B845AF" w:rsidRDefault="00A177CB" w:rsidP="003F77FA">
      <w:pPr>
        <w:pStyle w:val="SCtext"/>
        <w:numPr>
          <w:ilvl w:val="0"/>
          <w:numId w:val="0"/>
        </w:numPr>
        <w:rPr>
          <w:rFonts w:asciiTheme="minorHAnsi" w:hAnsiTheme="minorHAnsi" w:cstheme="minorHAnsi"/>
          <w:lang w:val="en-US"/>
        </w:rPr>
      </w:pPr>
    </w:p>
    <w:p w14:paraId="7A2BD4C4" w14:textId="7BAD9907" w:rsidR="00AD05A9"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the requested catch summaries could be included in the paper. On timing, IATTC data become available in September following processing, so updated estimates should be available before WCPFC23. On reporting, the SSP understood that all CCMs report WCPFC data, including from the overlap area, so Convention Area catch data should be complete; it is the application of measures that </w:t>
      </w:r>
      <w:r w:rsidR="00F14811" w:rsidRPr="00B845AF">
        <w:rPr>
          <w:rFonts w:asciiTheme="minorHAnsi" w:hAnsiTheme="minorHAnsi" w:cstheme="minorHAnsi"/>
          <w:lang w:val="en-US"/>
        </w:rPr>
        <w:t>vary</w:t>
      </w:r>
      <w:r w:rsidRPr="00B845AF">
        <w:rPr>
          <w:rFonts w:asciiTheme="minorHAnsi" w:hAnsiTheme="minorHAnsi" w:cstheme="minorHAnsi"/>
          <w:lang w:val="en-US"/>
        </w:rPr>
        <w:t xml:space="preserve">. The SSP noted the </w:t>
      </w:r>
      <w:r w:rsidR="003B33F5" w:rsidRPr="00B845AF">
        <w:rPr>
          <w:rFonts w:asciiTheme="minorHAnsi" w:hAnsiTheme="minorHAnsi" w:cstheme="minorHAnsi"/>
          <w:lang w:val="en-US"/>
        </w:rPr>
        <w:t>JWG discussions</w:t>
      </w:r>
      <w:r w:rsidRPr="00B845AF">
        <w:rPr>
          <w:rFonts w:asciiTheme="minorHAnsi" w:hAnsiTheme="minorHAnsi" w:cstheme="minorHAnsi"/>
          <w:lang w:val="en-US"/>
        </w:rPr>
        <w:t xml:space="preserve"> had been revived over the past year, which </w:t>
      </w:r>
      <w:r w:rsidR="00F14811" w:rsidRPr="00B845AF">
        <w:rPr>
          <w:rFonts w:asciiTheme="minorHAnsi" w:hAnsiTheme="minorHAnsi" w:cstheme="minorHAnsi"/>
          <w:lang w:val="en-US"/>
        </w:rPr>
        <w:t>is</w:t>
      </w:r>
      <w:r w:rsidRPr="00B845AF">
        <w:rPr>
          <w:rFonts w:asciiTheme="minorHAnsi" w:hAnsiTheme="minorHAnsi" w:cstheme="minorHAnsi"/>
          <w:lang w:val="en-US"/>
        </w:rPr>
        <w:t xml:space="preserve"> considered a positive development for data consistency between the two organizations.</w:t>
      </w:r>
    </w:p>
    <w:p w14:paraId="298B64B4" w14:textId="77777777" w:rsidR="00812014" w:rsidRPr="00B845AF" w:rsidRDefault="00812014" w:rsidP="003F77FA">
      <w:pPr>
        <w:pStyle w:val="SCtext"/>
        <w:numPr>
          <w:ilvl w:val="0"/>
          <w:numId w:val="0"/>
        </w:numPr>
        <w:rPr>
          <w:rFonts w:asciiTheme="minorHAnsi" w:hAnsiTheme="minorHAnsi" w:cstheme="minorHAnsi"/>
          <w:lang w:val="en-US"/>
        </w:rPr>
      </w:pPr>
    </w:p>
    <w:p w14:paraId="6513ABA5" w14:textId="770F9978" w:rsidR="00646E3E"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China asked whether the decline in the purse seine economic index, despite lower fuel prices and higher fish prices, was due to a decline in nominal CPUE, how FFA weights these factors, and whether the index reflects vessel profitability.</w:t>
      </w:r>
      <w:r w:rsidR="00426A23" w:rsidRPr="00B845AF">
        <w:rPr>
          <w:rFonts w:asciiTheme="minorHAnsi" w:hAnsiTheme="minorHAnsi" w:cstheme="minorHAnsi"/>
          <w:lang w:val="en-US"/>
        </w:rPr>
        <w:t xml:space="preserve"> </w:t>
      </w:r>
    </w:p>
    <w:p w14:paraId="521AC97A" w14:textId="77777777" w:rsidR="00426A23" w:rsidRPr="00B845AF" w:rsidRDefault="00426A23" w:rsidP="003F77FA">
      <w:pPr>
        <w:pStyle w:val="SCtext"/>
        <w:numPr>
          <w:ilvl w:val="0"/>
          <w:numId w:val="0"/>
        </w:numPr>
        <w:rPr>
          <w:rFonts w:asciiTheme="minorHAnsi" w:hAnsiTheme="minorHAnsi" w:cstheme="minorHAnsi"/>
          <w:lang w:val="en-US"/>
        </w:rPr>
      </w:pPr>
    </w:p>
    <w:p w14:paraId="0EE5840D" w14:textId="71F52C64" w:rsidR="0069025F"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 xml:space="preserve">FFA clarified that although nominal prices rose in 2025, the index compares against the trailing 20-year average in inflation-adjusted terms, and 2025 catch rates and prices were below that average. </w:t>
      </w:r>
      <w:r w:rsidRPr="00B845AF">
        <w:rPr>
          <w:rFonts w:asciiTheme="minorHAnsi" w:hAnsiTheme="minorHAnsi" w:cstheme="minorHAnsi"/>
          <w:lang w:val="en-US"/>
        </w:rPr>
        <w:lastRenderedPageBreak/>
        <w:t>FFA stated the index measures fishery-wide economic conditions relative to history, not vessel-level profitability</w:t>
      </w:r>
      <w:r w:rsidR="00CD5423" w:rsidRPr="00B845AF">
        <w:rPr>
          <w:rFonts w:asciiTheme="minorHAnsi" w:hAnsiTheme="minorHAnsi" w:cstheme="minorHAnsi"/>
          <w:lang w:val="en-US"/>
        </w:rPr>
        <w:t xml:space="preserve">. </w:t>
      </w:r>
    </w:p>
    <w:p w14:paraId="3CE725DF" w14:textId="77777777" w:rsidR="0069025F" w:rsidRPr="00B845AF" w:rsidRDefault="0069025F" w:rsidP="0069025F">
      <w:pPr>
        <w:pStyle w:val="SCtext"/>
        <w:numPr>
          <w:ilvl w:val="0"/>
          <w:numId w:val="0"/>
        </w:numPr>
        <w:rPr>
          <w:rFonts w:asciiTheme="minorHAnsi" w:hAnsiTheme="minorHAnsi" w:cstheme="minorHAnsi"/>
          <w:lang w:val="en-US"/>
        </w:rPr>
      </w:pPr>
    </w:p>
    <w:p w14:paraId="6C072836" w14:textId="46DEBC9B" w:rsidR="0009444A"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Solomon Islands thanked the Secretariat and the SSP, in collaboration with FFA, for the presentation. Solomon Islands noted with concern the significant deterioration in 2025 economic conditions, particularly the tropical purse seine index falling well below its long-term average, driven by lower catch rates and fish prices. Solomon Islands stated that tuna fisheries make an important contribution to its national economy, including revenue, employment, food security, and broader development, and that the 2025 results demonstrate that healthy tuna stocks do not necessarily translate into strong economic conditions. Solomon Islands supported continued work to strengthen economic indicators alongside catch, effort, and stock status information to support management decisions that promote both sustainable stocks and long-term economic resilience</w:t>
      </w:r>
      <w:r w:rsidR="002A02EF" w:rsidRPr="00B845AF">
        <w:rPr>
          <w:rFonts w:asciiTheme="minorHAnsi" w:hAnsiTheme="minorHAnsi" w:cstheme="minorHAnsi"/>
          <w:lang w:val="en-US"/>
        </w:rPr>
        <w:t xml:space="preserve">. </w:t>
      </w:r>
    </w:p>
    <w:p w14:paraId="0454F940" w14:textId="77777777" w:rsidR="0009444A" w:rsidRPr="00B845AF" w:rsidRDefault="0009444A" w:rsidP="003F77FA">
      <w:pPr>
        <w:pStyle w:val="SCtext"/>
        <w:numPr>
          <w:ilvl w:val="0"/>
          <w:numId w:val="0"/>
        </w:numPr>
        <w:rPr>
          <w:rFonts w:asciiTheme="minorHAnsi" w:hAnsiTheme="minorHAnsi" w:cstheme="minorHAnsi"/>
          <w:lang w:val="en-US"/>
        </w:rPr>
      </w:pPr>
    </w:p>
    <w:p w14:paraId="7F35F065" w14:textId="36EA7FAC" w:rsidR="0009444A"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The USA asked about the increase in FAD-associated purse seine sets in 2025 and whether the SSP had insight into the shift</w:t>
      </w:r>
      <w:r w:rsidR="006607CE" w:rsidRPr="00B845AF">
        <w:rPr>
          <w:rFonts w:asciiTheme="minorHAnsi" w:hAnsiTheme="minorHAnsi" w:cstheme="minorHAnsi"/>
          <w:lang w:val="en-US"/>
        </w:rPr>
        <w:t xml:space="preserve">. </w:t>
      </w:r>
      <w:r w:rsidRPr="00B845AF">
        <w:rPr>
          <w:rFonts w:asciiTheme="minorHAnsi" w:hAnsiTheme="minorHAnsi" w:cstheme="minorHAnsi"/>
          <w:lang w:val="en-US"/>
        </w:rPr>
        <w:t>The SSP stated it did not have a specific explanation and invited others with industry insight to comment.</w:t>
      </w:r>
    </w:p>
    <w:p w14:paraId="635C1FC3" w14:textId="77777777" w:rsidR="0009444A" w:rsidRPr="00B845AF" w:rsidRDefault="0009444A" w:rsidP="003F77FA">
      <w:pPr>
        <w:pStyle w:val="SCtext"/>
        <w:numPr>
          <w:ilvl w:val="0"/>
          <w:numId w:val="0"/>
        </w:numPr>
        <w:rPr>
          <w:rFonts w:asciiTheme="minorHAnsi" w:hAnsiTheme="minorHAnsi" w:cstheme="minorHAnsi"/>
          <w:lang w:val="en-US"/>
        </w:rPr>
      </w:pPr>
    </w:p>
    <w:p w14:paraId="18CF1B68" w14:textId="189802EC" w:rsidR="00647360"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Indonesia asked whether the “other” small-scale gear category includes small-scale fisheries from Indonesia, the Philippines, and Vietnam, and requested more detailed economic information on these fisheries in future iterations of the paper</w:t>
      </w:r>
      <w:r w:rsidR="00E86317" w:rsidRPr="00B845AF">
        <w:rPr>
          <w:rFonts w:asciiTheme="minorHAnsi" w:hAnsiTheme="minorHAnsi" w:cstheme="minorHAnsi"/>
          <w:lang w:val="en-US"/>
        </w:rPr>
        <w:t>.</w:t>
      </w:r>
      <w:r w:rsidRPr="00B845AF">
        <w:rPr>
          <w:rFonts w:asciiTheme="minorHAnsi" w:hAnsiTheme="minorHAnsi" w:cstheme="minorHAnsi"/>
          <w:lang w:val="en-US"/>
        </w:rPr>
        <w:t xml:space="preserve"> FFA sought clarification on whether Indonesia wanted separate economic conditions for these gear types. Indonesia confirmed it was requesting more detailed information where feasible. FFA clarified that the tropical and southern longline indices cover defined latitudinal bands, with all catch in those areas included in the calculation.</w:t>
      </w:r>
    </w:p>
    <w:p w14:paraId="3244D988" w14:textId="77777777" w:rsidR="00647360" w:rsidRPr="00B845AF" w:rsidRDefault="00647360" w:rsidP="003F77FA">
      <w:pPr>
        <w:pStyle w:val="SCtext"/>
        <w:numPr>
          <w:ilvl w:val="0"/>
          <w:numId w:val="0"/>
        </w:numPr>
        <w:rPr>
          <w:rFonts w:asciiTheme="minorHAnsi" w:hAnsiTheme="minorHAnsi" w:cstheme="minorHAnsi"/>
          <w:lang w:val="en-US"/>
        </w:rPr>
      </w:pPr>
    </w:p>
    <w:p w14:paraId="68EF228A" w14:textId="70201BC9" w:rsidR="00371F6C"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 xml:space="preserve">Tonga noted that 2025 skipjack catch was 80% of 2024 levels and total catch was 85% of 2024 </w:t>
      </w:r>
      <w:r w:rsidR="00F14811" w:rsidRPr="00B845AF">
        <w:rPr>
          <w:rFonts w:asciiTheme="minorHAnsi" w:hAnsiTheme="minorHAnsi" w:cstheme="minorHAnsi"/>
          <w:lang w:val="en-US"/>
        </w:rPr>
        <w:t>levels and</w:t>
      </w:r>
      <w:r w:rsidRPr="00B845AF">
        <w:rPr>
          <w:rFonts w:asciiTheme="minorHAnsi" w:hAnsiTheme="minorHAnsi" w:cstheme="minorHAnsi"/>
          <w:lang w:val="en-US"/>
        </w:rPr>
        <w:t xml:space="preserve"> expressed concern that the public may perceive this decline as evidence of overfishing. Tonga suggested the paper include a summary of stock status or spawning biomass depletion trends and ENSO context, noting this information exists in the indicators paper but is not visible in the overview. Tonga stated that public perception of WCPO tuna as overexploited persists, and that while full analysis exceeds the paper</w:t>
      </w:r>
      <w:r w:rsidR="003B33F5" w:rsidRPr="00B845AF">
        <w:rPr>
          <w:rFonts w:asciiTheme="minorHAnsi" w:hAnsiTheme="minorHAnsi" w:cstheme="minorHAnsi"/>
          <w:lang w:val="en-US"/>
        </w:rPr>
        <w:t>’</w:t>
      </w:r>
      <w:r w:rsidRPr="00B845AF">
        <w:rPr>
          <w:rFonts w:asciiTheme="minorHAnsi" w:hAnsiTheme="minorHAnsi" w:cstheme="minorHAnsi"/>
          <w:lang w:val="en-US"/>
        </w:rPr>
        <w:t>s mandate, some additional context might help</w:t>
      </w:r>
      <w:r w:rsidR="00371F6C" w:rsidRPr="00B845AF">
        <w:rPr>
          <w:rFonts w:asciiTheme="minorHAnsi" w:hAnsiTheme="minorHAnsi" w:cstheme="minorHAnsi"/>
          <w:lang w:val="en-US"/>
        </w:rPr>
        <w:t>.</w:t>
      </w:r>
    </w:p>
    <w:p w14:paraId="194BC227" w14:textId="4FCA7BAF" w:rsidR="0063725B" w:rsidRPr="00B845AF" w:rsidRDefault="00F9611A" w:rsidP="00290BE9">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ab/>
      </w:r>
    </w:p>
    <w:p w14:paraId="549036DB" w14:textId="6C07A681" w:rsidR="00481832"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The SSP thanked Tonga for the suggestion, noting that papers had already been reviewed post-SC21 to reduce duplication, and agreed there is value in reframing the paper to better capture stock status context for species not currently addressed</w:t>
      </w:r>
      <w:r w:rsidR="00481832" w:rsidRPr="00B845AF">
        <w:rPr>
          <w:rFonts w:asciiTheme="minorHAnsi" w:hAnsiTheme="minorHAnsi" w:cstheme="minorHAnsi"/>
          <w:lang w:val="en-US"/>
        </w:rPr>
        <w:t xml:space="preserve">. </w:t>
      </w:r>
    </w:p>
    <w:p w14:paraId="685049AF" w14:textId="77777777" w:rsidR="00481832" w:rsidRPr="00B845AF" w:rsidRDefault="00481832" w:rsidP="00290BE9">
      <w:pPr>
        <w:pStyle w:val="SCtext"/>
        <w:numPr>
          <w:ilvl w:val="0"/>
          <w:numId w:val="0"/>
        </w:numPr>
        <w:rPr>
          <w:rFonts w:asciiTheme="minorHAnsi" w:hAnsiTheme="minorHAnsi" w:cstheme="minorHAnsi"/>
          <w:lang w:val="en-US"/>
        </w:rPr>
      </w:pPr>
    </w:p>
    <w:p w14:paraId="36A32E81" w14:textId="5B6E4D11" w:rsidR="00525817" w:rsidRPr="00B845AF" w:rsidRDefault="00237D21">
      <w:pPr>
        <w:pStyle w:val="SCtext"/>
        <w:rPr>
          <w:rFonts w:asciiTheme="minorHAnsi" w:hAnsiTheme="minorHAnsi" w:cstheme="minorHAnsi"/>
          <w:lang w:val="en-US"/>
        </w:rPr>
      </w:pPr>
      <w:r w:rsidRPr="00B845AF">
        <w:rPr>
          <w:rFonts w:asciiTheme="minorHAnsi" w:hAnsiTheme="minorHAnsi" w:cstheme="minorHAnsi"/>
          <w:lang w:val="en-US"/>
        </w:rPr>
        <w:t>The EU asked about the substantial increase in handline fishery catch in 2024 and 2025 and its potential impact on stock assessments.</w:t>
      </w:r>
    </w:p>
    <w:p w14:paraId="1A34A650" w14:textId="77777777" w:rsidR="00525817" w:rsidRPr="00B845AF" w:rsidRDefault="00525817" w:rsidP="001B19CD">
      <w:pPr>
        <w:pStyle w:val="SCtext"/>
        <w:numPr>
          <w:ilvl w:val="0"/>
          <w:numId w:val="0"/>
        </w:numPr>
        <w:rPr>
          <w:rFonts w:asciiTheme="minorHAnsi" w:hAnsiTheme="minorHAnsi" w:cstheme="minorHAnsi"/>
          <w:lang w:val="en-US"/>
        </w:rPr>
      </w:pPr>
    </w:p>
    <w:p w14:paraId="3C542DC9" w14:textId="5D72D42F" w:rsidR="00AB7CD1" w:rsidRPr="00B845AF" w:rsidRDefault="2248D006">
      <w:pPr>
        <w:pStyle w:val="SCtext"/>
        <w:rPr>
          <w:rFonts w:asciiTheme="minorHAnsi" w:hAnsiTheme="minorHAnsi" w:cstheme="minorHAnsi"/>
          <w:lang w:val="en-US"/>
        </w:rPr>
      </w:pPr>
      <w:r w:rsidRPr="00B845AF">
        <w:rPr>
          <w:rFonts w:asciiTheme="minorHAnsi" w:hAnsiTheme="minorHAnsi" w:cstheme="minorHAnsi"/>
          <w:lang w:val="en-US"/>
        </w:rPr>
        <w:t xml:space="preserve">The SSP stated that additional context is provided in the WPEA project data paper </w:t>
      </w:r>
      <w:hyperlink r:id="rId22" w:history="1">
        <w:r w:rsidRPr="00B845AF">
          <w:rPr>
            <w:rStyle w:val="Hyperlink"/>
            <w:rFonts w:asciiTheme="minorHAnsi" w:hAnsiTheme="minorHAnsi" w:cstheme="minorHAnsi"/>
            <w:lang w:val="en-US"/>
          </w:rPr>
          <w:t>WCPFC-SC22-2026-ST-IP05</w:t>
        </w:r>
      </w:hyperlink>
      <w:r w:rsidRPr="00B845AF">
        <w:rPr>
          <w:rFonts w:asciiTheme="minorHAnsi" w:hAnsiTheme="minorHAnsi" w:cstheme="minorHAnsi"/>
          <w:lang w:val="en-US"/>
        </w:rPr>
        <w:t>. Historically, Indonesia could not separate its large-fish handline fishery from its small-fish hook-and-line fishery, so catches were combined and split by the SSP based on assumptions. Following a 2023 handline workshop, Indonesia has since split large and small handline catches using additional data sources, though uncertainty remains. An ongoing port characterization study under the WPEA project may lead to a historical adjustment of these catches.</w:t>
      </w:r>
    </w:p>
    <w:p w14:paraId="57FFF25C" w14:textId="77777777" w:rsidR="005559B4" w:rsidRPr="00B845AF" w:rsidRDefault="005559B4" w:rsidP="006E25BB">
      <w:pPr>
        <w:pStyle w:val="SCtext"/>
        <w:numPr>
          <w:ilvl w:val="0"/>
          <w:numId w:val="0"/>
        </w:numPr>
        <w:rPr>
          <w:rFonts w:asciiTheme="minorHAnsi" w:hAnsiTheme="minorHAnsi" w:cstheme="minorHAnsi"/>
          <w:lang w:val="en-US"/>
        </w:rPr>
      </w:pPr>
    </w:p>
    <w:p w14:paraId="49504B47" w14:textId="5DB806AB" w:rsidR="00F532DA" w:rsidRPr="00B845AF" w:rsidRDefault="00FE19CE">
      <w:pPr>
        <w:pStyle w:val="SC2"/>
        <w:spacing w:after="0"/>
        <w:rPr>
          <w:rFonts w:asciiTheme="minorHAnsi" w:hAnsiTheme="minorHAnsi" w:cstheme="minorHAnsi"/>
        </w:rPr>
      </w:pPr>
      <w:bookmarkStart w:id="12" w:name="_Hlk206696192"/>
      <w:r w:rsidRPr="00B845AF">
        <w:rPr>
          <w:rFonts w:asciiTheme="minorHAnsi" w:hAnsiTheme="minorHAnsi" w:cstheme="minorHAnsi"/>
        </w:rPr>
        <w:lastRenderedPageBreak/>
        <w:t>Overview of Eastern Pacific Ocean (EPO) fisheries</w:t>
      </w:r>
      <w:bookmarkEnd w:id="12"/>
      <w:r w:rsidRPr="00B845AF">
        <w:rPr>
          <w:rFonts w:asciiTheme="minorHAnsi" w:hAnsiTheme="minorHAnsi" w:cstheme="minorHAnsi"/>
        </w:rPr>
        <w:t xml:space="preserve"> </w:t>
      </w:r>
    </w:p>
    <w:p w14:paraId="0AC6C23C" w14:textId="77777777" w:rsidR="001D7FBB" w:rsidRPr="00B845AF" w:rsidRDefault="001D7FBB" w:rsidP="001D7FBB">
      <w:pPr>
        <w:pStyle w:val="SC2"/>
        <w:numPr>
          <w:ilvl w:val="0"/>
          <w:numId w:val="0"/>
        </w:numPr>
        <w:spacing w:after="0"/>
        <w:ind w:left="720"/>
        <w:rPr>
          <w:rFonts w:asciiTheme="minorHAnsi" w:hAnsiTheme="minorHAnsi" w:cstheme="minorHAnsi"/>
        </w:rPr>
      </w:pPr>
    </w:p>
    <w:p w14:paraId="3903DD96" w14:textId="77777777" w:rsidR="00B1409E" w:rsidRPr="00B845AF" w:rsidRDefault="0054492E">
      <w:pPr>
        <w:pStyle w:val="SCtext"/>
        <w:rPr>
          <w:rFonts w:asciiTheme="minorHAnsi" w:hAnsiTheme="minorHAnsi" w:cstheme="minorHAnsi"/>
          <w:lang w:val="en-US"/>
        </w:rPr>
      </w:pPr>
      <w:r w:rsidRPr="00B845AF">
        <w:rPr>
          <w:rFonts w:asciiTheme="minorHAnsi" w:hAnsiTheme="minorHAnsi" w:cstheme="minorHAnsi"/>
          <w:lang w:val="en-US"/>
        </w:rPr>
        <w:t>A. Aires-da-Silva</w:t>
      </w:r>
      <w:r w:rsidR="00E5079E" w:rsidRPr="00B845AF">
        <w:rPr>
          <w:rFonts w:asciiTheme="minorHAnsi" w:hAnsiTheme="minorHAnsi" w:cstheme="minorHAnsi"/>
          <w:lang w:val="en-US"/>
        </w:rPr>
        <w:t xml:space="preserve"> (IATTC) presented </w:t>
      </w:r>
      <w:hyperlink r:id="rId23" w:history="1">
        <w:r w:rsidR="00E5079E" w:rsidRPr="00B845AF">
          <w:rPr>
            <w:rStyle w:val="Hyperlink"/>
            <w:rFonts w:asciiTheme="minorHAnsi" w:hAnsiTheme="minorHAnsi" w:cstheme="minorHAnsi"/>
            <w:lang w:val="en-US"/>
          </w:rPr>
          <w:t>WCPFC-SC22-2026-GN-WP02</w:t>
        </w:r>
      </w:hyperlink>
      <w:r w:rsidR="00E5079E" w:rsidRPr="00B845AF">
        <w:rPr>
          <w:rFonts w:asciiTheme="minorHAnsi" w:hAnsiTheme="minorHAnsi" w:cstheme="minorHAnsi"/>
          <w:lang w:val="en-US"/>
        </w:rPr>
        <w:t xml:space="preserve">, </w:t>
      </w:r>
      <w:r w:rsidR="00E5079E" w:rsidRPr="00B845AF">
        <w:rPr>
          <w:rFonts w:asciiTheme="minorHAnsi" w:hAnsiTheme="minorHAnsi" w:cstheme="minorHAnsi"/>
          <w:i/>
          <w:iCs/>
          <w:lang w:val="en-US"/>
        </w:rPr>
        <w:t>The Tuna Fishery in the Eastern Pacific Ocean in 2025</w:t>
      </w:r>
      <w:r w:rsidR="00E5079E" w:rsidRPr="00B845AF">
        <w:rPr>
          <w:rFonts w:asciiTheme="minorHAnsi" w:hAnsiTheme="minorHAnsi" w:cstheme="minorHAnsi"/>
          <w:lang w:val="en-US"/>
        </w:rPr>
        <w:t>, summarizing catches and effort for species covered by the IATTC’s Antigua Convention in the eastern Pacific Ocean (EPO) in 2025. The paper is based on data available to IATTC staff in March 2026; data for 2024 and 2025 are therefore incomplete, and all data for 2021-2025 are preliminary. A complementary IATTC document, EB-04-01 (Ecosystem Considerations), covers non-target species.</w:t>
      </w:r>
      <w:r w:rsidR="00F4215A" w:rsidRPr="00B845AF">
        <w:rPr>
          <w:rFonts w:asciiTheme="minorHAnsi" w:hAnsiTheme="minorHAnsi" w:cstheme="minorHAnsi"/>
          <w:lang w:val="en-US"/>
        </w:rPr>
        <w:t xml:space="preserve"> </w:t>
      </w:r>
    </w:p>
    <w:p w14:paraId="33D2977F" w14:textId="77777777" w:rsidR="00B1409E" w:rsidRPr="00B845AF" w:rsidRDefault="00B1409E" w:rsidP="00B1409E">
      <w:pPr>
        <w:pStyle w:val="SCtext"/>
        <w:numPr>
          <w:ilvl w:val="0"/>
          <w:numId w:val="0"/>
        </w:numPr>
        <w:rPr>
          <w:rFonts w:asciiTheme="minorHAnsi" w:hAnsiTheme="minorHAnsi" w:cstheme="minorHAnsi"/>
          <w:lang w:val="en-US"/>
        </w:rPr>
      </w:pPr>
    </w:p>
    <w:p w14:paraId="4CD3E14A" w14:textId="64588AD2" w:rsidR="001055A3" w:rsidRPr="00B845AF" w:rsidRDefault="00E5079E" w:rsidP="00B1409E">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Almost all EPO catches are taken by the purse-seine and longline fleets, with pole-and-line and various artisanal and recreational fisheries accounting for a small share. Detailed catch data are available for the purse-seine fishery, which takes over 90% of total reported catches; data for other fisheries remain incomplete. Since 1993, all Class-6 purse-seine vessels have carried observers collecting detailed catch data, including discards.</w:t>
      </w:r>
      <w:r w:rsidR="00F4215A" w:rsidRPr="00B845AF">
        <w:rPr>
          <w:rFonts w:asciiTheme="minorHAnsi" w:hAnsiTheme="minorHAnsi" w:cstheme="minorHAnsi"/>
          <w:lang w:val="en-US"/>
        </w:rPr>
        <w:t xml:space="preserve"> </w:t>
      </w:r>
      <w:r w:rsidRPr="00B845AF">
        <w:rPr>
          <w:rFonts w:asciiTheme="minorHAnsi" w:hAnsiTheme="minorHAnsi" w:cstheme="minorHAnsi"/>
          <w:lang w:val="en-US"/>
        </w:rPr>
        <w:t>The 2025 EPO catch of yellowfin tuna (446</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was 69% higher than the 2015-2024 average (264</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with the majority taken in dolphin-associated sets in two principal areas: north of 5°N to 20°N from 100°W to 135°W, and inshore north of 5°S from 100°W to the coast. Skipjack catches reached 472</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in 2024 (31% above the 2014-2023 average of 361</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predominantly on floating-object sets along the equatorial band between 5°N and 10°S and 80°W to 130°W. Bigeye tuna catches in the EPO averaged 100</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over 1996-2025, with a preliminary 2025 estimate of 45</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from purse-seine vessels; the </w:t>
      </w:r>
      <w:r w:rsidR="00DC24DA" w:rsidRPr="00B845AF">
        <w:rPr>
          <w:rFonts w:asciiTheme="minorHAnsi" w:hAnsiTheme="minorHAnsi" w:cstheme="minorHAnsi"/>
          <w:lang w:val="en-US"/>
        </w:rPr>
        <w:t>IATTC</w:t>
      </w:r>
      <w:r w:rsidRPr="00B845AF">
        <w:rPr>
          <w:rFonts w:asciiTheme="minorHAnsi" w:hAnsiTheme="minorHAnsi" w:cstheme="minorHAnsi"/>
          <w:lang w:val="en-US"/>
        </w:rPr>
        <w:t xml:space="preserve"> notes that almost all 2025 bigeye catches were taken in floating-object sets between 10°N and 10°S, west of 110°W, but in lesser amounts than the previous 10 years.</w:t>
      </w:r>
      <w:r w:rsidR="00F4215A" w:rsidRPr="00B845AF">
        <w:rPr>
          <w:rFonts w:asciiTheme="minorHAnsi" w:hAnsiTheme="minorHAnsi" w:cstheme="minorHAnsi"/>
          <w:lang w:val="en-US"/>
        </w:rPr>
        <w:t xml:space="preserve"> </w:t>
      </w:r>
      <w:r w:rsidRPr="00B845AF">
        <w:rPr>
          <w:rFonts w:asciiTheme="minorHAnsi" w:hAnsiTheme="minorHAnsi" w:cstheme="minorHAnsi"/>
          <w:lang w:val="en-US"/>
        </w:rPr>
        <w:t>Pacific bluefin tuna catches in the EPO averaged 4</w:t>
      </w:r>
      <w:r w:rsidR="00DC24DA" w:rsidRPr="00B845AF">
        <w:rPr>
          <w:rFonts w:asciiTheme="minorHAnsi" w:hAnsiTheme="minorHAnsi" w:cstheme="minorHAnsi"/>
          <w:lang w:val="en-US"/>
        </w:rPr>
        <w:t>,300</w:t>
      </w:r>
      <w:r w:rsidRPr="00B845AF">
        <w:rPr>
          <w:rFonts w:asciiTheme="minorHAnsi" w:hAnsiTheme="minorHAnsi" w:cstheme="minorHAnsi"/>
          <w:lang w:val="en-US"/>
        </w:rPr>
        <w:t xml:space="preserve"> mt annually over 2015-2024, with purse-seine vessels accounting for 75% of the catch on average; the preliminary 2025 estimate is 6</w:t>
      </w:r>
      <w:r w:rsidR="00DC24DA" w:rsidRPr="00B845AF">
        <w:rPr>
          <w:rFonts w:asciiTheme="minorHAnsi" w:hAnsiTheme="minorHAnsi" w:cstheme="minorHAnsi"/>
          <w:lang w:val="en-US"/>
        </w:rPr>
        <w:t>,200</w:t>
      </w:r>
      <w:r w:rsidRPr="00B845AF">
        <w:rPr>
          <w:rFonts w:asciiTheme="minorHAnsi" w:hAnsiTheme="minorHAnsi" w:cstheme="minorHAnsi"/>
          <w:lang w:val="en-US"/>
        </w:rPr>
        <w:t xml:space="preserve"> mt.</w:t>
      </w:r>
      <w:r w:rsidR="00F4215A" w:rsidRPr="00B845AF">
        <w:rPr>
          <w:rFonts w:asciiTheme="minorHAnsi" w:hAnsiTheme="minorHAnsi" w:cstheme="minorHAnsi"/>
          <w:lang w:val="en-US"/>
        </w:rPr>
        <w:t xml:space="preserve"> </w:t>
      </w:r>
      <w:r w:rsidRPr="00B845AF">
        <w:rPr>
          <w:rFonts w:asciiTheme="minorHAnsi" w:hAnsiTheme="minorHAnsi" w:cstheme="minorHAnsi"/>
          <w:lang w:val="en-US"/>
        </w:rPr>
        <w:t>Of the 972</w:t>
      </w:r>
      <w:r w:rsidR="00DC24DA" w:rsidRPr="00B845AF">
        <w:rPr>
          <w:rFonts w:asciiTheme="minorHAnsi" w:hAnsiTheme="minorHAnsi" w:cstheme="minorHAnsi"/>
          <w:lang w:val="en-US"/>
        </w:rPr>
        <w:t>,000</w:t>
      </w:r>
      <w:r w:rsidRPr="00B845AF">
        <w:rPr>
          <w:rFonts w:asciiTheme="minorHAnsi" w:hAnsiTheme="minorHAnsi" w:cstheme="minorHAnsi"/>
          <w:lang w:val="en-US"/>
        </w:rPr>
        <w:t xml:space="preserve"> mt of tunas caught in the EPO in 2025, 40% were caught by Ecuadorian vessels and 22% by Mexican vessels, with Panama (14%), the United States (6%), Venezuela (6%), and Colombia (4%) also making significant catches.</w:t>
      </w:r>
    </w:p>
    <w:p w14:paraId="4FD8EF51" w14:textId="77777777" w:rsidR="001055A3" w:rsidRPr="00B845AF" w:rsidRDefault="001055A3" w:rsidP="001055A3">
      <w:pPr>
        <w:pStyle w:val="SCtext"/>
        <w:numPr>
          <w:ilvl w:val="0"/>
          <w:numId w:val="0"/>
        </w:numPr>
        <w:rPr>
          <w:rFonts w:asciiTheme="minorHAnsi" w:hAnsiTheme="minorHAnsi" w:cstheme="minorHAnsi"/>
          <w:lang w:val="en-US"/>
        </w:rPr>
      </w:pPr>
    </w:p>
    <w:p w14:paraId="638539E0" w14:textId="1C512DD3" w:rsidR="0003435A" w:rsidRPr="00B845AF" w:rsidRDefault="00120848" w:rsidP="00692043">
      <w:pPr>
        <w:pStyle w:val="SCDR"/>
        <w:rPr>
          <w:rFonts w:asciiTheme="minorHAnsi" w:hAnsiTheme="minorHAnsi" w:cstheme="minorHAnsi"/>
        </w:rPr>
      </w:pPr>
      <w:r w:rsidRPr="00B845AF">
        <w:rPr>
          <w:rFonts w:asciiTheme="minorHAnsi" w:hAnsiTheme="minorHAnsi" w:cstheme="minorHAnsi"/>
        </w:rPr>
        <w:t>Discussion</w:t>
      </w:r>
    </w:p>
    <w:p w14:paraId="5BA501BB" w14:textId="598A94B0" w:rsidR="00924770"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Japan congratulated IATTC on the successful management of bigeye tuna in the EPO, noting that other RFMOs are struggling with this stock and that lessons could be drawn from IATTC</w:t>
      </w:r>
      <w:r w:rsidR="003B33F5" w:rsidRPr="00B845AF">
        <w:rPr>
          <w:rFonts w:asciiTheme="minorHAnsi" w:hAnsiTheme="minorHAnsi" w:cstheme="minorHAnsi"/>
          <w:lang w:val="en-US"/>
        </w:rPr>
        <w:t>’</w:t>
      </w:r>
      <w:r w:rsidRPr="00B845AF">
        <w:rPr>
          <w:rFonts w:asciiTheme="minorHAnsi" w:hAnsiTheme="minorHAnsi" w:cstheme="minorHAnsi"/>
          <w:lang w:val="en-US"/>
        </w:rPr>
        <w:t>s experience with the individual vessel threshold (IVT) approach</w:t>
      </w:r>
      <w:r w:rsidR="00924770" w:rsidRPr="00B845AF">
        <w:rPr>
          <w:rFonts w:asciiTheme="minorHAnsi" w:hAnsiTheme="minorHAnsi" w:cstheme="minorHAnsi"/>
          <w:lang w:val="en-US"/>
        </w:rPr>
        <w:t xml:space="preserve">. </w:t>
      </w:r>
    </w:p>
    <w:p w14:paraId="614E29E9" w14:textId="77777777" w:rsidR="007226AC" w:rsidRPr="00B845AF" w:rsidRDefault="007226AC" w:rsidP="003F77FA">
      <w:pPr>
        <w:pStyle w:val="SCtext"/>
        <w:numPr>
          <w:ilvl w:val="0"/>
          <w:numId w:val="0"/>
        </w:numPr>
        <w:rPr>
          <w:rFonts w:asciiTheme="minorHAnsi" w:hAnsiTheme="minorHAnsi" w:cstheme="minorHAnsi"/>
          <w:lang w:val="en-US"/>
        </w:rPr>
      </w:pPr>
    </w:p>
    <w:p w14:paraId="3B63A4EA" w14:textId="4356F7DC" w:rsidR="0055454F"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Chinese Taipei asked whether IATTC had a comparative analysis of bigeye size data before and after implementation of the IVT measure</w:t>
      </w:r>
      <w:r w:rsidR="007226AC" w:rsidRPr="00B845AF">
        <w:rPr>
          <w:rFonts w:asciiTheme="minorHAnsi" w:hAnsiTheme="minorHAnsi" w:cstheme="minorHAnsi"/>
          <w:lang w:val="en-US"/>
        </w:rPr>
        <w:t>.</w:t>
      </w:r>
      <w:r w:rsidRPr="00B845AF">
        <w:rPr>
          <w:rFonts w:asciiTheme="minorHAnsi" w:hAnsiTheme="minorHAnsi" w:cstheme="minorHAnsi"/>
          <w:lang w:val="en-US"/>
        </w:rPr>
        <w:t xml:space="preserve"> IATTC responded that this information is provided in detail in a paper presented at IATTC</w:t>
      </w:r>
      <w:r w:rsidR="003B33F5" w:rsidRPr="00B845AF">
        <w:rPr>
          <w:rFonts w:asciiTheme="minorHAnsi" w:hAnsiTheme="minorHAnsi" w:cstheme="minorHAnsi"/>
          <w:lang w:val="en-US"/>
        </w:rPr>
        <w:t>’</w:t>
      </w:r>
      <w:r w:rsidRPr="00B845AF">
        <w:rPr>
          <w:rFonts w:asciiTheme="minorHAnsi" w:hAnsiTheme="minorHAnsi" w:cstheme="minorHAnsi"/>
          <w:lang w:val="en-US"/>
        </w:rPr>
        <w:t>s scientific advisory meeting, though slides were not available for this presentation.</w:t>
      </w:r>
    </w:p>
    <w:p w14:paraId="570B33D9" w14:textId="77777777" w:rsidR="0055454F" w:rsidRPr="00B845AF" w:rsidRDefault="0055454F" w:rsidP="003F77FA">
      <w:pPr>
        <w:pStyle w:val="SCtext"/>
        <w:numPr>
          <w:ilvl w:val="0"/>
          <w:numId w:val="0"/>
        </w:numPr>
        <w:rPr>
          <w:rFonts w:asciiTheme="minorHAnsi" w:hAnsiTheme="minorHAnsi" w:cstheme="minorHAnsi"/>
          <w:lang w:val="en-US"/>
        </w:rPr>
      </w:pPr>
    </w:p>
    <w:p w14:paraId="54E4C2DB" w14:textId="405E8AF9" w:rsidR="000041D7"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 xml:space="preserve">Australia, on behalf of the FFA members, thanked IATTC for the report, noting its usefulness for tuna species under shared management between the two commissions. FFA members recommended that data sharing arrangements between IATTC and WCPFC be maintained and </w:t>
      </w:r>
      <w:r w:rsidR="00F14811" w:rsidRPr="00B845AF">
        <w:rPr>
          <w:rFonts w:asciiTheme="minorHAnsi" w:hAnsiTheme="minorHAnsi" w:cstheme="minorHAnsi"/>
          <w:lang w:val="en-US"/>
        </w:rPr>
        <w:t>strengthened and</w:t>
      </w:r>
      <w:r w:rsidRPr="00B845AF">
        <w:rPr>
          <w:rFonts w:asciiTheme="minorHAnsi" w:hAnsiTheme="minorHAnsi" w:cstheme="minorHAnsi"/>
          <w:lang w:val="en-US"/>
        </w:rPr>
        <w:t xml:space="preserve"> supported </w:t>
      </w:r>
      <w:r w:rsidR="003B33F5" w:rsidRPr="00B845AF">
        <w:rPr>
          <w:rFonts w:asciiTheme="minorHAnsi" w:hAnsiTheme="minorHAnsi" w:cstheme="minorHAnsi"/>
          <w:lang w:val="en-US"/>
        </w:rPr>
        <w:t>work in</w:t>
      </w:r>
      <w:r w:rsidRPr="00B845AF">
        <w:rPr>
          <w:rFonts w:asciiTheme="minorHAnsi" w:hAnsiTheme="minorHAnsi" w:cstheme="minorHAnsi"/>
          <w:lang w:val="en-US"/>
        </w:rPr>
        <w:t xml:space="preserve"> developing complementary and compatible management measures across both commissions</w:t>
      </w:r>
      <w:r w:rsidR="00B706E7" w:rsidRPr="00B845AF">
        <w:rPr>
          <w:rFonts w:asciiTheme="minorHAnsi" w:hAnsiTheme="minorHAnsi" w:cstheme="minorHAnsi"/>
          <w:lang w:val="en-US"/>
        </w:rPr>
        <w:t>.</w:t>
      </w:r>
    </w:p>
    <w:p w14:paraId="0B89A49E" w14:textId="77777777" w:rsidR="000041D7" w:rsidRPr="00B845AF" w:rsidRDefault="000041D7" w:rsidP="000041D7">
      <w:pPr>
        <w:pStyle w:val="SCtext"/>
        <w:numPr>
          <w:ilvl w:val="0"/>
          <w:numId w:val="0"/>
        </w:numPr>
        <w:rPr>
          <w:rFonts w:asciiTheme="minorHAnsi" w:hAnsiTheme="minorHAnsi" w:cstheme="minorHAnsi"/>
          <w:lang w:val="en-US"/>
        </w:rPr>
      </w:pPr>
    </w:p>
    <w:p w14:paraId="5FB411F0" w14:textId="0E0C261E" w:rsidR="007B5444" w:rsidRPr="00B845AF" w:rsidRDefault="00B706E7">
      <w:pPr>
        <w:pStyle w:val="SCtext"/>
        <w:rPr>
          <w:rFonts w:asciiTheme="minorHAnsi" w:hAnsiTheme="minorHAnsi" w:cstheme="minorHAnsi"/>
          <w:lang w:val="en-US"/>
        </w:rPr>
      </w:pPr>
      <w:r w:rsidRPr="00B845AF">
        <w:rPr>
          <w:rFonts w:asciiTheme="minorHAnsi" w:hAnsiTheme="minorHAnsi" w:cstheme="minorHAnsi"/>
          <w:lang w:val="en-US"/>
        </w:rPr>
        <w:t xml:space="preserve"> </w:t>
      </w:r>
      <w:r w:rsidR="000041D7" w:rsidRPr="00B845AF">
        <w:rPr>
          <w:rFonts w:asciiTheme="minorHAnsi" w:hAnsiTheme="minorHAnsi" w:cstheme="minorHAnsi"/>
          <w:lang w:val="en-US"/>
        </w:rPr>
        <w:t xml:space="preserve">Samoa, on behalf of the SPG, noted that the IATTC summary of South Pacific albacore catch in the EPO, which includes the WCPFC-IATTC overlap area, showed a 20% increase in 2024 catch relative to 2023, and asked whether this increasing trend had continued into 2025 and 2026, and whether 2025 </w:t>
      </w:r>
      <w:r w:rsidR="000041D7" w:rsidRPr="00B845AF">
        <w:rPr>
          <w:rFonts w:asciiTheme="minorHAnsi" w:hAnsiTheme="minorHAnsi" w:cstheme="minorHAnsi"/>
          <w:lang w:val="en-US"/>
        </w:rPr>
        <w:lastRenderedPageBreak/>
        <w:t>albacore longline data would be submitted in time for the next South Pacific albacore workshop or before WCPFC23.</w:t>
      </w:r>
    </w:p>
    <w:p w14:paraId="031EFB22" w14:textId="77777777" w:rsidR="000041D7" w:rsidRPr="00B845AF" w:rsidRDefault="000041D7" w:rsidP="000041D7">
      <w:pPr>
        <w:pStyle w:val="SCtext"/>
        <w:numPr>
          <w:ilvl w:val="0"/>
          <w:numId w:val="0"/>
        </w:numPr>
        <w:rPr>
          <w:rFonts w:asciiTheme="minorHAnsi" w:hAnsiTheme="minorHAnsi" w:cstheme="minorHAnsi"/>
          <w:lang w:val="en-US"/>
        </w:rPr>
      </w:pPr>
    </w:p>
    <w:p w14:paraId="0A162167" w14:textId="3867AE44" w:rsidR="000041D7"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 xml:space="preserve">IATTC responded that currently available data is published in its fishery status report, and that a dedicated document (SAC-INF-W) had been produced in response to growing interest in South Pacific albacore, providing detailed catch and effort statistics for the EPO and overlap area. IATTC encouraged delegates to consult that document and noted continued engagement with SPC on data availability. The </w:t>
      </w:r>
      <w:r w:rsidR="003B33F5" w:rsidRPr="00B845AF">
        <w:rPr>
          <w:rFonts w:asciiTheme="minorHAnsi" w:hAnsiTheme="minorHAnsi" w:cstheme="minorHAnsi"/>
          <w:lang w:val="en-US"/>
        </w:rPr>
        <w:t xml:space="preserve">SC </w:t>
      </w:r>
      <w:r w:rsidRPr="00B845AF">
        <w:rPr>
          <w:rFonts w:asciiTheme="minorHAnsi" w:hAnsiTheme="minorHAnsi" w:cstheme="minorHAnsi"/>
          <w:lang w:val="en-US"/>
        </w:rPr>
        <w:t>Chair noted that the referenced workshop is the albacore allocation workshop, tentatively scheduled for October or November, and that the relevant papers could be made available for reference.</w:t>
      </w:r>
    </w:p>
    <w:p w14:paraId="738854B8" w14:textId="77777777" w:rsidR="000041D7" w:rsidRPr="00B845AF" w:rsidRDefault="000041D7" w:rsidP="000041D7">
      <w:pPr>
        <w:pStyle w:val="SCtext"/>
        <w:numPr>
          <w:ilvl w:val="0"/>
          <w:numId w:val="0"/>
        </w:numPr>
        <w:rPr>
          <w:rFonts w:asciiTheme="minorHAnsi" w:hAnsiTheme="minorHAnsi" w:cstheme="minorHAnsi"/>
          <w:lang w:val="en-US"/>
        </w:rPr>
      </w:pPr>
    </w:p>
    <w:p w14:paraId="04315291" w14:textId="3C54DDD7" w:rsidR="000041D7"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Indonesia noted the increase in EPO yellowfin catch associated with dolphin sets and asked whether IATTC had examined connectivity between EPO and WCPO yellowfin, including in relation to prior tagging work, and what evidence distinguishes a real increase in abundance or availability from an increase driven by effort, catchability, targeting behavior, or catch allocation changes.</w:t>
      </w:r>
    </w:p>
    <w:p w14:paraId="1ECF570D" w14:textId="77777777" w:rsidR="000041D7" w:rsidRPr="00B845AF" w:rsidRDefault="000041D7" w:rsidP="000041D7">
      <w:pPr>
        <w:pStyle w:val="SCtext"/>
        <w:numPr>
          <w:ilvl w:val="0"/>
          <w:numId w:val="0"/>
        </w:numPr>
        <w:rPr>
          <w:rFonts w:asciiTheme="minorHAnsi" w:hAnsiTheme="minorHAnsi" w:cstheme="minorHAnsi"/>
          <w:lang w:val="en-US"/>
        </w:rPr>
      </w:pPr>
    </w:p>
    <w:p w14:paraId="5DB67935" w14:textId="3C727922" w:rsidR="000041D7" w:rsidRPr="00B845AF" w:rsidRDefault="000041D7">
      <w:pPr>
        <w:pStyle w:val="SCtext"/>
        <w:rPr>
          <w:rFonts w:asciiTheme="minorHAnsi" w:hAnsiTheme="minorHAnsi" w:cstheme="minorHAnsi"/>
          <w:lang w:val="en-US"/>
        </w:rPr>
      </w:pPr>
      <w:r w:rsidRPr="00B845AF">
        <w:rPr>
          <w:rFonts w:asciiTheme="minorHAnsi" w:hAnsiTheme="minorHAnsi" w:cstheme="minorHAnsi"/>
          <w:lang w:val="en-US"/>
        </w:rPr>
        <w:t>IATTC responded that treating the EPO as a single stock remains a reasonable approach for assessment and management purposes, noting that catch distribution is continuous across the Pacific even though tagging data show restricted movement on both sides of the ocean. IATTC stated that the strong 2025 yellowfin catches are not attributable to increased effort, noting that the number of dolphin sets has remained stable at approximately 10,000 per year, and that the high catches instead reflect a strong cohort associated with the El Nino events of late 2023 and 2024 that continues to move through the fishery.</w:t>
      </w:r>
    </w:p>
    <w:p w14:paraId="41675AF6" w14:textId="77777777" w:rsidR="0055454F" w:rsidRPr="00B845AF" w:rsidRDefault="0055454F" w:rsidP="0055454F">
      <w:pPr>
        <w:pStyle w:val="SCtext"/>
        <w:numPr>
          <w:ilvl w:val="0"/>
          <w:numId w:val="0"/>
        </w:numPr>
        <w:rPr>
          <w:rFonts w:asciiTheme="minorHAnsi" w:hAnsiTheme="minorHAnsi" w:cstheme="minorHAnsi"/>
          <w:lang w:val="en-US"/>
        </w:rPr>
      </w:pPr>
    </w:p>
    <w:p w14:paraId="526281C1" w14:textId="77777777" w:rsidR="000001AB" w:rsidRPr="00B845AF" w:rsidRDefault="000001AB">
      <w:pPr>
        <w:pStyle w:val="SC2"/>
        <w:spacing w:after="0"/>
        <w:rPr>
          <w:rFonts w:asciiTheme="minorHAnsi" w:hAnsiTheme="minorHAnsi" w:cstheme="minorHAnsi"/>
        </w:rPr>
      </w:pPr>
      <w:bookmarkStart w:id="13" w:name="_Hlk206696258"/>
      <w:r w:rsidRPr="00B845AF">
        <w:rPr>
          <w:rFonts w:asciiTheme="minorHAnsi" w:hAnsiTheme="minorHAnsi" w:cstheme="minorHAnsi"/>
        </w:rPr>
        <w:t xml:space="preserve">Annual Report – Part 1 from Members, Cooperating Non-Members, and Participating Territories </w:t>
      </w:r>
    </w:p>
    <w:bookmarkEnd w:id="13"/>
    <w:p w14:paraId="6D1FCD2F" w14:textId="77777777" w:rsidR="000001AB" w:rsidRPr="00B845AF" w:rsidRDefault="000001AB" w:rsidP="0055454F">
      <w:pPr>
        <w:widowControl w:val="0"/>
        <w:kinsoku w:val="0"/>
        <w:overflowPunct w:val="0"/>
        <w:autoSpaceDE w:val="0"/>
        <w:autoSpaceDN w:val="0"/>
        <w:adjustRightInd w:val="0"/>
        <w:snapToGrid w:val="0"/>
        <w:jc w:val="both"/>
        <w:rPr>
          <w:rFonts w:asciiTheme="minorHAnsi" w:hAnsiTheme="minorHAnsi" w:cstheme="minorHAnsi"/>
          <w:b/>
          <w:szCs w:val="22"/>
        </w:rPr>
      </w:pPr>
    </w:p>
    <w:p w14:paraId="0140542E" w14:textId="27F1A293" w:rsidR="00B1409E" w:rsidRPr="00B845AF" w:rsidRDefault="00B1409E">
      <w:pPr>
        <w:pStyle w:val="SCtext"/>
        <w:rPr>
          <w:rFonts w:asciiTheme="minorHAnsi" w:hAnsiTheme="minorHAnsi" w:cstheme="minorHAnsi"/>
          <w:lang w:val="en-US"/>
        </w:rPr>
      </w:pPr>
      <w:r w:rsidRPr="00B845AF">
        <w:rPr>
          <w:rFonts w:asciiTheme="minorHAnsi" w:hAnsiTheme="minorHAnsi" w:cstheme="minorHAnsi"/>
          <w:lang w:val="en-US"/>
        </w:rPr>
        <w:t>No discussi</w:t>
      </w:r>
      <w:r w:rsidR="00864017" w:rsidRPr="00B845AF">
        <w:rPr>
          <w:rFonts w:asciiTheme="minorHAnsi" w:hAnsiTheme="minorHAnsi" w:cstheme="minorHAnsi"/>
          <w:lang w:val="en-US"/>
        </w:rPr>
        <w:t>on took place on this item</w:t>
      </w:r>
      <w:r w:rsidRPr="00B845AF">
        <w:rPr>
          <w:rFonts w:asciiTheme="minorHAnsi" w:hAnsiTheme="minorHAnsi" w:cstheme="minorHAnsi"/>
          <w:lang w:val="en-US"/>
        </w:rPr>
        <w:t>.</w:t>
      </w:r>
    </w:p>
    <w:p w14:paraId="2DADA769" w14:textId="77777777" w:rsidR="00B1409E" w:rsidRPr="00B845AF" w:rsidRDefault="00B1409E" w:rsidP="00B1409E">
      <w:pPr>
        <w:pStyle w:val="SCtext"/>
        <w:numPr>
          <w:ilvl w:val="0"/>
          <w:numId w:val="0"/>
        </w:numPr>
        <w:rPr>
          <w:rFonts w:asciiTheme="minorHAnsi" w:hAnsiTheme="minorHAnsi" w:cstheme="minorHAnsi"/>
          <w:lang w:val="en-US"/>
        </w:rPr>
      </w:pPr>
    </w:p>
    <w:p w14:paraId="025037CA" w14:textId="0CCBE455" w:rsidR="000001AB" w:rsidRPr="00B845AF" w:rsidRDefault="000001AB">
      <w:pPr>
        <w:pStyle w:val="SC2"/>
        <w:spacing w:after="0"/>
        <w:rPr>
          <w:rFonts w:asciiTheme="minorHAnsi" w:hAnsiTheme="minorHAnsi" w:cstheme="minorHAnsi"/>
        </w:rPr>
      </w:pPr>
      <w:bookmarkStart w:id="14" w:name="_Hlk206696269"/>
      <w:r w:rsidRPr="00B845AF">
        <w:rPr>
          <w:rFonts w:asciiTheme="minorHAnsi" w:hAnsiTheme="minorHAnsi" w:cstheme="minorHAnsi"/>
        </w:rPr>
        <w:t>Reports from regional fisheries bodies and other organizations</w:t>
      </w:r>
      <w:bookmarkEnd w:id="14"/>
    </w:p>
    <w:p w14:paraId="779AE79E" w14:textId="77777777" w:rsidR="000F53D5" w:rsidRPr="00B845AF" w:rsidRDefault="000F53D5" w:rsidP="000F53D5">
      <w:pPr>
        <w:autoSpaceDE w:val="0"/>
        <w:autoSpaceDN w:val="0"/>
        <w:adjustRightInd w:val="0"/>
        <w:snapToGrid w:val="0"/>
        <w:jc w:val="both"/>
        <w:rPr>
          <w:rFonts w:asciiTheme="minorHAnsi" w:eastAsiaTheme="minorEastAsia" w:hAnsiTheme="minorHAnsi" w:cstheme="minorHAnsi"/>
          <w:szCs w:val="22"/>
          <w:lang w:eastAsia="ko-KR"/>
        </w:rPr>
      </w:pPr>
    </w:p>
    <w:p w14:paraId="787AA32B" w14:textId="159A624F" w:rsidR="003F77FA" w:rsidRPr="00B845AF" w:rsidRDefault="00864017">
      <w:pPr>
        <w:pStyle w:val="SCtext"/>
        <w:rPr>
          <w:rFonts w:asciiTheme="minorHAnsi" w:hAnsiTheme="minorHAnsi" w:cstheme="minorHAnsi"/>
          <w:lang w:val="en-US"/>
        </w:rPr>
      </w:pPr>
      <w:r w:rsidRPr="00B845AF">
        <w:rPr>
          <w:rFonts w:asciiTheme="minorHAnsi" w:hAnsiTheme="minorHAnsi" w:cstheme="minorHAnsi"/>
          <w:lang w:val="en-US"/>
        </w:rPr>
        <w:t>No discussion took place on this item.</w:t>
      </w:r>
    </w:p>
    <w:p w14:paraId="16308783" w14:textId="77777777" w:rsidR="00B1409E" w:rsidRPr="00B845AF" w:rsidRDefault="00B1409E" w:rsidP="00B1409E">
      <w:pPr>
        <w:pStyle w:val="SCtext"/>
        <w:numPr>
          <w:ilvl w:val="0"/>
          <w:numId w:val="0"/>
        </w:numPr>
        <w:rPr>
          <w:rFonts w:asciiTheme="minorHAnsi" w:hAnsiTheme="minorHAnsi" w:cstheme="minorHAnsi"/>
          <w:lang w:val="en-US"/>
        </w:rPr>
      </w:pPr>
    </w:p>
    <w:p w14:paraId="3D8722F3" w14:textId="77777777" w:rsidR="00B1409E" w:rsidRPr="00B845AF" w:rsidRDefault="00B1409E" w:rsidP="00B1409E">
      <w:pPr>
        <w:pStyle w:val="SCtext"/>
        <w:numPr>
          <w:ilvl w:val="0"/>
          <w:numId w:val="0"/>
        </w:numPr>
        <w:rPr>
          <w:rFonts w:asciiTheme="minorHAnsi" w:hAnsiTheme="minorHAnsi" w:cstheme="minorHAnsi"/>
          <w:lang w:val="en-US"/>
        </w:rPr>
      </w:pPr>
    </w:p>
    <w:p w14:paraId="7FF69658" w14:textId="2069122E" w:rsidR="00BB0617" w:rsidRPr="00B845AF" w:rsidRDefault="00BB0617" w:rsidP="00F532DA">
      <w:pPr>
        <w:pStyle w:val="Heading1"/>
        <w:numPr>
          <w:ilvl w:val="0"/>
          <w:numId w:val="0"/>
        </w:numPr>
        <w:adjustRightInd w:val="0"/>
        <w:snapToGrid w:val="0"/>
        <w:spacing w:after="0"/>
        <w:ind w:left="720"/>
        <w:rPr>
          <w:rFonts w:asciiTheme="minorHAnsi" w:hAnsiTheme="minorHAnsi" w:cstheme="minorHAnsi"/>
        </w:rPr>
      </w:pPr>
      <w:bookmarkStart w:id="15" w:name="_Hlk79709343"/>
      <w:r w:rsidRPr="00B845AF">
        <w:rPr>
          <w:rFonts w:asciiTheme="minorHAnsi" w:hAnsiTheme="minorHAnsi" w:cstheme="minorHAnsi"/>
        </w:rPr>
        <w:t xml:space="preserve">AGENDA ITEM </w:t>
      </w:r>
      <w:r w:rsidR="004C6D83" w:rsidRPr="00B845AF">
        <w:rPr>
          <w:rFonts w:asciiTheme="minorHAnsi" w:hAnsiTheme="minorHAnsi" w:cstheme="minorHAnsi"/>
        </w:rPr>
        <w:t>3</w:t>
      </w:r>
      <w:r w:rsidRPr="00B845AF">
        <w:rPr>
          <w:rFonts w:asciiTheme="minorHAnsi" w:hAnsiTheme="minorHAnsi" w:cstheme="minorHAnsi"/>
        </w:rPr>
        <w:t xml:space="preserve"> — </w:t>
      </w:r>
      <w:bookmarkStart w:id="16" w:name="_Hlk206696285"/>
      <w:bookmarkStart w:id="17" w:name="_Hlk206696299"/>
      <w:r w:rsidR="005122FA" w:rsidRPr="00B845AF">
        <w:rPr>
          <w:rFonts w:asciiTheme="minorHAnsi" w:hAnsiTheme="minorHAnsi" w:cstheme="minorHAnsi"/>
        </w:rPr>
        <w:t xml:space="preserve">DATA AND STATISTICS THEME </w:t>
      </w:r>
      <w:bookmarkEnd w:id="16"/>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18" w:name="_Toc522810365"/>
      <w:bookmarkStart w:id="19" w:name="_Toc239261425"/>
      <w:r w:rsidRPr="00B845AF">
        <w:rPr>
          <w:rFonts w:asciiTheme="minorHAnsi" w:hAnsiTheme="minorHAnsi" w:cstheme="minorHAnsi"/>
        </w:rPr>
        <w:instrText xml:space="preserve">AGENDA ITEM </w:instrText>
      </w:r>
      <w:r w:rsidR="00F5218F" w:rsidRPr="00B845AF">
        <w:rPr>
          <w:rFonts w:asciiTheme="minorHAnsi" w:hAnsiTheme="minorHAnsi" w:cstheme="minorHAnsi"/>
        </w:rPr>
        <w:instrText>3</w:instrText>
      </w:r>
      <w:r w:rsidRPr="00B845AF">
        <w:rPr>
          <w:rFonts w:asciiTheme="minorHAnsi" w:hAnsiTheme="minorHAnsi" w:cstheme="minorHAnsi"/>
        </w:rPr>
        <w:instrText xml:space="preserve"> — </w:instrText>
      </w:r>
      <w:r w:rsidR="00334B8C" w:rsidRPr="00B845AF">
        <w:rPr>
          <w:rFonts w:asciiTheme="minorHAnsi" w:hAnsiTheme="minorHAnsi" w:cstheme="minorHAnsi"/>
        </w:rPr>
        <w:instrText xml:space="preserve">DATA AND STATISTICS </w:instrText>
      </w:r>
      <w:r w:rsidRPr="00B845AF">
        <w:rPr>
          <w:rFonts w:asciiTheme="minorHAnsi" w:hAnsiTheme="minorHAnsi" w:cstheme="minorHAnsi"/>
        </w:rPr>
        <w:instrText>THEME</w:instrText>
      </w:r>
      <w:bookmarkEnd w:id="18"/>
      <w:bookmarkEnd w:id="19"/>
      <w:r w:rsidRPr="00B845AF">
        <w:rPr>
          <w:rFonts w:asciiTheme="minorHAnsi" w:hAnsiTheme="minorHAnsi" w:cstheme="minorHAnsi"/>
        </w:rPr>
        <w:instrText>" \f C \l "</w:instrText>
      </w:r>
      <w:r w:rsidR="00F5218F" w:rsidRPr="00B845AF">
        <w:rPr>
          <w:rFonts w:asciiTheme="minorHAnsi" w:hAnsiTheme="minorHAnsi" w:cstheme="minorHAnsi"/>
        </w:rPr>
        <w:instrText>1</w:instrText>
      </w:r>
      <w:r w:rsidRPr="00B845AF">
        <w:rPr>
          <w:rFonts w:asciiTheme="minorHAnsi" w:hAnsiTheme="minorHAnsi" w:cstheme="minorHAnsi"/>
        </w:rPr>
        <w:instrText xml:space="preserve">" </w:instrText>
      </w:r>
      <w:r w:rsidRPr="00B845AF">
        <w:rPr>
          <w:rFonts w:asciiTheme="minorHAnsi" w:hAnsiTheme="minorHAnsi" w:cstheme="minorHAnsi"/>
        </w:rPr>
        <w:fldChar w:fldCharType="end"/>
      </w:r>
    </w:p>
    <w:bookmarkEnd w:id="17"/>
    <w:p w14:paraId="248C0C92" w14:textId="77777777" w:rsidR="007B0DDC" w:rsidRPr="00B845AF" w:rsidRDefault="007B0DDC">
      <w:pPr>
        <w:pStyle w:val="ListParagraph"/>
        <w:keepNext/>
        <w:numPr>
          <w:ilvl w:val="0"/>
          <w:numId w:val="7"/>
        </w:numPr>
        <w:suppressLineNumbers/>
        <w:adjustRightInd w:val="0"/>
        <w:snapToGrid w:val="0"/>
        <w:spacing w:after="220"/>
        <w:jc w:val="both"/>
        <w:rPr>
          <w:rFonts w:asciiTheme="minorHAnsi" w:hAnsiTheme="minorHAnsi" w:cstheme="minorHAnsi"/>
          <w:b/>
          <w:vanish/>
          <w:szCs w:val="22"/>
        </w:rPr>
      </w:pPr>
    </w:p>
    <w:p w14:paraId="2B83C8D7" w14:textId="77777777" w:rsidR="003F77FA" w:rsidRPr="00B845AF" w:rsidRDefault="003F77FA" w:rsidP="00BD738B">
      <w:pPr>
        <w:pStyle w:val="SC2"/>
        <w:numPr>
          <w:ilvl w:val="0"/>
          <w:numId w:val="0"/>
        </w:numPr>
        <w:ind w:left="720"/>
        <w:rPr>
          <w:rFonts w:asciiTheme="minorHAnsi" w:hAnsiTheme="minorHAnsi" w:cstheme="minorHAnsi"/>
        </w:rPr>
      </w:pPr>
      <w:bookmarkStart w:id="20" w:name="_Hlk206696315"/>
    </w:p>
    <w:p w14:paraId="13712CFE" w14:textId="41EFE728" w:rsidR="0035342F" w:rsidRPr="00B845AF" w:rsidRDefault="0035342F">
      <w:pPr>
        <w:pStyle w:val="SC2"/>
        <w:rPr>
          <w:rFonts w:asciiTheme="minorHAnsi" w:hAnsiTheme="minorHAnsi" w:cstheme="minorHAnsi"/>
        </w:rPr>
      </w:pPr>
      <w:r w:rsidRPr="00B845AF">
        <w:rPr>
          <w:rFonts w:asciiTheme="minorHAnsi" w:hAnsiTheme="minorHAnsi" w:cstheme="minorHAnsi"/>
        </w:rPr>
        <w:t>Data gaps of the Commission</w:t>
      </w:r>
      <w:bookmarkEnd w:id="20"/>
    </w:p>
    <w:p w14:paraId="2CAFE5BB" w14:textId="5E345337" w:rsidR="0035342F" w:rsidRPr="00B845AF" w:rsidRDefault="0035342F">
      <w:pPr>
        <w:pStyle w:val="SC3"/>
        <w:rPr>
          <w:rFonts w:asciiTheme="minorHAnsi" w:hAnsiTheme="minorHAnsi" w:cstheme="minorHAnsi"/>
        </w:rPr>
      </w:pPr>
      <w:bookmarkStart w:id="21" w:name="_Hlk206696332"/>
      <w:r w:rsidRPr="00B845AF">
        <w:rPr>
          <w:rFonts w:asciiTheme="minorHAnsi" w:hAnsiTheme="minorHAnsi" w:cstheme="minorHAnsi"/>
        </w:rPr>
        <w:t>Report o</w:t>
      </w:r>
      <w:r w:rsidR="00C64FF2" w:rsidRPr="00B845AF">
        <w:rPr>
          <w:rFonts w:asciiTheme="minorHAnsi" w:hAnsiTheme="minorHAnsi" w:cstheme="minorHAnsi"/>
        </w:rPr>
        <w:t>n</w:t>
      </w:r>
      <w:r w:rsidRPr="00B845AF">
        <w:rPr>
          <w:rFonts w:asciiTheme="minorHAnsi" w:hAnsiTheme="minorHAnsi" w:cstheme="minorHAnsi"/>
        </w:rPr>
        <w:t xml:space="preserve"> the WCPFC scientific data</w:t>
      </w:r>
      <w:bookmarkEnd w:id="21"/>
      <w:r w:rsidRPr="00B845AF">
        <w:rPr>
          <w:rFonts w:asciiTheme="minorHAnsi" w:hAnsiTheme="minorHAnsi" w:cstheme="minorHAnsi"/>
        </w:rPr>
        <w:t xml:space="preserve"> </w:t>
      </w:r>
    </w:p>
    <w:p w14:paraId="7CE6B7F1" w14:textId="256ECA93" w:rsidR="00B1409E" w:rsidRPr="00B845AF" w:rsidRDefault="0027513F">
      <w:pPr>
        <w:pStyle w:val="SCtext"/>
        <w:rPr>
          <w:rFonts w:asciiTheme="minorHAnsi" w:hAnsiTheme="minorHAnsi" w:cstheme="minorHAnsi"/>
          <w:lang w:val="en-US"/>
        </w:rPr>
      </w:pPr>
      <w:r w:rsidRPr="00B845AF">
        <w:rPr>
          <w:rFonts w:asciiTheme="minorHAnsi" w:hAnsiTheme="minorHAnsi" w:cstheme="minorHAnsi"/>
          <w:lang w:val="en-US"/>
        </w:rPr>
        <w:t xml:space="preserve">T. Vidal </w:t>
      </w:r>
      <w:r w:rsidR="002808E6" w:rsidRPr="00B845AF">
        <w:rPr>
          <w:rFonts w:asciiTheme="minorHAnsi" w:hAnsiTheme="minorHAnsi" w:cstheme="minorHAnsi"/>
          <w:lang w:val="en-US"/>
        </w:rPr>
        <w:t>(SPC</w:t>
      </w:r>
      <w:r w:rsidR="00AF0EC8" w:rsidRPr="00B845AF">
        <w:rPr>
          <w:rFonts w:asciiTheme="minorHAnsi" w:hAnsiTheme="minorHAnsi" w:cstheme="minorHAnsi"/>
          <w:lang w:val="en-US"/>
        </w:rPr>
        <w:t>-OFP</w:t>
      </w:r>
      <w:r w:rsidR="002808E6" w:rsidRPr="00B845AF">
        <w:rPr>
          <w:rFonts w:asciiTheme="minorHAnsi" w:hAnsiTheme="minorHAnsi" w:cstheme="minorHAnsi"/>
          <w:lang w:val="en-US"/>
        </w:rPr>
        <w:t xml:space="preserve">) </w:t>
      </w:r>
      <w:r w:rsidRPr="00B845AF">
        <w:rPr>
          <w:rFonts w:asciiTheme="minorHAnsi" w:hAnsiTheme="minorHAnsi" w:cstheme="minorHAnsi"/>
          <w:lang w:val="en-US"/>
        </w:rPr>
        <w:t xml:space="preserve">presented </w:t>
      </w:r>
      <w:hyperlink r:id="rId24" w:history="1">
        <w:r w:rsidRPr="00B845AF">
          <w:rPr>
            <w:rStyle w:val="Hyperlink"/>
            <w:rFonts w:asciiTheme="minorHAnsi" w:hAnsiTheme="minorHAnsi" w:cstheme="minorHAnsi"/>
            <w:lang w:val="en-US"/>
          </w:rPr>
          <w:t>WCPFC-SC22-2026-ST-WP01_Rev03</w:t>
        </w:r>
      </w:hyperlink>
      <w:r w:rsidRPr="00B845AF">
        <w:rPr>
          <w:rFonts w:asciiTheme="minorHAnsi" w:hAnsiTheme="minorHAnsi" w:cstheme="minorHAnsi"/>
          <w:lang w:val="en-US"/>
        </w:rPr>
        <w:t xml:space="preserve">, covering data gaps and submission status, progress on SC21 data-related tasking, and future planning priorities. </w:t>
      </w:r>
    </w:p>
    <w:p w14:paraId="334B4FFC" w14:textId="77777777" w:rsidR="00B1409E" w:rsidRPr="00B845AF" w:rsidRDefault="00B1409E" w:rsidP="00B1409E">
      <w:pPr>
        <w:pStyle w:val="SCtext"/>
        <w:numPr>
          <w:ilvl w:val="0"/>
          <w:numId w:val="0"/>
        </w:numPr>
        <w:rPr>
          <w:rFonts w:asciiTheme="minorHAnsi" w:hAnsiTheme="minorHAnsi" w:cstheme="minorHAnsi"/>
          <w:lang w:val="en-US"/>
        </w:rPr>
      </w:pPr>
    </w:p>
    <w:p w14:paraId="360536E8" w14:textId="611F59E6" w:rsidR="00AF0EC8" w:rsidRPr="00B845AF" w:rsidRDefault="0027513F" w:rsidP="00B1409E">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On data submission timeliness, most CCMs submitted data by the deadline; one CCM experienced portal access difficulties and initially </w:t>
      </w:r>
      <w:r w:rsidR="00F14811" w:rsidRPr="00B845AF">
        <w:rPr>
          <w:rFonts w:asciiTheme="minorHAnsi" w:hAnsiTheme="minorHAnsi" w:cstheme="minorHAnsi"/>
          <w:lang w:val="en-US"/>
        </w:rPr>
        <w:t>submitted it</w:t>
      </w:r>
      <w:r w:rsidRPr="00B845AF">
        <w:rPr>
          <w:rFonts w:asciiTheme="minorHAnsi" w:hAnsiTheme="minorHAnsi" w:cstheme="minorHAnsi"/>
          <w:lang w:val="en-US"/>
        </w:rPr>
        <w:t xml:space="preserve"> via email, and one CCM had not yet submitted data at the time of the paper.</w:t>
      </w:r>
      <w:r w:rsidR="00BA5230" w:rsidRPr="00B845AF">
        <w:rPr>
          <w:rFonts w:asciiTheme="minorHAnsi" w:hAnsiTheme="minorHAnsi" w:cstheme="minorHAnsi"/>
          <w:lang w:val="en-US"/>
        </w:rPr>
        <w:t xml:space="preserve"> </w:t>
      </w:r>
      <w:r w:rsidRPr="00B845AF">
        <w:rPr>
          <w:rFonts w:asciiTheme="minorHAnsi" w:hAnsiTheme="minorHAnsi" w:cstheme="minorHAnsi"/>
          <w:lang w:val="en-US"/>
        </w:rPr>
        <w:t xml:space="preserve">By data category, remaining gaps included: for ACE, incomplete reporting of catches across all areas, catches not reported in mt, and potential underreporting of sharks; for aggregate data, low logbook coverage for one CCM and potential shark underreporting; for operational data, coverage generally exceeding 80% and often reaching 100%, but continued </w:t>
      </w:r>
      <w:r w:rsidRPr="00B845AF">
        <w:rPr>
          <w:rFonts w:asciiTheme="minorHAnsi" w:hAnsiTheme="minorHAnsi" w:cstheme="minorHAnsi"/>
          <w:lang w:val="en-US"/>
        </w:rPr>
        <w:lastRenderedPageBreak/>
        <w:t>low coverage for three CCMs where WPEA projects are underway, along with submissions of vessels not aligning with the Regional Fishing Vessel (RFV) record; and for size data, a lack of metadata, with additional reporting on this gap provided under Project 127a.</w:t>
      </w:r>
      <w:r w:rsidR="00BA5230" w:rsidRPr="00B845AF">
        <w:rPr>
          <w:rFonts w:asciiTheme="minorHAnsi" w:hAnsiTheme="minorHAnsi" w:cstheme="minorHAnsi"/>
          <w:lang w:val="en-US"/>
        </w:rPr>
        <w:t xml:space="preserve"> </w:t>
      </w:r>
    </w:p>
    <w:p w14:paraId="19D5A24A" w14:textId="77777777" w:rsidR="00AF0EC8" w:rsidRPr="00B845AF" w:rsidRDefault="00AF0EC8" w:rsidP="00B1409E">
      <w:pPr>
        <w:pStyle w:val="SCtext"/>
        <w:numPr>
          <w:ilvl w:val="0"/>
          <w:numId w:val="0"/>
        </w:numPr>
        <w:ind w:left="720"/>
        <w:rPr>
          <w:rFonts w:asciiTheme="minorHAnsi" w:hAnsiTheme="minorHAnsi" w:cstheme="minorHAnsi"/>
          <w:lang w:val="en-US"/>
        </w:rPr>
      </w:pPr>
    </w:p>
    <w:p w14:paraId="5CA93CB8" w14:textId="77777777" w:rsidR="00AF0EC8" w:rsidRPr="00B845AF" w:rsidRDefault="0027513F" w:rsidP="00B1409E">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On SC21 tasking, the SSP reported progress against ten prior SC21 recommendations, including continued work on reconciling size composition data (Project 127, detailed further in Hamer et al. 2026), circulation of a draft pro forma for non-ROP size data submissions to CCMs for feedback, adoption and implementation of standardized SciData reporting templates at WCPFC22, postponement of the planned cannery data workshop pending further planning (with an update provided in SPC-OFP 2026), completion of the two recommended SciData guideline revisions (Annex 1 section 1.5 and Annex 2 table A2.2.4), an update on the sea turtle CMM 2018-04 review to be presented at this meeting, an update from the FAD MO-IWG on minimum FAD logbook data fields, and a forthcoming ERandEM IWG update.</w:t>
      </w:r>
      <w:r w:rsidR="00BA5230" w:rsidRPr="00B845AF">
        <w:rPr>
          <w:rFonts w:asciiTheme="minorHAnsi" w:hAnsiTheme="minorHAnsi" w:cstheme="minorHAnsi"/>
          <w:lang w:val="en-US"/>
        </w:rPr>
        <w:t xml:space="preserve"> </w:t>
      </w:r>
    </w:p>
    <w:p w14:paraId="723C2E6A" w14:textId="77777777" w:rsidR="00AF0EC8" w:rsidRPr="00B845AF" w:rsidRDefault="00AF0EC8" w:rsidP="00B1409E">
      <w:pPr>
        <w:pStyle w:val="SCtext"/>
        <w:numPr>
          <w:ilvl w:val="0"/>
          <w:numId w:val="0"/>
        </w:numPr>
        <w:ind w:left="720"/>
        <w:rPr>
          <w:rFonts w:asciiTheme="minorHAnsi" w:hAnsiTheme="minorHAnsi" w:cstheme="minorHAnsi"/>
          <w:lang w:val="en-US"/>
        </w:rPr>
      </w:pPr>
    </w:p>
    <w:p w14:paraId="6B909BC9" w14:textId="638B4DFF" w:rsidR="0081322D" w:rsidRPr="00B845AF" w:rsidRDefault="0027513F" w:rsidP="00B1409E">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On progress and planning, the SSP noted that standardized data submissions have enabled greater automation and transparency around gaps and submission timelines, and that data gaps have been very few in recent years. Priorities going forward include improving user experience around data submissions, increasing CCM access to data and data products, and shifting focus from gap identification toward data quality, since gaps have been extensively assessed in prior years. The presentation also flagged related supporting papers of interest: ST-IP-02 (coverage of operational data fields), ST-IP-03 (ROP data management, noting a growing backlog), ST-IP-04 (Commission scientific data products in the public domain), ST-IP-05 (WPEA data improvements, including handline details), and ST-IP-06 (cannery data)</w:t>
      </w:r>
      <w:r w:rsidR="0081322D" w:rsidRPr="00B845AF">
        <w:rPr>
          <w:rFonts w:asciiTheme="minorHAnsi" w:hAnsiTheme="minorHAnsi" w:cstheme="minorHAnsi"/>
          <w:lang w:val="en-US"/>
        </w:rPr>
        <w:t>.</w:t>
      </w:r>
    </w:p>
    <w:p w14:paraId="7CBBC15F" w14:textId="77777777" w:rsidR="00120848" w:rsidRPr="00B845AF" w:rsidRDefault="00120848" w:rsidP="00120848">
      <w:pPr>
        <w:pStyle w:val="SCtext"/>
        <w:numPr>
          <w:ilvl w:val="0"/>
          <w:numId w:val="0"/>
        </w:numPr>
        <w:rPr>
          <w:rFonts w:asciiTheme="minorHAnsi" w:hAnsiTheme="minorHAnsi" w:cstheme="minorHAnsi"/>
          <w:lang w:val="en-US"/>
        </w:rPr>
      </w:pPr>
    </w:p>
    <w:p w14:paraId="4F85B208" w14:textId="37BDBF8A" w:rsidR="00120848" w:rsidRPr="00B845AF" w:rsidRDefault="00120848" w:rsidP="00120848">
      <w:pPr>
        <w:pStyle w:val="SCDR"/>
        <w:rPr>
          <w:rStyle w:val="Strong"/>
          <w:rFonts w:asciiTheme="minorHAnsi" w:hAnsiTheme="minorHAnsi" w:cstheme="minorHAnsi"/>
          <w:b/>
          <w:bCs w:val="0"/>
        </w:rPr>
      </w:pPr>
      <w:r w:rsidRPr="00B845AF">
        <w:rPr>
          <w:rStyle w:val="Strong"/>
          <w:rFonts w:asciiTheme="minorHAnsi" w:hAnsiTheme="minorHAnsi" w:cstheme="minorHAnsi"/>
          <w:b/>
          <w:bCs w:val="0"/>
        </w:rPr>
        <w:t xml:space="preserve">Discussion </w:t>
      </w:r>
    </w:p>
    <w:p w14:paraId="47B833EB" w14:textId="01E426C2" w:rsidR="004D24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In response to the presentation, Chinese Taipei raised a question regarding the SciData submission guidelines at the operational level, suggesting that Table 3 should include a note clarifying that discard information should not be included in the evaluation. The SSP thanked Chinese Taipei and confirmed it was happy to make the suggested revision.</w:t>
      </w:r>
    </w:p>
    <w:p w14:paraId="33D481A8" w14:textId="77777777" w:rsidR="00F56711" w:rsidRPr="00B845AF" w:rsidRDefault="00F56711" w:rsidP="00F56711">
      <w:pPr>
        <w:pStyle w:val="SCtext"/>
        <w:numPr>
          <w:ilvl w:val="0"/>
          <w:numId w:val="0"/>
        </w:numPr>
        <w:rPr>
          <w:rFonts w:asciiTheme="minorHAnsi" w:hAnsiTheme="minorHAnsi" w:cstheme="minorHAnsi"/>
          <w:lang w:val="en-US"/>
        </w:rPr>
      </w:pPr>
    </w:p>
    <w:p w14:paraId="2BABFE74" w14:textId="7433000A" w:rsidR="00F56711" w:rsidRPr="00B845AF" w:rsidRDefault="2248D006">
      <w:pPr>
        <w:pStyle w:val="SCtext"/>
        <w:rPr>
          <w:rFonts w:asciiTheme="minorHAnsi" w:hAnsiTheme="minorHAnsi" w:cstheme="minorHAnsi"/>
          <w:lang w:val="en-US"/>
        </w:rPr>
      </w:pPr>
      <w:r w:rsidRPr="00B845AF">
        <w:rPr>
          <w:rFonts w:asciiTheme="minorHAnsi" w:hAnsiTheme="minorHAnsi" w:cstheme="minorHAnsi"/>
          <w:lang w:val="en-US"/>
        </w:rPr>
        <w:t xml:space="preserve">With respect to the provision of public domain data, the EU asked whether coverage information, currently presented only in terms of strata, could instead be presented in aggregated form, as done in other RFMOs, while preserving data confidentiality. The SSP agreed this was a good suggestion and stated it had not yet reviewed the public domain category in this </w:t>
      </w:r>
      <w:r w:rsidR="00211901" w:rsidRPr="00B845AF">
        <w:rPr>
          <w:rFonts w:asciiTheme="minorHAnsi" w:hAnsiTheme="minorHAnsi" w:cstheme="minorHAnsi"/>
          <w:lang w:val="en-US"/>
        </w:rPr>
        <w:t>respect but</w:t>
      </w:r>
      <w:r w:rsidRPr="00B845AF">
        <w:rPr>
          <w:rFonts w:asciiTheme="minorHAnsi" w:hAnsiTheme="minorHAnsi" w:cstheme="minorHAnsi"/>
          <w:lang w:val="en-US"/>
        </w:rPr>
        <w:t xml:space="preserve"> would explore it and could propose a course of action at TCC.</w:t>
      </w:r>
    </w:p>
    <w:p w14:paraId="238E81BC" w14:textId="77777777" w:rsidR="00D66D7D" w:rsidRPr="00B845AF" w:rsidRDefault="00D66D7D" w:rsidP="00D66D7D">
      <w:pPr>
        <w:pStyle w:val="SCtext"/>
        <w:numPr>
          <w:ilvl w:val="0"/>
          <w:numId w:val="0"/>
        </w:numPr>
        <w:rPr>
          <w:rFonts w:asciiTheme="minorHAnsi" w:hAnsiTheme="minorHAnsi" w:cstheme="minorHAnsi"/>
          <w:lang w:val="en-US"/>
        </w:rPr>
      </w:pPr>
    </w:p>
    <w:p w14:paraId="113122FD" w14:textId="5245FB39" w:rsidR="00D66D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SSP for the paper and acknowledged significant progress in recent years on identifying data gaps and improving data completeness. The USA suggested that, since the paper is now more of a status update, some content could be transitioned to an Information Paper in future, and that the Committee could consider distinguishing longstanding data gaps from potentially emerging ones, noting that new gear types may necessitate further discussion of data standards. The USA also commented on ST-IP05, welcoming its more in-depth reporting on progress and encouraging further updates of that kind. The SSP agreed with the USA’s suggestion, noting the </w:t>
      </w:r>
      <w:r w:rsidR="00BD5A29" w:rsidRPr="00B845AF">
        <w:rPr>
          <w:rFonts w:asciiTheme="minorHAnsi" w:hAnsiTheme="minorHAnsi" w:cstheme="minorHAnsi"/>
          <w:lang w:val="en-US"/>
        </w:rPr>
        <w:t>theme c</w:t>
      </w:r>
      <w:r w:rsidRPr="00B845AF">
        <w:rPr>
          <w:rFonts w:asciiTheme="minorHAnsi" w:hAnsiTheme="minorHAnsi" w:cstheme="minorHAnsi"/>
          <w:lang w:val="en-US"/>
        </w:rPr>
        <w:t>onvener had separately proposed a similar shift toward an Information Paper format.</w:t>
      </w:r>
    </w:p>
    <w:p w14:paraId="1253F5DC" w14:textId="77777777" w:rsidR="00D66D7D" w:rsidRPr="00B845AF" w:rsidRDefault="00D66D7D" w:rsidP="00D66D7D">
      <w:pPr>
        <w:pStyle w:val="SCtext"/>
        <w:numPr>
          <w:ilvl w:val="0"/>
          <w:numId w:val="0"/>
        </w:numPr>
        <w:rPr>
          <w:rFonts w:asciiTheme="minorHAnsi" w:hAnsiTheme="minorHAnsi" w:cstheme="minorHAnsi"/>
          <w:lang w:val="en-US"/>
        </w:rPr>
      </w:pPr>
    </w:p>
    <w:p w14:paraId="20275BB4" w14:textId="7A916053" w:rsidR="00D66D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 xml:space="preserve">Cook Islands, on behalf of the FFA members, thanked the SSP for the paper and its role in supporting robust scientific analysis, noting that a significant proportion of the data in question originates </w:t>
      </w:r>
      <w:r w:rsidRPr="00B845AF">
        <w:rPr>
          <w:rFonts w:asciiTheme="minorHAnsi" w:hAnsiTheme="minorHAnsi" w:cstheme="minorHAnsi"/>
          <w:lang w:val="en-US"/>
        </w:rPr>
        <w:lastRenderedPageBreak/>
        <w:t xml:space="preserve">from the EEZs of Pacific Island countries. The FFA members stated they have consistently worked to strengthen data collection and </w:t>
      </w:r>
      <w:r w:rsidR="00F14811" w:rsidRPr="00B845AF">
        <w:rPr>
          <w:rFonts w:asciiTheme="minorHAnsi" w:hAnsiTheme="minorHAnsi" w:cstheme="minorHAnsi"/>
          <w:lang w:val="en-US"/>
        </w:rPr>
        <w:t>reporting and</w:t>
      </w:r>
      <w:r w:rsidRPr="00B845AF">
        <w:rPr>
          <w:rFonts w:asciiTheme="minorHAnsi" w:hAnsiTheme="minorHAnsi" w:cstheme="minorHAnsi"/>
          <w:lang w:val="en-US"/>
        </w:rPr>
        <w:t xml:space="preserve"> stressed that implementation should be consistent with Article 30 of the Convention, and that the value of scientific data depends on its quality, accuracy, and timeliness. The FFA members encouraged CCMs to progress toward electronic reporting, noted that persistent data gaps remain for three CCMs, and encouraged those CCMs to address the gaps. Citing the results of Project 93 and a prior SC19 recommendation, the FFA members recommended that SC22 </w:t>
      </w:r>
      <w:r w:rsidR="00F14811" w:rsidRPr="00B845AF">
        <w:rPr>
          <w:rFonts w:asciiTheme="minorHAnsi" w:hAnsiTheme="minorHAnsi" w:cstheme="minorHAnsi"/>
          <w:lang w:val="en-US"/>
        </w:rPr>
        <w:t>recommend</w:t>
      </w:r>
      <w:r w:rsidRPr="00B845AF">
        <w:rPr>
          <w:rFonts w:asciiTheme="minorHAnsi" w:hAnsiTheme="minorHAnsi" w:cstheme="minorHAnsi"/>
          <w:lang w:val="en-US"/>
        </w:rPr>
        <w:t xml:space="preserve"> WCPFC23 an increase in longline observer coverage, including through expanded electronic monitoring approaches.</w:t>
      </w:r>
    </w:p>
    <w:p w14:paraId="7A8649F4" w14:textId="77777777" w:rsidR="00D66D7D" w:rsidRPr="00B845AF" w:rsidRDefault="00D66D7D" w:rsidP="00D66D7D">
      <w:pPr>
        <w:pStyle w:val="SCtext"/>
        <w:numPr>
          <w:ilvl w:val="0"/>
          <w:numId w:val="0"/>
        </w:numPr>
        <w:rPr>
          <w:rFonts w:asciiTheme="minorHAnsi" w:hAnsiTheme="minorHAnsi" w:cstheme="minorHAnsi"/>
          <w:lang w:val="en-US"/>
        </w:rPr>
      </w:pPr>
    </w:p>
    <w:p w14:paraId="741F7940" w14:textId="6A91FE14" w:rsidR="00D66D7D" w:rsidRPr="00B845AF" w:rsidRDefault="00BB11E5">
      <w:pPr>
        <w:pStyle w:val="SCtext"/>
        <w:rPr>
          <w:rFonts w:asciiTheme="minorHAnsi" w:hAnsiTheme="minorHAnsi" w:cstheme="minorHAnsi"/>
          <w:lang w:val="en-US"/>
        </w:rPr>
      </w:pPr>
      <w:r w:rsidRPr="00B845AF">
        <w:rPr>
          <w:rFonts w:asciiTheme="minorHAnsi" w:hAnsiTheme="minorHAnsi" w:cstheme="minorHAnsi"/>
          <w:lang w:val="en-US"/>
        </w:rPr>
        <w:t>Sharks Pacific expressed support for the SSP</w:t>
      </w:r>
      <w:r w:rsidR="00D555EE" w:rsidRPr="00B845AF">
        <w:rPr>
          <w:rFonts w:asciiTheme="minorHAnsi" w:hAnsiTheme="minorHAnsi" w:cstheme="minorHAnsi"/>
          <w:lang w:val="en-US"/>
        </w:rPr>
        <w:t>’</w:t>
      </w:r>
      <w:r w:rsidRPr="00B845AF">
        <w:rPr>
          <w:rFonts w:asciiTheme="minorHAnsi" w:hAnsiTheme="minorHAnsi" w:cstheme="minorHAnsi"/>
          <w:lang w:val="en-US"/>
        </w:rPr>
        <w:t>s paper and stated its strong support for the FFA recommendation delivered by Cook Islands, particularly regarding observer coverage, and noted its support for the standardization efforts of the past two years in reducing data gaps. Sharks Pacific stated that the paper matters because it shows that shark catch underreporting in this fishery is systemic, not confined to one data stream, documenting underreporting of key shark species as a recurring gap across all three of the Commission</w:t>
      </w:r>
      <w:r w:rsidR="00D555EE" w:rsidRPr="00B845AF">
        <w:rPr>
          <w:rFonts w:asciiTheme="minorHAnsi" w:hAnsiTheme="minorHAnsi" w:cstheme="minorHAnsi"/>
          <w:lang w:val="en-US"/>
        </w:rPr>
        <w:t>’</w:t>
      </w:r>
      <w:r w:rsidRPr="00B845AF">
        <w:rPr>
          <w:rFonts w:asciiTheme="minorHAnsi" w:hAnsiTheme="minorHAnsi" w:cstheme="minorHAnsi"/>
          <w:lang w:val="en-US"/>
        </w:rPr>
        <w:t>s primary catch and effort data categories: ACE, aggregate catch/effort data, and operational catch/effort data. Sharks Pacific stated that the Commission</w:t>
      </w:r>
      <w:r w:rsidR="00D555EE" w:rsidRPr="00B845AF">
        <w:rPr>
          <w:rFonts w:asciiTheme="minorHAnsi" w:hAnsiTheme="minorHAnsi" w:cstheme="minorHAnsi"/>
          <w:lang w:val="en-US"/>
        </w:rPr>
        <w:t>’</w:t>
      </w:r>
      <w:r w:rsidRPr="00B845AF">
        <w:rPr>
          <w:rFonts w:asciiTheme="minorHAnsi" w:hAnsiTheme="minorHAnsi" w:cstheme="minorHAnsi"/>
          <w:lang w:val="en-US"/>
        </w:rPr>
        <w:t xml:space="preserve">s own scientific services provider had, in effect, told SC22 that it cannot currently answer basic questions about the volume of shark catch in this fishery, and that this leaves scientific advice for shark and ray management resting on what Sharks Pacific characterized as a </w:t>
      </w:r>
      <w:r w:rsidR="00D555EE" w:rsidRPr="00B845AF">
        <w:rPr>
          <w:rFonts w:asciiTheme="minorHAnsi" w:hAnsiTheme="minorHAnsi" w:cstheme="minorHAnsi"/>
          <w:lang w:val="en-US"/>
        </w:rPr>
        <w:t>“</w:t>
      </w:r>
      <w:r w:rsidRPr="00B845AF">
        <w:rPr>
          <w:rFonts w:asciiTheme="minorHAnsi" w:hAnsiTheme="minorHAnsi" w:cstheme="minorHAnsi"/>
          <w:lang w:val="en-US"/>
        </w:rPr>
        <w:t>thumb in the wind</w:t>
      </w:r>
      <w:r w:rsidR="00D555EE" w:rsidRPr="00B845AF">
        <w:rPr>
          <w:rFonts w:asciiTheme="minorHAnsi" w:hAnsiTheme="minorHAnsi" w:cstheme="minorHAnsi"/>
          <w:lang w:val="en-US"/>
        </w:rPr>
        <w:t>”</w:t>
      </w:r>
      <w:r w:rsidRPr="00B845AF">
        <w:rPr>
          <w:rFonts w:asciiTheme="minorHAnsi" w:hAnsiTheme="minorHAnsi" w:cstheme="minorHAnsi"/>
          <w:lang w:val="en-US"/>
        </w:rPr>
        <w:t xml:space="preserve"> assessment. Sharks Pacific raised two specific points. First, noting that an SC21 recommendation had led to a new discard/release reporting field in the SciData guidelines, driven by cetacean reporting needs, Sharks Pacific welcomed this as a template for sharks and saw no reason the same field structure and procedural pathway should not be extended to shark discard and release reporting, which it characterized as comparatively underdeveloped. Second, Sharks Pacific noted that the paper</w:t>
      </w:r>
      <w:r w:rsidR="00D555EE" w:rsidRPr="00B845AF">
        <w:rPr>
          <w:rFonts w:asciiTheme="minorHAnsi" w:hAnsiTheme="minorHAnsi" w:cstheme="minorHAnsi"/>
          <w:lang w:val="en-US"/>
        </w:rPr>
        <w:t>’</w:t>
      </w:r>
      <w:r w:rsidRPr="00B845AF">
        <w:rPr>
          <w:rFonts w:asciiTheme="minorHAnsi" w:hAnsiTheme="minorHAnsi" w:cstheme="minorHAnsi"/>
          <w:lang w:val="en-US"/>
        </w:rPr>
        <w:t xml:space="preserve">s review of newly standardized data submissions identified an inconsistency whereby some CCMs report retained catch only while others report both retained and discarded catch, which Sharks Pacific characterized as a concrete, fixable problem producing an inconsistent reporting base for Commission discard and mortality estimates for sharks across fleets. Sharks Pacific requested that SC22 consider options for extending discard/release reporting standards to sharks, standardizing retained-versus-discarded reporting </w:t>
      </w:r>
      <w:r w:rsidR="00F14811" w:rsidRPr="00B845AF">
        <w:rPr>
          <w:rFonts w:asciiTheme="minorHAnsi" w:hAnsiTheme="minorHAnsi" w:cstheme="minorHAnsi"/>
          <w:lang w:val="en-US"/>
        </w:rPr>
        <w:t>practice and</w:t>
      </w:r>
      <w:r w:rsidRPr="00B845AF">
        <w:rPr>
          <w:rFonts w:asciiTheme="minorHAnsi" w:hAnsiTheme="minorHAnsi" w:cstheme="minorHAnsi"/>
          <w:lang w:val="en-US"/>
        </w:rPr>
        <w:t xml:space="preserve"> examining species-level weighting within the tier-scoring system</w:t>
      </w:r>
      <w:r w:rsidR="00D66D7D" w:rsidRPr="00B845AF">
        <w:rPr>
          <w:rFonts w:asciiTheme="minorHAnsi" w:hAnsiTheme="minorHAnsi" w:cstheme="minorHAnsi"/>
          <w:lang w:val="en-US"/>
        </w:rPr>
        <w:t>.</w:t>
      </w:r>
    </w:p>
    <w:p w14:paraId="0129258B" w14:textId="77777777" w:rsidR="00D66D7D" w:rsidRPr="00B845AF" w:rsidRDefault="00D66D7D" w:rsidP="00D66D7D">
      <w:pPr>
        <w:pStyle w:val="SCtext"/>
        <w:numPr>
          <w:ilvl w:val="0"/>
          <w:numId w:val="0"/>
        </w:numPr>
        <w:rPr>
          <w:rFonts w:asciiTheme="minorHAnsi" w:hAnsiTheme="minorHAnsi" w:cstheme="minorHAnsi"/>
          <w:lang w:val="en-US"/>
        </w:rPr>
      </w:pPr>
    </w:p>
    <w:p w14:paraId="14353C91" w14:textId="38046AC4" w:rsidR="00D66D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 xml:space="preserve">Japan responded to the FFA proposal, stating that the challenge with electronic monitoring and electronic reporting is data quality control, since data checking has not been thoroughly discussed and data should not simply be transmitted automatically without quality assurance. On observer coverage, Japan noted the issue has been under discussion for many years and that practical constraints remain. Japan stated it could support similar recommendation language but cautioned that departing from previously used wording could make it difficult to reach a </w:t>
      </w:r>
      <w:r w:rsidR="00211901" w:rsidRPr="00B845AF">
        <w:rPr>
          <w:rFonts w:asciiTheme="minorHAnsi" w:hAnsiTheme="minorHAnsi" w:cstheme="minorHAnsi"/>
          <w:lang w:val="en-US"/>
        </w:rPr>
        <w:t>conclusion and</w:t>
      </w:r>
      <w:r w:rsidRPr="00B845AF">
        <w:rPr>
          <w:rFonts w:asciiTheme="minorHAnsi" w:hAnsiTheme="minorHAnsi" w:cstheme="minorHAnsi"/>
          <w:lang w:val="en-US"/>
        </w:rPr>
        <w:t xml:space="preserve"> urged retaining the earlier language.</w:t>
      </w:r>
    </w:p>
    <w:p w14:paraId="34AD2221" w14:textId="77777777" w:rsidR="00D66D7D" w:rsidRPr="00B845AF" w:rsidRDefault="00D66D7D" w:rsidP="00D66D7D">
      <w:pPr>
        <w:pStyle w:val="SCtext"/>
        <w:numPr>
          <w:ilvl w:val="0"/>
          <w:numId w:val="0"/>
        </w:numPr>
        <w:rPr>
          <w:rFonts w:asciiTheme="minorHAnsi" w:hAnsiTheme="minorHAnsi" w:cstheme="minorHAnsi"/>
          <w:lang w:val="en-US"/>
        </w:rPr>
      </w:pPr>
    </w:p>
    <w:p w14:paraId="78113604" w14:textId="5E4DF77A" w:rsidR="00D66D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The SSP thanked Japan for raising the data quality concern and referred to ST-IP07, which addresses a tool for data quality control intended for use separately from the data submission process, noting the potential for API-based technical solutions.</w:t>
      </w:r>
    </w:p>
    <w:p w14:paraId="701BDCDB" w14:textId="77777777" w:rsidR="00D66D7D" w:rsidRPr="00B845AF" w:rsidRDefault="00D66D7D" w:rsidP="00D66D7D">
      <w:pPr>
        <w:pStyle w:val="SCtext"/>
        <w:numPr>
          <w:ilvl w:val="0"/>
          <w:numId w:val="0"/>
        </w:numPr>
        <w:rPr>
          <w:rFonts w:asciiTheme="minorHAnsi" w:hAnsiTheme="minorHAnsi" w:cstheme="minorHAnsi"/>
          <w:lang w:val="en-US"/>
        </w:rPr>
      </w:pPr>
    </w:p>
    <w:p w14:paraId="655DE603" w14:textId="0EBFFC29" w:rsidR="00D66D7D" w:rsidRPr="00B845AF" w:rsidRDefault="00D66D7D">
      <w:pPr>
        <w:pStyle w:val="SCtext"/>
        <w:rPr>
          <w:rFonts w:asciiTheme="minorHAnsi" w:hAnsiTheme="minorHAnsi" w:cstheme="minorHAnsi"/>
          <w:lang w:val="en-US"/>
        </w:rPr>
      </w:pPr>
      <w:r w:rsidRPr="00B845AF">
        <w:rPr>
          <w:rFonts w:asciiTheme="minorHAnsi" w:hAnsiTheme="minorHAnsi" w:cstheme="minorHAnsi"/>
          <w:lang w:val="en-US"/>
        </w:rPr>
        <w:t>Cook Islands, in a further intervention, thanked Japan for its points, stated the comments on EM and ER were noted, and confirmed it was happy to support using the previously used language on observer coverage, thanking the SSP for its suggestions.</w:t>
      </w:r>
    </w:p>
    <w:p w14:paraId="763962F2" w14:textId="1295C4A5" w:rsidR="00960D91" w:rsidRPr="00B845AF" w:rsidRDefault="00960D91" w:rsidP="00960D91">
      <w:pPr>
        <w:pStyle w:val="SCtext"/>
        <w:numPr>
          <w:ilvl w:val="0"/>
          <w:numId w:val="0"/>
        </w:numPr>
        <w:rPr>
          <w:rFonts w:asciiTheme="minorHAnsi" w:hAnsiTheme="minorHAnsi" w:cstheme="minorHAnsi"/>
          <w:lang w:val="en-US"/>
        </w:rPr>
      </w:pPr>
    </w:p>
    <w:p w14:paraId="096F4F91" w14:textId="4EE23609" w:rsidR="0035342F" w:rsidRPr="00B845AF" w:rsidRDefault="00960D91" w:rsidP="00960D91">
      <w:pPr>
        <w:pStyle w:val="SCDR"/>
        <w:rPr>
          <w:rStyle w:val="Strong"/>
          <w:rFonts w:asciiTheme="minorHAnsi" w:hAnsiTheme="minorHAnsi" w:cstheme="minorHAnsi"/>
          <w:b/>
          <w:bCs w:val="0"/>
        </w:rPr>
      </w:pPr>
      <w:r w:rsidRPr="00B845AF">
        <w:rPr>
          <w:rFonts w:asciiTheme="minorHAnsi" w:hAnsiTheme="minorHAnsi" w:cstheme="minorHAnsi"/>
        </w:rPr>
        <w:lastRenderedPageBreak/>
        <w:t>Outcomes</w:t>
      </w:r>
    </w:p>
    <w:p w14:paraId="2B2BEAFA" w14:textId="4F128427" w:rsidR="00960D91" w:rsidRPr="00B845AF" w:rsidRDefault="2248D006">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requested </w:t>
      </w:r>
      <w:r w:rsidR="00636785" w:rsidRPr="00B845AF">
        <w:rPr>
          <w:rFonts w:asciiTheme="minorHAnsi" w:hAnsiTheme="minorHAnsi" w:cstheme="minorHAnsi"/>
          <w:b/>
          <w:bCs/>
          <w:lang w:val="en-US"/>
        </w:rPr>
        <w:t>SSP</w:t>
      </w:r>
      <w:r w:rsidRPr="00B845AF">
        <w:rPr>
          <w:rFonts w:asciiTheme="minorHAnsi" w:hAnsiTheme="minorHAnsi" w:cstheme="minorHAnsi"/>
          <w:b/>
          <w:bCs/>
          <w:lang w:val="en-US"/>
        </w:rPr>
        <w:t xml:space="preserve"> to review criteria for public domain data and explore options for aggregating data that could reduce the amount of data being excluded.</w:t>
      </w:r>
    </w:p>
    <w:p w14:paraId="24F8CC3F" w14:textId="77777777" w:rsidR="00C6229F" w:rsidRPr="00B845AF" w:rsidRDefault="00C6229F" w:rsidP="00C6229F">
      <w:pPr>
        <w:pStyle w:val="SCtext"/>
        <w:numPr>
          <w:ilvl w:val="0"/>
          <w:numId w:val="0"/>
        </w:numPr>
        <w:rPr>
          <w:rFonts w:asciiTheme="minorHAnsi" w:hAnsiTheme="minorHAnsi" w:cstheme="minorHAnsi"/>
          <w:b/>
          <w:bCs/>
          <w:lang w:val="en-US"/>
        </w:rPr>
      </w:pPr>
    </w:p>
    <w:p w14:paraId="6333F564" w14:textId="7DF92B89" w:rsidR="00C6229F" w:rsidRPr="00B845AF" w:rsidRDefault="2248D006">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SC22 noted significant improvements in the timeliness and quality of data provided to the Commission, and that current data gaps are long-standing issues. SC22 requested the SSP</w:t>
      </w:r>
      <w:r w:rsidR="00421C7B" w:rsidRPr="00B845AF">
        <w:rPr>
          <w:rFonts w:asciiTheme="minorHAnsi" w:eastAsia="MS Mincho" w:hAnsiTheme="minorHAnsi" w:cstheme="minorHAnsi"/>
          <w:b/>
          <w:bCs/>
          <w:lang w:val="en-US" w:eastAsia="ja-JP"/>
        </w:rPr>
        <w:t xml:space="preserve"> to</w:t>
      </w:r>
      <w:r w:rsidRPr="00B845AF">
        <w:rPr>
          <w:rFonts w:asciiTheme="minorHAnsi" w:eastAsia="MS Mincho" w:hAnsiTheme="minorHAnsi" w:cstheme="minorHAnsi"/>
          <w:b/>
          <w:bCs/>
          <w:lang w:val="en-US" w:eastAsia="ja-JP"/>
        </w:rPr>
        <w:t xml:space="preserve"> provide future updates on timeliness and completeness of data submitted as an information paper and encouraged the SSP to continue to address long-standing data gaps.</w:t>
      </w:r>
    </w:p>
    <w:p w14:paraId="6248BCD7" w14:textId="77777777" w:rsidR="001F1924" w:rsidRPr="00B845AF" w:rsidRDefault="001F1924" w:rsidP="001F1924">
      <w:pPr>
        <w:pStyle w:val="SCtext"/>
        <w:numPr>
          <w:ilvl w:val="0"/>
          <w:numId w:val="0"/>
        </w:numPr>
        <w:rPr>
          <w:rFonts w:asciiTheme="minorHAnsi" w:hAnsiTheme="minorHAnsi" w:cstheme="minorHAnsi"/>
          <w:b/>
          <w:bCs/>
          <w:lang w:val="en-US"/>
        </w:rPr>
      </w:pPr>
    </w:p>
    <w:p w14:paraId="4544E678" w14:textId="1B817D1E" w:rsidR="001F1924" w:rsidRPr="00B845AF" w:rsidRDefault="001F1924">
      <w:pPr>
        <w:pStyle w:val="SCtext"/>
        <w:rPr>
          <w:rFonts w:asciiTheme="minorHAnsi" w:hAnsiTheme="minorHAnsi" w:cstheme="minorHAnsi"/>
          <w:b/>
          <w:bCs/>
          <w:lang w:val="en-US"/>
        </w:rPr>
      </w:pPr>
      <w:r w:rsidRPr="00B845AF">
        <w:rPr>
          <w:rFonts w:asciiTheme="minorHAnsi" w:hAnsiTheme="minorHAnsi" w:cstheme="minorHAnsi"/>
          <w:b/>
          <w:bCs/>
          <w:lang w:val="en-US"/>
        </w:rPr>
        <w:t>SC22 supported presenting routine updates on scientific data submissions related to this agenda item as an information paper in the future and focusing SC discussion on persistent and emerging data gaps.</w:t>
      </w:r>
    </w:p>
    <w:p w14:paraId="76A30FF8" w14:textId="77777777" w:rsidR="00960D91" w:rsidRPr="00B845AF" w:rsidRDefault="00960D91" w:rsidP="00D641E8">
      <w:pPr>
        <w:widowControl w:val="0"/>
        <w:kinsoku w:val="0"/>
        <w:overflowPunct w:val="0"/>
        <w:autoSpaceDE w:val="0"/>
        <w:autoSpaceDN w:val="0"/>
        <w:adjustRightInd w:val="0"/>
        <w:snapToGrid w:val="0"/>
        <w:jc w:val="both"/>
        <w:rPr>
          <w:rStyle w:val="Strong"/>
          <w:rFonts w:asciiTheme="minorHAnsi" w:eastAsiaTheme="minorEastAsia" w:hAnsiTheme="minorHAnsi" w:cstheme="minorHAnsi"/>
          <w:lang w:eastAsia="ko-KR"/>
        </w:rPr>
      </w:pPr>
    </w:p>
    <w:p w14:paraId="0421F30A" w14:textId="48F72D37" w:rsidR="0035342F" w:rsidRPr="00B845AF" w:rsidRDefault="0035342F">
      <w:pPr>
        <w:pStyle w:val="SC3"/>
        <w:rPr>
          <w:rFonts w:asciiTheme="minorHAnsi" w:hAnsiTheme="minorHAnsi" w:cstheme="minorHAnsi"/>
        </w:rPr>
      </w:pPr>
      <w:bookmarkStart w:id="22" w:name="_Hlk206696523"/>
      <w:r w:rsidRPr="00B845AF">
        <w:rPr>
          <w:rFonts w:asciiTheme="minorHAnsi" w:hAnsiTheme="minorHAnsi" w:cstheme="minorHAnsi"/>
        </w:rPr>
        <w:t>Reconciliation of size composition data for stock assessments (Project 127</w:t>
      </w:r>
      <w:r w:rsidR="004B1B67" w:rsidRPr="00B845AF">
        <w:rPr>
          <w:rFonts w:asciiTheme="minorHAnsi" w:hAnsiTheme="minorHAnsi" w:cstheme="minorHAnsi"/>
        </w:rPr>
        <w:t xml:space="preserve"> and 127a</w:t>
      </w:r>
      <w:r w:rsidRPr="00B845AF">
        <w:rPr>
          <w:rFonts w:asciiTheme="minorHAnsi" w:hAnsiTheme="minorHAnsi" w:cstheme="minorHAnsi"/>
        </w:rPr>
        <w:t>)</w:t>
      </w:r>
      <w:bookmarkEnd w:id="22"/>
    </w:p>
    <w:p w14:paraId="3ABB6FC0" w14:textId="77777777" w:rsidR="001822DC" w:rsidRPr="00B845AF" w:rsidRDefault="00064F1A">
      <w:pPr>
        <w:pStyle w:val="SCtext"/>
        <w:rPr>
          <w:rFonts w:asciiTheme="minorHAnsi" w:hAnsiTheme="minorHAnsi" w:cstheme="minorHAnsi"/>
          <w:lang w:val="en-US"/>
        </w:rPr>
      </w:pPr>
      <w:r w:rsidRPr="00B845AF">
        <w:rPr>
          <w:rFonts w:asciiTheme="minorHAnsi" w:hAnsiTheme="minorHAnsi" w:cstheme="minorHAnsi"/>
          <w:lang w:val="en-US"/>
        </w:rPr>
        <w:t>P</w:t>
      </w:r>
      <w:r w:rsidR="003F77FA" w:rsidRPr="00B845AF">
        <w:rPr>
          <w:rFonts w:asciiTheme="minorHAnsi" w:hAnsiTheme="minorHAnsi" w:cstheme="minorHAnsi"/>
          <w:lang w:val="en-US"/>
        </w:rPr>
        <w:t>.</w:t>
      </w:r>
      <w:r w:rsidRPr="00B845AF">
        <w:rPr>
          <w:rFonts w:asciiTheme="minorHAnsi" w:hAnsiTheme="minorHAnsi" w:cstheme="minorHAnsi"/>
          <w:lang w:val="en-US"/>
        </w:rPr>
        <w:t xml:space="preserve"> Hamer (SPC-OFP) </w:t>
      </w:r>
      <w:r w:rsidR="00FF004E" w:rsidRPr="00B845AF">
        <w:rPr>
          <w:rFonts w:asciiTheme="minorHAnsi" w:hAnsiTheme="minorHAnsi" w:cstheme="minorHAnsi"/>
          <w:lang w:val="en-US"/>
        </w:rPr>
        <w:t xml:space="preserve">presented </w:t>
      </w:r>
      <w:hyperlink r:id="rId25" w:history="1">
        <w:r w:rsidR="00FF004E" w:rsidRPr="00B845AF">
          <w:rPr>
            <w:rStyle w:val="Hyperlink"/>
            <w:rFonts w:asciiTheme="minorHAnsi" w:hAnsiTheme="minorHAnsi" w:cstheme="minorHAnsi"/>
            <w:lang w:val="en-US"/>
          </w:rPr>
          <w:t>WCPFC-SC22-2026-ST-WP02</w:t>
        </w:r>
      </w:hyperlink>
      <w:r w:rsidR="00FF004E" w:rsidRPr="00B845AF">
        <w:rPr>
          <w:rFonts w:asciiTheme="minorHAnsi" w:hAnsiTheme="minorHAnsi" w:cstheme="minorHAnsi"/>
          <w:lang w:val="en-US"/>
        </w:rPr>
        <w:t>, the Phase 2 progress report on Project 127/127a, covering reconciliation and documentation of size data sources, enhancement of conversion factors, development of data exploration dashboards, and monitoring of sampling coverage</w:t>
      </w:r>
      <w:r w:rsidR="00495D1F" w:rsidRPr="00B845AF">
        <w:rPr>
          <w:rFonts w:asciiTheme="minorHAnsi" w:hAnsiTheme="minorHAnsi" w:cstheme="minorHAnsi"/>
          <w:lang w:val="en-US"/>
        </w:rPr>
        <w:t>.</w:t>
      </w:r>
      <w:r w:rsidR="00FF004E" w:rsidRPr="00B845AF">
        <w:rPr>
          <w:rFonts w:asciiTheme="minorHAnsi" w:hAnsiTheme="minorHAnsi" w:cstheme="minorHAnsi"/>
          <w:lang w:val="en-US"/>
        </w:rPr>
        <w:t xml:space="preserve"> </w:t>
      </w:r>
    </w:p>
    <w:p w14:paraId="7466EEA1" w14:textId="77777777" w:rsidR="001822DC" w:rsidRPr="00B845AF" w:rsidRDefault="001822DC" w:rsidP="001822DC">
      <w:pPr>
        <w:pStyle w:val="SCtext"/>
        <w:numPr>
          <w:ilvl w:val="0"/>
          <w:numId w:val="0"/>
        </w:numPr>
        <w:rPr>
          <w:rFonts w:asciiTheme="minorHAnsi" w:hAnsiTheme="minorHAnsi" w:cstheme="minorHAnsi"/>
          <w:lang w:val="en-US"/>
        </w:rPr>
      </w:pPr>
    </w:p>
    <w:p w14:paraId="5E6AECC9" w14:textId="77777777" w:rsidR="001822DC" w:rsidRPr="00B845AF" w:rsidRDefault="00FF004E"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By way of background, the SSP noted that size composition data is important for stock assessments but is drawn from more than 80 distinct size data source codes in SPC databases, with no consolidated documentation of collection procedures, methods, or quality, making it difficult to assess how much of the available data is of suitable quality. Related limitations included difficulty exploring how data sources change over space and time absent dedicated dashboards, a lack of supporting information in SciData submissions to track changes in sampling method or quality, the absence of monitoring for size data coverage relative to its relevance for stock assessment use, and a continuing need to improve conversion factors.</w:t>
      </w:r>
      <w:r w:rsidR="00495D1F" w:rsidRPr="00B845AF">
        <w:rPr>
          <w:rFonts w:asciiTheme="minorHAnsi" w:hAnsiTheme="minorHAnsi" w:cstheme="minorHAnsi"/>
          <w:lang w:val="en-US"/>
        </w:rPr>
        <w:t xml:space="preserve"> </w:t>
      </w:r>
      <w:r w:rsidR="00BA5230" w:rsidRPr="00B845AF">
        <w:rPr>
          <w:rFonts w:asciiTheme="minorHAnsi" w:hAnsiTheme="minorHAnsi" w:cstheme="minorHAnsi"/>
          <w:lang w:val="en-US"/>
        </w:rPr>
        <w:t xml:space="preserve"> </w:t>
      </w:r>
    </w:p>
    <w:p w14:paraId="024A5C45" w14:textId="77777777" w:rsidR="001822DC" w:rsidRPr="00B845AF" w:rsidRDefault="001822DC" w:rsidP="001822DC">
      <w:pPr>
        <w:pStyle w:val="SCtext"/>
        <w:numPr>
          <w:ilvl w:val="0"/>
          <w:numId w:val="0"/>
        </w:numPr>
        <w:ind w:left="720"/>
        <w:rPr>
          <w:rFonts w:asciiTheme="minorHAnsi" w:hAnsiTheme="minorHAnsi" w:cstheme="minorHAnsi"/>
          <w:lang w:val="en-US"/>
        </w:rPr>
      </w:pPr>
    </w:p>
    <w:p w14:paraId="31F49F12" w14:textId="77777777" w:rsidR="001822DC" w:rsidRPr="00B845AF" w:rsidRDefault="00FF004E"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On reconciliation and documentation, the SSP reported follow-up engagement with China, Korea, Chinese Taipei, Japan, Indonesia, Australia, USA-Hawai’i, New Zealand, and the Philippines, and presented updated size data source descriptions in Appendix Table 1 of the paper. A revised SciData submission information proforma was developed and tested with the CCMs that provide most of the aggregated SciData size data submissions; the SSP indicated the proforma requires SC22 review, comment, and a decision on whether to support its adoption, and that it is intended to be incorporated as a CSV version aligned with the new standardized SciData submission templates.</w:t>
      </w:r>
      <w:r w:rsidR="00BA5230" w:rsidRPr="00B845AF">
        <w:rPr>
          <w:rFonts w:asciiTheme="minorHAnsi" w:hAnsiTheme="minorHAnsi" w:cstheme="minorHAnsi"/>
          <w:lang w:val="en-US"/>
        </w:rPr>
        <w:t xml:space="preserve"> </w:t>
      </w:r>
      <w:r w:rsidRPr="00B845AF">
        <w:rPr>
          <w:rFonts w:asciiTheme="minorHAnsi" w:hAnsiTheme="minorHAnsi" w:cstheme="minorHAnsi"/>
          <w:lang w:val="en-US"/>
        </w:rPr>
        <w:t xml:space="preserve">On conversion factors, the SSP reported a new 12-month sampling contract implemented with the </w:t>
      </w:r>
      <w:proofErr w:type="spellStart"/>
      <w:r w:rsidRPr="00B845AF">
        <w:rPr>
          <w:rFonts w:asciiTheme="minorHAnsi" w:hAnsiTheme="minorHAnsi" w:cstheme="minorHAnsi"/>
          <w:lang w:val="en-US"/>
        </w:rPr>
        <w:t>Socsksargen</w:t>
      </w:r>
      <w:proofErr w:type="spellEnd"/>
      <w:r w:rsidRPr="00B845AF">
        <w:rPr>
          <w:rFonts w:asciiTheme="minorHAnsi" w:hAnsiTheme="minorHAnsi" w:cstheme="minorHAnsi"/>
          <w:lang w:val="en-US"/>
        </w:rPr>
        <w:t xml:space="preserve"> program in the Philippines, with sampling prioritizing partial length to fork length (UF) conversions, such as upper jaw to second dorsal fin measurements for tunas, to reduce reliance on more variable weight-to-length conversions in stock assessments. Processed weight (gilled-gutted) to whole weight conversion tables have also been updated, with further updates for bigeye still needed and additional data expected from the </w:t>
      </w:r>
      <w:proofErr w:type="spellStart"/>
      <w:r w:rsidRPr="00B845AF">
        <w:rPr>
          <w:rFonts w:asciiTheme="minorHAnsi" w:hAnsiTheme="minorHAnsi" w:cstheme="minorHAnsi"/>
          <w:lang w:val="en-US"/>
        </w:rPr>
        <w:t>Socsksargen</w:t>
      </w:r>
      <w:proofErr w:type="spellEnd"/>
      <w:r w:rsidRPr="00B845AF">
        <w:rPr>
          <w:rFonts w:asciiTheme="minorHAnsi" w:hAnsiTheme="minorHAnsi" w:cstheme="minorHAnsi"/>
          <w:lang w:val="en-US"/>
        </w:rPr>
        <w:t xml:space="preserve"> program.</w:t>
      </w:r>
      <w:r w:rsidR="00BA5230" w:rsidRPr="00B845AF">
        <w:rPr>
          <w:rFonts w:asciiTheme="minorHAnsi" w:hAnsiTheme="minorHAnsi" w:cstheme="minorHAnsi"/>
          <w:lang w:val="en-US"/>
        </w:rPr>
        <w:t xml:space="preserve"> </w:t>
      </w:r>
      <w:r w:rsidRPr="00B845AF">
        <w:rPr>
          <w:rFonts w:asciiTheme="minorHAnsi" w:hAnsiTheme="minorHAnsi" w:cstheme="minorHAnsi"/>
          <w:lang w:val="en-US"/>
        </w:rPr>
        <w:t xml:space="preserve">On data exploration tools, the SSP described an R Shiny dashboard, the “Composition Samples Explorer,” developed to help assessment scientists review available size data by processing raw data from the </w:t>
      </w:r>
      <w:proofErr w:type="spellStart"/>
      <w:r w:rsidRPr="00B845AF">
        <w:rPr>
          <w:rFonts w:asciiTheme="minorHAnsi" w:hAnsiTheme="minorHAnsi" w:cstheme="minorHAnsi"/>
          <w:lang w:val="en-US"/>
        </w:rPr>
        <w:t>LF_Master</w:t>
      </w:r>
      <w:proofErr w:type="spellEnd"/>
      <w:r w:rsidRPr="00B845AF">
        <w:rPr>
          <w:rFonts w:asciiTheme="minorHAnsi" w:hAnsiTheme="minorHAnsi" w:cstheme="minorHAnsi"/>
          <w:lang w:val="en-US"/>
        </w:rPr>
        <w:t xml:space="preserve"> and </w:t>
      </w:r>
      <w:proofErr w:type="spellStart"/>
      <w:r w:rsidRPr="00B845AF">
        <w:rPr>
          <w:rFonts w:asciiTheme="minorHAnsi" w:hAnsiTheme="minorHAnsi" w:cstheme="minorHAnsi"/>
          <w:lang w:val="en-US"/>
        </w:rPr>
        <w:t>WF_Master</w:t>
      </w:r>
      <w:proofErr w:type="spellEnd"/>
      <w:r w:rsidRPr="00B845AF">
        <w:rPr>
          <w:rFonts w:asciiTheme="minorHAnsi" w:hAnsiTheme="minorHAnsi" w:cstheme="minorHAnsi"/>
          <w:lang w:val="en-US"/>
        </w:rPr>
        <w:t xml:space="preserve"> databases into defined model fishery structures, with filtering and visualization of temporal coverage and sample availability by flag, fleet, and origin ID. A subsequent “Composition Frequency Explorer” is planned to map spatial and temporal trends in size compositions.</w:t>
      </w:r>
      <w:r w:rsidR="00BA5230" w:rsidRPr="00B845AF">
        <w:rPr>
          <w:rFonts w:asciiTheme="minorHAnsi" w:hAnsiTheme="minorHAnsi" w:cstheme="minorHAnsi"/>
          <w:lang w:val="en-US"/>
        </w:rPr>
        <w:t xml:space="preserve"> </w:t>
      </w:r>
      <w:r w:rsidRPr="00B845AF">
        <w:rPr>
          <w:rFonts w:asciiTheme="minorHAnsi" w:hAnsiTheme="minorHAnsi" w:cstheme="minorHAnsi"/>
          <w:lang w:val="en-US"/>
        </w:rPr>
        <w:t xml:space="preserve">On monitoring sampling coverage, the SSP noted that </w:t>
      </w:r>
      <w:r w:rsidRPr="00B845AF">
        <w:rPr>
          <w:rFonts w:asciiTheme="minorHAnsi" w:hAnsiTheme="minorHAnsi" w:cstheme="minorHAnsi"/>
          <w:lang w:val="en-US"/>
        </w:rPr>
        <w:lastRenderedPageBreak/>
        <w:t xml:space="preserve">ad hoc data collection has produced spatio-temporal patchiness, with some flags oversampling and others severely </w:t>
      </w:r>
      <w:proofErr w:type="spellStart"/>
      <w:r w:rsidRPr="00B845AF">
        <w:rPr>
          <w:rFonts w:asciiTheme="minorHAnsi" w:hAnsiTheme="minorHAnsi" w:cstheme="minorHAnsi"/>
          <w:lang w:val="en-US"/>
        </w:rPr>
        <w:t>undersampling</w:t>
      </w:r>
      <w:proofErr w:type="spellEnd"/>
      <w:r w:rsidRPr="00B845AF">
        <w:rPr>
          <w:rFonts w:asciiTheme="minorHAnsi" w:hAnsiTheme="minorHAnsi" w:cstheme="minorHAnsi"/>
          <w:lang w:val="en-US"/>
        </w:rPr>
        <w:t xml:space="preserve"> their catch. A prototype “traffic light” monitoring framework has been developed to track quarterly sampling coverage by flag against the percentage of catch taken, intended to help identify data gaps and focus CCM sampling effort; further work is proposed to establish objective, statistically based sampling targets for CCMs.</w:t>
      </w:r>
      <w:r w:rsidR="00BA5230" w:rsidRPr="00B845AF">
        <w:rPr>
          <w:rFonts w:asciiTheme="minorHAnsi" w:hAnsiTheme="minorHAnsi" w:cstheme="minorHAnsi"/>
          <w:lang w:val="en-US"/>
        </w:rPr>
        <w:t xml:space="preserve"> </w:t>
      </w:r>
    </w:p>
    <w:p w14:paraId="319B524F" w14:textId="77777777" w:rsidR="001822DC" w:rsidRPr="00B845AF" w:rsidRDefault="001822DC" w:rsidP="001822DC">
      <w:pPr>
        <w:pStyle w:val="SCtext"/>
        <w:numPr>
          <w:ilvl w:val="0"/>
          <w:numId w:val="0"/>
        </w:numPr>
        <w:ind w:left="720"/>
        <w:rPr>
          <w:rFonts w:asciiTheme="minorHAnsi" w:hAnsiTheme="minorHAnsi" w:cstheme="minorHAnsi"/>
          <w:lang w:val="en-US"/>
        </w:rPr>
      </w:pPr>
    </w:p>
    <w:p w14:paraId="3EBD8228" w14:textId="10874CD5" w:rsidR="00FF004E" w:rsidRPr="00B845AF" w:rsidRDefault="00FF004E"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presentation closed with four specific requests to the Scientific Committee: to consider and provide feedback on recommending adoption of the SciData size data submission information proforma for WCPFC23; to provide feedback on the development of flag- or fishery-specific size data sampling targets; to provide feedback on implementation of a five-year traffic light monitoring system to track sampling coverage against targets; and to note the ongoing work to refine conversion factors and size data exploration dashboards for the remainder of Project 127/127a.</w:t>
      </w:r>
    </w:p>
    <w:p w14:paraId="6CEDFC11" w14:textId="77777777" w:rsidR="00FF004E" w:rsidRPr="00B845AF" w:rsidRDefault="00FF004E" w:rsidP="00FF004E">
      <w:pPr>
        <w:pStyle w:val="SCtext"/>
        <w:numPr>
          <w:ilvl w:val="0"/>
          <w:numId w:val="0"/>
        </w:numPr>
        <w:rPr>
          <w:rFonts w:asciiTheme="minorHAnsi" w:hAnsiTheme="minorHAnsi" w:cstheme="minorHAnsi"/>
          <w:lang w:val="en-US"/>
        </w:rPr>
      </w:pPr>
    </w:p>
    <w:p w14:paraId="00152877" w14:textId="012850E5" w:rsidR="00E008B7" w:rsidRPr="00B845AF" w:rsidRDefault="00B9467F" w:rsidP="00C22EAD">
      <w:pPr>
        <w:pStyle w:val="SCDR"/>
        <w:rPr>
          <w:rFonts w:asciiTheme="minorHAnsi" w:hAnsiTheme="minorHAnsi" w:cstheme="minorHAnsi"/>
          <w:lang w:eastAsia="ko-KR"/>
        </w:rPr>
      </w:pPr>
      <w:r w:rsidRPr="00B845AF">
        <w:rPr>
          <w:rFonts w:asciiTheme="minorHAnsi" w:hAnsiTheme="minorHAnsi" w:cstheme="minorHAnsi"/>
          <w:lang w:eastAsia="ko-KR"/>
        </w:rPr>
        <w:t>Discussion</w:t>
      </w:r>
    </w:p>
    <w:p w14:paraId="0BA40784" w14:textId="1EC49F6C" w:rsidR="003D4F13" w:rsidRPr="00B845AF" w:rsidRDefault="00896ADB">
      <w:pPr>
        <w:pStyle w:val="SCtext"/>
        <w:rPr>
          <w:rFonts w:asciiTheme="minorHAnsi" w:hAnsiTheme="minorHAnsi" w:cstheme="minorHAnsi"/>
          <w:lang w:val="en-US"/>
        </w:rPr>
      </w:pPr>
      <w:r w:rsidRPr="00B845AF">
        <w:rPr>
          <w:rFonts w:asciiTheme="minorHAnsi" w:hAnsiTheme="minorHAnsi" w:cstheme="minorHAnsi"/>
          <w:lang w:val="en-US"/>
        </w:rPr>
        <w:t>The USA supported the paper’s recommendation to add the proposed SciData submission information proforma to the SciData process, and supported development of fishery-specific size data sampling targets by species, gear, and fishery area using a simple traffic light system.</w:t>
      </w:r>
    </w:p>
    <w:p w14:paraId="7824C0AE" w14:textId="77777777" w:rsidR="00896ADB" w:rsidRPr="00B845AF" w:rsidRDefault="00896ADB" w:rsidP="00896ADB">
      <w:pPr>
        <w:pStyle w:val="SCtext"/>
        <w:numPr>
          <w:ilvl w:val="0"/>
          <w:numId w:val="0"/>
        </w:numPr>
        <w:rPr>
          <w:rFonts w:asciiTheme="minorHAnsi" w:hAnsiTheme="minorHAnsi" w:cstheme="minorHAnsi"/>
          <w:lang w:val="en-US"/>
        </w:rPr>
      </w:pPr>
    </w:p>
    <w:p w14:paraId="435B4075" w14:textId="448A99D0" w:rsidR="00896ADB" w:rsidRPr="00B845AF" w:rsidRDefault="00896ADB">
      <w:pPr>
        <w:pStyle w:val="SCtext"/>
        <w:rPr>
          <w:rFonts w:asciiTheme="minorHAnsi" w:hAnsiTheme="minorHAnsi" w:cstheme="minorHAnsi"/>
          <w:lang w:val="en-US"/>
        </w:rPr>
      </w:pPr>
      <w:r w:rsidRPr="00B845AF">
        <w:rPr>
          <w:rFonts w:asciiTheme="minorHAnsi" w:hAnsiTheme="minorHAnsi" w:cstheme="minorHAnsi"/>
          <w:lang w:val="en-US"/>
        </w:rPr>
        <w:t xml:space="preserve">Korea, expressing gratitude to Samoa for its hospitality, supported the proposed information proforma, stating that consistent information on data sources and sampling methods would improve the transparency and comparability of size data used in stock assessments, and considered the proposed format practical to implement. Korea also supported further development of the traffic light system to identify data coverage </w:t>
      </w:r>
      <w:r w:rsidR="00F14811" w:rsidRPr="00B845AF">
        <w:rPr>
          <w:rFonts w:asciiTheme="minorHAnsi" w:hAnsiTheme="minorHAnsi" w:cstheme="minorHAnsi"/>
          <w:lang w:val="en-US"/>
        </w:rPr>
        <w:t>gaps but</w:t>
      </w:r>
      <w:r w:rsidRPr="00B845AF">
        <w:rPr>
          <w:rFonts w:asciiTheme="minorHAnsi" w:hAnsiTheme="minorHAnsi" w:cstheme="minorHAnsi"/>
          <w:lang w:val="en-US"/>
        </w:rPr>
        <w:t xml:space="preserve"> stated that the current thresholds are illustrative and should be developed on a statistical basis that accounts for differences in catch level, species, gear, and fishery, and noted the system should consider not only sample numbers but also their representativeness and quality.</w:t>
      </w:r>
    </w:p>
    <w:p w14:paraId="105F71FA" w14:textId="77777777" w:rsidR="00896ADB" w:rsidRPr="00B845AF" w:rsidRDefault="00896ADB" w:rsidP="00896ADB">
      <w:pPr>
        <w:pStyle w:val="SCtext"/>
        <w:numPr>
          <w:ilvl w:val="0"/>
          <w:numId w:val="0"/>
        </w:numPr>
        <w:rPr>
          <w:rFonts w:asciiTheme="minorHAnsi" w:hAnsiTheme="minorHAnsi" w:cstheme="minorHAnsi"/>
          <w:lang w:val="en-US"/>
        </w:rPr>
      </w:pPr>
    </w:p>
    <w:p w14:paraId="59383EF0" w14:textId="09300A3C" w:rsidR="00896ADB" w:rsidRPr="00B845AF" w:rsidRDefault="004A7107">
      <w:pPr>
        <w:pStyle w:val="SCtext"/>
        <w:rPr>
          <w:rFonts w:asciiTheme="minorHAnsi" w:hAnsiTheme="minorHAnsi" w:cstheme="minorHAnsi"/>
          <w:lang w:val="en-US"/>
        </w:rPr>
      </w:pPr>
      <w:r w:rsidRPr="00B845AF">
        <w:rPr>
          <w:rFonts w:asciiTheme="minorHAnsi" w:hAnsiTheme="minorHAnsi" w:cstheme="minorHAnsi"/>
          <w:lang w:val="en-US"/>
        </w:rPr>
        <w:t>RMI</w:t>
      </w:r>
      <w:r w:rsidR="00896ADB" w:rsidRPr="00B845AF">
        <w:rPr>
          <w:rFonts w:asciiTheme="minorHAnsi" w:hAnsiTheme="minorHAnsi" w:cstheme="minorHAnsi"/>
          <w:lang w:val="en-US"/>
        </w:rPr>
        <w:t xml:space="preserve">, on behalf of the FFA members, thanked Samoa for its hospitality and thanked the SSP for the paper and presentation. The FFA members supported, in principle, adoption of the aggregate size data supporting information proforma at WCPFC23, and supported testing of statistically based sampling targets and the five-year traffic light </w:t>
      </w:r>
      <w:r w:rsidR="00F14811" w:rsidRPr="00B845AF">
        <w:rPr>
          <w:rFonts w:asciiTheme="minorHAnsi" w:hAnsiTheme="minorHAnsi" w:cstheme="minorHAnsi"/>
          <w:lang w:val="en-US"/>
        </w:rPr>
        <w:t>framework but</w:t>
      </w:r>
      <w:r w:rsidR="00896ADB" w:rsidRPr="00B845AF">
        <w:rPr>
          <w:rFonts w:asciiTheme="minorHAnsi" w:hAnsiTheme="minorHAnsi" w:cstheme="minorHAnsi"/>
          <w:lang w:val="en-US"/>
        </w:rPr>
        <w:t xml:space="preserve"> stated that demonstration thresholds should not become formal targets or be used as a compliance scorecard. The FFA members stated that any framework should be tailored to species, gear, fishery, and area, and should account for data quality and representativeness. The FFA members raised concern that the various data sources and tools are not sufficiently </w:t>
      </w:r>
      <w:r w:rsidR="00F14811" w:rsidRPr="00B845AF">
        <w:rPr>
          <w:rFonts w:asciiTheme="minorHAnsi" w:hAnsiTheme="minorHAnsi" w:cstheme="minorHAnsi"/>
          <w:lang w:val="en-US"/>
        </w:rPr>
        <w:t>coordinated and</w:t>
      </w:r>
      <w:r w:rsidR="00896ADB" w:rsidRPr="00B845AF">
        <w:rPr>
          <w:rFonts w:asciiTheme="minorHAnsi" w:hAnsiTheme="minorHAnsi" w:cstheme="minorHAnsi"/>
          <w:lang w:val="en-US"/>
        </w:rPr>
        <w:t xml:space="preserve"> stated that future work should explain how these would be brought together under an overall monitoring strategy, including how gaps would be identified and how results would support monitoring and decision-making. The FFA members asked the SSP how the different data sources and project outputs will be integrated into a coordinated monitoring strategy to support effective and equitable implementation. The FFA members emphasized that this work should be progressed consistently with Article 30, that implications of any new requirements for the Catch Documentation Scheme (CDS) should be assessed at an early stage, and that where disproportionate burdens are identified these should be addressed through appropriate funding, technical assistance, use of existing regional systems, and, where necessary, phased implementation or adjustment of requirements.</w:t>
      </w:r>
    </w:p>
    <w:p w14:paraId="6CAE6405" w14:textId="77777777" w:rsidR="00896ADB" w:rsidRPr="00B845AF" w:rsidRDefault="00896ADB" w:rsidP="00896ADB">
      <w:pPr>
        <w:pStyle w:val="SCtext"/>
        <w:numPr>
          <w:ilvl w:val="0"/>
          <w:numId w:val="0"/>
        </w:numPr>
        <w:rPr>
          <w:rFonts w:asciiTheme="minorHAnsi" w:hAnsiTheme="minorHAnsi" w:cstheme="minorHAnsi"/>
          <w:lang w:val="en-US"/>
        </w:rPr>
      </w:pPr>
    </w:p>
    <w:p w14:paraId="4CFECC24" w14:textId="24FB7E43" w:rsidR="00896ADB" w:rsidRPr="00B845AF" w:rsidRDefault="00896ADB">
      <w:pPr>
        <w:pStyle w:val="SCtext"/>
        <w:rPr>
          <w:rFonts w:asciiTheme="minorHAnsi" w:hAnsiTheme="minorHAnsi" w:cstheme="minorHAnsi"/>
          <w:lang w:val="en-US"/>
        </w:rPr>
      </w:pPr>
      <w:r w:rsidRPr="00B845AF">
        <w:rPr>
          <w:rFonts w:asciiTheme="minorHAnsi" w:hAnsiTheme="minorHAnsi" w:cstheme="minorHAnsi"/>
          <w:lang w:val="en-US"/>
        </w:rPr>
        <w:t xml:space="preserve">The SSP responded, </w:t>
      </w:r>
      <w:r w:rsidR="00F14811" w:rsidRPr="00B845AF">
        <w:rPr>
          <w:rFonts w:asciiTheme="minorHAnsi" w:hAnsiTheme="minorHAnsi" w:cstheme="minorHAnsi"/>
          <w:lang w:val="en-US"/>
        </w:rPr>
        <w:t>agreeing that</w:t>
      </w:r>
      <w:r w:rsidRPr="00B845AF">
        <w:rPr>
          <w:rFonts w:asciiTheme="minorHAnsi" w:hAnsiTheme="minorHAnsi" w:cstheme="minorHAnsi"/>
          <w:lang w:val="en-US"/>
        </w:rPr>
        <w:t xml:space="preserve"> the traffic light thresholds are not intended to serve a compliance role, characterizing them instead as aspirational benchmarks intended to improve transparency about desired data levels and support more robust analysis. The SSP agreed with Korea that </w:t>
      </w:r>
      <w:r w:rsidRPr="00B845AF">
        <w:rPr>
          <w:rFonts w:asciiTheme="minorHAnsi" w:hAnsiTheme="minorHAnsi" w:cstheme="minorHAnsi"/>
          <w:lang w:val="en-US"/>
        </w:rPr>
        <w:lastRenderedPageBreak/>
        <w:t xml:space="preserve">a proper statistical basis and further consideration is needed to develop the targets, describing the current approach as a preliminary prototype, and noted the framework’s purpose is general, extending beyond the SSP’s own stock assessment perspective, including identifying both </w:t>
      </w:r>
      <w:proofErr w:type="spellStart"/>
      <w:r w:rsidRPr="00B845AF">
        <w:rPr>
          <w:rFonts w:asciiTheme="minorHAnsi" w:hAnsiTheme="minorHAnsi" w:cstheme="minorHAnsi"/>
          <w:lang w:val="en-US"/>
        </w:rPr>
        <w:t>undersampling</w:t>
      </w:r>
      <w:proofErr w:type="spellEnd"/>
      <w:r w:rsidRPr="00B845AF">
        <w:rPr>
          <w:rFonts w:asciiTheme="minorHAnsi" w:hAnsiTheme="minorHAnsi" w:cstheme="minorHAnsi"/>
          <w:lang w:val="en-US"/>
        </w:rPr>
        <w:t xml:space="preserve"> and oversampling so that resources could be redirected to other data needs. On the FFA members’ question regarding coordination of tools and dashboards, the SSP agreed this was a good point, noted that dashboards developed to date have primarily been for internal use, and stated it was time to discuss with T. Vidal and her team the development of more integrated systems for exploring size data, noting size data is currently less readily explorable than catch and effort data.</w:t>
      </w:r>
    </w:p>
    <w:p w14:paraId="47C8E607" w14:textId="77777777" w:rsidR="003D4F13" w:rsidRPr="00B845AF" w:rsidRDefault="003D4F13" w:rsidP="003D4F13">
      <w:pPr>
        <w:pStyle w:val="ListParagraph"/>
        <w:widowControl w:val="0"/>
        <w:kinsoku w:val="0"/>
        <w:overflowPunct w:val="0"/>
        <w:autoSpaceDE w:val="0"/>
        <w:autoSpaceDN w:val="0"/>
        <w:adjustRightInd w:val="0"/>
        <w:snapToGrid w:val="0"/>
        <w:ind w:left="0"/>
        <w:jc w:val="both"/>
        <w:rPr>
          <w:rFonts w:asciiTheme="minorHAnsi" w:hAnsiTheme="minorHAnsi" w:cstheme="minorHAnsi"/>
          <w:b/>
          <w:bCs/>
        </w:rPr>
      </w:pPr>
    </w:p>
    <w:p w14:paraId="334C769F" w14:textId="042F8C3B" w:rsidR="00063859" w:rsidRPr="00B845AF" w:rsidRDefault="00BF0C45" w:rsidP="00E5403C">
      <w:pPr>
        <w:pStyle w:val="SCDR"/>
        <w:rPr>
          <w:rFonts w:asciiTheme="minorHAnsi" w:hAnsiTheme="minorHAnsi" w:cstheme="minorHAnsi"/>
        </w:rPr>
      </w:pPr>
      <w:r w:rsidRPr="00B845AF">
        <w:rPr>
          <w:rFonts w:asciiTheme="minorHAnsi" w:hAnsiTheme="minorHAnsi" w:cstheme="minorHAnsi"/>
        </w:rPr>
        <w:t>Outcomes</w:t>
      </w:r>
    </w:p>
    <w:p w14:paraId="7DB7F90D" w14:textId="30493399" w:rsidR="00C125C3" w:rsidRPr="00B845AF" w:rsidRDefault="003739FE">
      <w:pPr>
        <w:pStyle w:val="SCtext"/>
        <w:rPr>
          <w:rFonts w:asciiTheme="minorHAnsi" w:hAnsiTheme="minorHAnsi" w:cstheme="minorHAnsi"/>
          <w:b/>
          <w:bCs/>
          <w:lang w:val="en-US"/>
        </w:rPr>
      </w:pPr>
      <w:r w:rsidRPr="00B845AF">
        <w:rPr>
          <w:rFonts w:asciiTheme="minorHAnsi" w:hAnsiTheme="minorHAnsi" w:cstheme="minorHAnsi"/>
          <w:b/>
          <w:bCs/>
          <w:lang w:val="en-US"/>
        </w:rPr>
        <w:t>SC22 recommended WCPFC23 include the size data submission information proforma as part of the scientific data submission process, and recommended WCPFC23 revise the “Scientific Data to be Provided by the Commission (SciData)” as detailed in Attachment 1 of the Summary Report of ISG02 on Scientific Data Provisions under size composition data.</w:t>
      </w:r>
    </w:p>
    <w:p w14:paraId="0633D261" w14:textId="77777777" w:rsidR="00C6229F" w:rsidRPr="00B845AF" w:rsidRDefault="00C6229F" w:rsidP="00C6229F">
      <w:pPr>
        <w:pStyle w:val="SCtext"/>
        <w:numPr>
          <w:ilvl w:val="0"/>
          <w:numId w:val="0"/>
        </w:numPr>
        <w:rPr>
          <w:rFonts w:asciiTheme="minorHAnsi" w:hAnsiTheme="minorHAnsi" w:cstheme="minorHAnsi"/>
          <w:b/>
          <w:bCs/>
          <w:lang w:val="en-US"/>
        </w:rPr>
      </w:pPr>
    </w:p>
    <w:p w14:paraId="065FC07B" w14:textId="4EDC7871" w:rsidR="00C6229F" w:rsidRPr="00B845AF" w:rsidRDefault="003739FE">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 xml:space="preserve">SC22 requested the SSP to develop </w:t>
      </w:r>
      <w:r w:rsidR="00D41B0D" w:rsidRPr="00B845AF">
        <w:rPr>
          <w:rFonts w:asciiTheme="minorHAnsi" w:eastAsia="MS Mincho" w:hAnsiTheme="minorHAnsi" w:cstheme="minorHAnsi"/>
          <w:b/>
          <w:bCs/>
          <w:lang w:val="en-US" w:eastAsia="ja-JP"/>
        </w:rPr>
        <w:t xml:space="preserve">flag- </w:t>
      </w:r>
      <w:r w:rsidRPr="00B845AF">
        <w:rPr>
          <w:rFonts w:asciiTheme="minorHAnsi" w:eastAsia="MS Mincho" w:hAnsiTheme="minorHAnsi" w:cstheme="minorHAnsi"/>
          <w:b/>
          <w:bCs/>
          <w:lang w:val="en-US" w:eastAsia="ja-JP"/>
        </w:rPr>
        <w:t xml:space="preserve">or </w:t>
      </w:r>
      <w:r w:rsidR="00D41B0D" w:rsidRPr="00B845AF">
        <w:rPr>
          <w:rFonts w:asciiTheme="minorHAnsi" w:eastAsia="MS Mincho" w:hAnsiTheme="minorHAnsi" w:cstheme="minorHAnsi"/>
          <w:b/>
          <w:bCs/>
          <w:lang w:val="en-US" w:eastAsia="ja-JP"/>
        </w:rPr>
        <w:t>fishery-specific</w:t>
      </w:r>
      <w:r w:rsidRPr="00B845AF">
        <w:rPr>
          <w:rFonts w:asciiTheme="minorHAnsi" w:eastAsia="MS Mincho" w:hAnsiTheme="minorHAnsi" w:cstheme="minorHAnsi"/>
          <w:b/>
          <w:bCs/>
          <w:lang w:val="en-US" w:eastAsia="ja-JP"/>
        </w:rPr>
        <w:t xml:space="preserve"> size data sampling targets by species, gears and fishery areas, using a traffic light framework to facilitate identification of future opportunities for targeted size sampling, taking into account catch levels, data quality and representativeness, and ensuring that any illustrative thresholds are not used for compliance purposes.</w:t>
      </w:r>
    </w:p>
    <w:p w14:paraId="25AE5AFF" w14:textId="47607889" w:rsidR="00C112E4" w:rsidRPr="00B845AF" w:rsidRDefault="00C112E4" w:rsidP="003D4F13">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eastAsia="ko-KR"/>
        </w:rPr>
      </w:pPr>
    </w:p>
    <w:p w14:paraId="7EECB31F" w14:textId="7C822A8E" w:rsidR="0035342F" w:rsidRPr="00B845AF" w:rsidRDefault="0035342F">
      <w:pPr>
        <w:pStyle w:val="SC3"/>
        <w:rPr>
          <w:rStyle w:val="Strong"/>
          <w:rFonts w:asciiTheme="minorHAnsi" w:eastAsiaTheme="minorEastAsia" w:hAnsiTheme="minorHAnsi" w:cstheme="minorHAnsi"/>
          <w:b/>
          <w:bCs w:val="0"/>
        </w:rPr>
      </w:pPr>
      <w:bookmarkStart w:id="23" w:name="_Hlk206696954"/>
      <w:r w:rsidRPr="00B845AF">
        <w:rPr>
          <w:rFonts w:asciiTheme="minorHAnsi" w:hAnsiTheme="minorHAnsi" w:cstheme="minorHAnsi"/>
        </w:rPr>
        <w:t>Improv</w:t>
      </w:r>
      <w:bookmarkEnd w:id="23"/>
      <w:r w:rsidR="004B1B67" w:rsidRPr="00B845AF">
        <w:rPr>
          <w:rFonts w:asciiTheme="minorHAnsi" w:hAnsiTheme="minorHAnsi" w:cstheme="minorHAnsi"/>
        </w:rPr>
        <w:t>ed coverage of cannery receipt data (Project 114)</w:t>
      </w:r>
    </w:p>
    <w:p w14:paraId="5D5A3F70" w14:textId="52C0883D" w:rsidR="003A1FC9" w:rsidRPr="00B845AF" w:rsidRDefault="00C8324D">
      <w:pPr>
        <w:pStyle w:val="SCtext"/>
        <w:rPr>
          <w:rStyle w:val="Strong"/>
          <w:rFonts w:asciiTheme="minorHAnsi" w:hAnsiTheme="minorHAnsi" w:cstheme="minorHAnsi"/>
          <w:b w:val="0"/>
          <w:bCs w:val="0"/>
          <w:lang w:val="en-US"/>
        </w:rPr>
      </w:pPr>
      <w:r w:rsidRPr="00B845AF">
        <w:rPr>
          <w:rStyle w:val="Strong"/>
          <w:rFonts w:asciiTheme="minorHAnsi" w:hAnsiTheme="minorHAnsi" w:cstheme="minorHAnsi"/>
          <w:b w:val="0"/>
          <w:bCs w:val="0"/>
          <w:lang w:val="en-US"/>
        </w:rPr>
        <w:t xml:space="preserve">The </w:t>
      </w:r>
      <w:r w:rsidR="00BD5A29" w:rsidRPr="00B845AF">
        <w:rPr>
          <w:rStyle w:val="Strong"/>
          <w:rFonts w:asciiTheme="minorHAnsi" w:hAnsiTheme="minorHAnsi" w:cstheme="minorHAnsi"/>
          <w:b w:val="0"/>
          <w:bCs w:val="0"/>
          <w:lang w:val="en-US"/>
        </w:rPr>
        <w:t>theme c</w:t>
      </w:r>
      <w:r w:rsidRPr="00B845AF">
        <w:rPr>
          <w:rStyle w:val="Strong"/>
          <w:rFonts w:asciiTheme="minorHAnsi" w:hAnsiTheme="minorHAnsi" w:cstheme="minorHAnsi"/>
          <w:b w:val="0"/>
          <w:bCs w:val="0"/>
          <w:lang w:val="en-US"/>
        </w:rPr>
        <w:t>onvener noted the project was included in the SC22 ODF.</w:t>
      </w:r>
    </w:p>
    <w:p w14:paraId="3F376F84" w14:textId="77777777" w:rsidR="00A03B09" w:rsidRPr="00B845AF" w:rsidRDefault="00A03B09" w:rsidP="00A03B09">
      <w:pPr>
        <w:pStyle w:val="SCtext"/>
        <w:numPr>
          <w:ilvl w:val="0"/>
          <w:numId w:val="0"/>
        </w:numPr>
        <w:rPr>
          <w:rStyle w:val="Strong"/>
          <w:rFonts w:asciiTheme="minorHAnsi" w:hAnsiTheme="minorHAnsi" w:cstheme="minorHAnsi"/>
          <w:b w:val="0"/>
          <w:bCs w:val="0"/>
          <w:lang w:val="en-US"/>
        </w:rPr>
      </w:pPr>
    </w:p>
    <w:p w14:paraId="6D7B643C" w14:textId="3AB789D8" w:rsidR="003A1FC9" w:rsidRPr="00B845AF" w:rsidRDefault="003A1FC9">
      <w:pPr>
        <w:pStyle w:val="SCtext"/>
        <w:rPr>
          <w:rStyle w:val="Strong"/>
          <w:rFonts w:asciiTheme="minorHAnsi" w:hAnsiTheme="minorHAnsi" w:cstheme="minorHAnsi"/>
          <w:b w:val="0"/>
          <w:bCs w:val="0"/>
          <w:lang w:val="en-US"/>
        </w:rPr>
      </w:pPr>
      <w:r w:rsidRPr="00B845AF">
        <w:rPr>
          <w:rStyle w:val="Strong"/>
          <w:rFonts w:asciiTheme="minorHAnsi" w:eastAsia="MS Mincho" w:hAnsiTheme="minorHAnsi" w:cstheme="minorHAnsi"/>
          <w:b w:val="0"/>
          <w:bCs w:val="0"/>
          <w:lang w:val="en-US" w:eastAsia="ja-JP"/>
        </w:rPr>
        <w:t xml:space="preserve">ISG11 met on Tuesday, 18 August 2026 to discuss Project 114. The full ISG11 report can be found in </w:t>
      </w:r>
      <w:r w:rsidRPr="00B845AF">
        <w:rPr>
          <w:rStyle w:val="Strong"/>
          <w:rFonts w:asciiTheme="minorHAnsi" w:eastAsia="MS Mincho" w:hAnsiTheme="minorHAnsi" w:cstheme="minorHAnsi"/>
          <w:lang w:val="en-US" w:eastAsia="ja-JP"/>
        </w:rPr>
        <w:t xml:space="preserve">Attachment </w:t>
      </w:r>
      <w:r w:rsidR="00E20167" w:rsidRPr="00B845AF">
        <w:rPr>
          <w:rStyle w:val="Strong"/>
          <w:rFonts w:asciiTheme="minorHAnsi" w:eastAsia="MS Mincho" w:hAnsiTheme="minorHAnsi" w:cstheme="minorHAnsi"/>
          <w:lang w:val="en-US" w:eastAsia="ja-JP"/>
        </w:rPr>
        <w:t>G</w:t>
      </w:r>
      <w:r w:rsidRPr="00B845AF">
        <w:rPr>
          <w:rStyle w:val="Strong"/>
          <w:rFonts w:asciiTheme="minorHAnsi" w:eastAsia="MS Mincho" w:hAnsiTheme="minorHAnsi" w:cstheme="minorHAnsi"/>
          <w:b w:val="0"/>
          <w:bCs w:val="0"/>
          <w:lang w:val="en-US" w:eastAsia="ja-JP"/>
        </w:rPr>
        <w:t>.</w:t>
      </w:r>
    </w:p>
    <w:p w14:paraId="4D8021EE" w14:textId="47A292D5" w:rsidR="00281B72" w:rsidRPr="00B845AF" w:rsidRDefault="00281B72" w:rsidP="00281B72">
      <w:pPr>
        <w:pStyle w:val="SCtext"/>
        <w:numPr>
          <w:ilvl w:val="0"/>
          <w:numId w:val="0"/>
        </w:numPr>
        <w:rPr>
          <w:rStyle w:val="Strong"/>
          <w:rFonts w:asciiTheme="minorHAnsi" w:eastAsia="MS Mincho" w:hAnsiTheme="minorHAnsi" w:cstheme="minorHAnsi"/>
          <w:b w:val="0"/>
          <w:bCs w:val="0"/>
          <w:lang w:val="en-US" w:eastAsia="ja-JP"/>
        </w:rPr>
      </w:pPr>
    </w:p>
    <w:p w14:paraId="42E7DA62" w14:textId="24061A8B" w:rsidR="00281B72" w:rsidRPr="00B845AF" w:rsidRDefault="00281B72" w:rsidP="00281B72">
      <w:pPr>
        <w:pStyle w:val="SCDR"/>
        <w:rPr>
          <w:rStyle w:val="Strong"/>
          <w:rFonts w:asciiTheme="minorHAnsi" w:eastAsia="MS Mincho" w:hAnsiTheme="minorHAnsi" w:cstheme="minorHAnsi"/>
          <w:b/>
          <w:bCs w:val="0"/>
          <w:lang w:eastAsia="ja-JP"/>
        </w:rPr>
      </w:pPr>
      <w:r w:rsidRPr="00B845AF">
        <w:rPr>
          <w:rStyle w:val="Strong"/>
          <w:rFonts w:asciiTheme="minorHAnsi" w:eastAsia="MS Mincho" w:hAnsiTheme="minorHAnsi" w:cstheme="minorHAnsi"/>
          <w:b/>
          <w:bCs w:val="0"/>
          <w:lang w:eastAsia="ja-JP"/>
        </w:rPr>
        <w:t>Outcome</w:t>
      </w:r>
    </w:p>
    <w:p w14:paraId="7994C490" w14:textId="604744BD" w:rsidR="00281B72" w:rsidRPr="00B845AF" w:rsidRDefault="00A03B09">
      <w:pPr>
        <w:pStyle w:val="SCtext"/>
        <w:rPr>
          <w:rStyle w:val="Strong"/>
          <w:rFonts w:asciiTheme="minorHAnsi" w:hAnsiTheme="minorHAnsi" w:cstheme="minorHAnsi"/>
          <w:lang w:val="en-US"/>
        </w:rPr>
      </w:pPr>
      <w:r w:rsidRPr="00B845AF">
        <w:rPr>
          <w:rStyle w:val="Strong"/>
          <w:rFonts w:asciiTheme="minorHAnsi" w:eastAsia="MS Mincho" w:hAnsiTheme="minorHAnsi" w:cstheme="minorHAnsi"/>
          <w:lang w:val="en-US" w:eastAsia="ja-JP"/>
        </w:rPr>
        <w:t xml:space="preserve">SC22 agreed to adopt the recommendations put forward by ISG11 (Attachment </w:t>
      </w:r>
      <w:r w:rsidR="00637170" w:rsidRPr="00B845AF">
        <w:rPr>
          <w:rStyle w:val="Strong"/>
          <w:rFonts w:asciiTheme="minorHAnsi" w:eastAsia="MS Mincho" w:hAnsiTheme="minorHAnsi" w:cstheme="minorHAnsi"/>
          <w:lang w:val="en-US" w:eastAsia="ja-JP"/>
        </w:rPr>
        <w:t>G</w:t>
      </w:r>
      <w:r w:rsidRPr="00B845AF">
        <w:rPr>
          <w:rStyle w:val="Strong"/>
          <w:rFonts w:asciiTheme="minorHAnsi" w:eastAsia="MS Mincho" w:hAnsiTheme="minorHAnsi" w:cstheme="minorHAnsi"/>
          <w:lang w:val="en-US" w:eastAsia="ja-JP"/>
        </w:rPr>
        <w:t>).</w:t>
      </w:r>
    </w:p>
    <w:p w14:paraId="2DAC96A3" w14:textId="77777777" w:rsidR="00684452" w:rsidRPr="00B845AF" w:rsidRDefault="00684452" w:rsidP="00D47778">
      <w:pPr>
        <w:numPr>
          <w:ilvl w:val="0"/>
          <w:numId w:val="33"/>
        </w:numPr>
        <w:spacing w:line="276" w:lineRule="auto"/>
        <w:ind w:left="1080"/>
        <w:rPr>
          <w:rFonts w:asciiTheme="minorHAnsi" w:hAnsiTheme="minorHAnsi" w:cstheme="minorHAnsi"/>
          <w:b/>
          <w:bCs/>
        </w:rPr>
      </w:pPr>
      <w:r w:rsidRPr="00B845AF">
        <w:rPr>
          <w:rFonts w:asciiTheme="minorHAnsi" w:hAnsiTheme="minorHAnsi" w:cstheme="minorHAnsi"/>
          <w:b/>
          <w:bCs/>
        </w:rPr>
        <w:t xml:space="preserve">SC22 recommended that the SSP convene a virtual workshop later in 2026 to discuss availability and status of cannery receipt data, develop methodologies to adjust logbook data using cannery receipt data, and discuss the possible pathways to integrate cannery data to support the scientific work of the Commission. </w:t>
      </w:r>
    </w:p>
    <w:p w14:paraId="511BC98D" w14:textId="77777777" w:rsidR="00684452" w:rsidRPr="00B845AF" w:rsidRDefault="00684452" w:rsidP="00D47778">
      <w:pPr>
        <w:numPr>
          <w:ilvl w:val="0"/>
          <w:numId w:val="33"/>
        </w:numPr>
        <w:spacing w:line="276" w:lineRule="auto"/>
        <w:ind w:left="1080"/>
        <w:rPr>
          <w:rFonts w:asciiTheme="minorHAnsi" w:hAnsiTheme="minorHAnsi" w:cstheme="minorHAnsi"/>
          <w:b/>
          <w:bCs/>
        </w:rPr>
      </w:pPr>
      <w:r w:rsidRPr="00B845AF">
        <w:rPr>
          <w:rFonts w:asciiTheme="minorHAnsi" w:hAnsiTheme="minorHAnsi" w:cstheme="minorHAnsi"/>
          <w:b/>
          <w:bCs/>
        </w:rPr>
        <w:t xml:space="preserve">SC22 recommended that the SSP work with relevant CCMs to summarise existing methodologies to apply cannery receipts to logbook data in advance of the virtual workshop. </w:t>
      </w:r>
    </w:p>
    <w:p w14:paraId="32100B01" w14:textId="77777777" w:rsidR="00684452" w:rsidRPr="00B845AF" w:rsidRDefault="00684452" w:rsidP="00D47778">
      <w:pPr>
        <w:numPr>
          <w:ilvl w:val="0"/>
          <w:numId w:val="33"/>
        </w:numPr>
        <w:spacing w:line="276" w:lineRule="auto"/>
        <w:ind w:left="1080"/>
        <w:rPr>
          <w:rFonts w:asciiTheme="minorHAnsi" w:hAnsiTheme="minorHAnsi" w:cstheme="minorHAnsi"/>
          <w:b/>
          <w:bCs/>
        </w:rPr>
      </w:pPr>
      <w:r w:rsidRPr="00B845AF">
        <w:rPr>
          <w:rFonts w:asciiTheme="minorHAnsi" w:hAnsiTheme="minorHAnsi" w:cstheme="minorHAnsi"/>
          <w:b/>
          <w:bCs/>
        </w:rPr>
        <w:t xml:space="preserve">SC22 supported a no-cost extension of Project 114 to the end of 2027, with final project reporting to SC23. </w:t>
      </w:r>
    </w:p>
    <w:p w14:paraId="03FDF2AD" w14:textId="77777777" w:rsidR="00C8324D" w:rsidRPr="00B845AF" w:rsidRDefault="00C8324D" w:rsidP="00C8324D">
      <w:pPr>
        <w:pStyle w:val="SCtext"/>
        <w:numPr>
          <w:ilvl w:val="0"/>
          <w:numId w:val="0"/>
        </w:numPr>
        <w:rPr>
          <w:rStyle w:val="Strong"/>
          <w:rFonts w:asciiTheme="minorHAnsi" w:eastAsia="MS Mincho" w:hAnsiTheme="minorHAnsi" w:cstheme="minorHAnsi"/>
          <w:b w:val="0"/>
          <w:bCs w:val="0"/>
          <w:lang w:val="en-US" w:eastAsia="ja-JP"/>
        </w:rPr>
      </w:pPr>
    </w:p>
    <w:p w14:paraId="7C762A8C" w14:textId="479309ED" w:rsidR="0035342F" w:rsidRPr="00B845AF" w:rsidRDefault="00605C22">
      <w:pPr>
        <w:pStyle w:val="SC3"/>
        <w:rPr>
          <w:rFonts w:asciiTheme="minorHAnsi" w:hAnsiTheme="minorHAnsi" w:cstheme="minorHAnsi"/>
          <w:sz w:val="24"/>
        </w:rPr>
      </w:pPr>
      <w:r w:rsidRPr="00B845AF">
        <w:rPr>
          <w:rFonts w:asciiTheme="minorHAnsi" w:hAnsiTheme="minorHAnsi" w:cstheme="minorHAnsi"/>
        </w:rPr>
        <w:t>Scientific data (SciData) submission standardization and data management improvements</w:t>
      </w:r>
    </w:p>
    <w:p w14:paraId="67A5E999" w14:textId="2B8BBE5C" w:rsidR="001822DC" w:rsidRPr="00B845AF" w:rsidRDefault="2248D006">
      <w:pPr>
        <w:pStyle w:val="SCtext"/>
        <w:rPr>
          <w:rFonts w:asciiTheme="minorHAnsi" w:hAnsiTheme="minorHAnsi" w:cstheme="minorHAnsi"/>
          <w:lang w:val="en-US"/>
        </w:rPr>
      </w:pPr>
      <w:r w:rsidRPr="00B845AF">
        <w:rPr>
          <w:rFonts w:asciiTheme="minorHAnsi" w:hAnsiTheme="minorHAnsi" w:cstheme="minorHAnsi"/>
          <w:lang w:val="en-US"/>
        </w:rPr>
        <w:t xml:space="preserve">T. Vidal presented </w:t>
      </w:r>
      <w:hyperlink r:id="rId26">
        <w:r w:rsidRPr="00B845AF">
          <w:rPr>
            <w:rStyle w:val="Hyperlink"/>
            <w:rFonts w:asciiTheme="minorHAnsi" w:hAnsiTheme="minorHAnsi" w:cstheme="minorHAnsi"/>
            <w:lang w:val="en-US"/>
          </w:rPr>
          <w:t>WCPFC-SC22-2026-ST-WP03</w:t>
        </w:r>
      </w:hyperlink>
      <w:r w:rsidRPr="00B845AF">
        <w:rPr>
          <w:rFonts w:asciiTheme="minorHAnsi" w:hAnsiTheme="minorHAnsi" w:cstheme="minorHAnsi"/>
          <w:lang w:val="en-US"/>
        </w:rPr>
        <w:t xml:space="preserve">, reporting on the first year of the SciData submission </w:t>
      </w:r>
      <w:r w:rsidR="00D41B0D" w:rsidRPr="00B845AF">
        <w:rPr>
          <w:rFonts w:asciiTheme="minorHAnsi" w:hAnsiTheme="minorHAnsi" w:cstheme="minorHAnsi"/>
          <w:lang w:val="en-US"/>
        </w:rPr>
        <w:t>web portal, the rationale for and details of the implemented changes, first-year</w:t>
      </w:r>
      <w:r w:rsidRPr="00B845AF">
        <w:rPr>
          <w:rFonts w:asciiTheme="minorHAnsi" w:hAnsiTheme="minorHAnsi" w:cstheme="minorHAnsi"/>
          <w:lang w:val="en-US"/>
        </w:rPr>
        <w:t xml:space="preserve"> performance results, member feedback, added data exchange benefits, and priorities for 2027. </w:t>
      </w:r>
    </w:p>
    <w:p w14:paraId="0044CAFE" w14:textId="77777777" w:rsidR="001822DC" w:rsidRPr="00B845AF" w:rsidRDefault="001822DC" w:rsidP="001822DC">
      <w:pPr>
        <w:pStyle w:val="SCtext"/>
        <w:numPr>
          <w:ilvl w:val="0"/>
          <w:numId w:val="0"/>
        </w:numPr>
        <w:rPr>
          <w:rFonts w:asciiTheme="minorHAnsi" w:hAnsiTheme="minorHAnsi" w:cstheme="minorHAnsi"/>
          <w:lang w:val="en-US"/>
        </w:rPr>
      </w:pPr>
    </w:p>
    <w:p w14:paraId="1F82E964" w14:textId="6575799C" w:rsidR="001822DC" w:rsidRPr="00B845AF" w:rsidRDefault="00C8324D"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lastRenderedPageBreak/>
        <w:t xml:space="preserve">On rationale, the SSP stated that timeliness of scientific results to SC has been a growing concern for several years, with data preparation identified as a key bottleneck. Prior to 2026, CCMs submitted data by email in a wide variety of formats, requiring the SSP to absorb a heavy, bespoke burden </w:t>
      </w:r>
      <w:r w:rsidR="00D41B0D" w:rsidRPr="00B845AF">
        <w:rPr>
          <w:rFonts w:asciiTheme="minorHAnsi" w:hAnsiTheme="minorHAnsi" w:cstheme="minorHAnsi"/>
          <w:lang w:val="en-US"/>
        </w:rPr>
        <w:t xml:space="preserve">of </w:t>
      </w:r>
      <w:r w:rsidRPr="00B845AF">
        <w:rPr>
          <w:rFonts w:asciiTheme="minorHAnsi" w:hAnsiTheme="minorHAnsi" w:cstheme="minorHAnsi"/>
          <w:lang w:val="en-US"/>
        </w:rPr>
        <w:t>reshaping each submission before quality review could begin, which left limited time for data-quality dialogue with members and less time for the scientific analysis SC relies on. In response, the Commission adopted standardized SciData submission templates intended to cut manual handling and speed up both data availability and data quality.</w:t>
      </w:r>
      <w:r w:rsidR="00BA5230" w:rsidRPr="00B845AF">
        <w:rPr>
          <w:rFonts w:asciiTheme="minorHAnsi" w:hAnsiTheme="minorHAnsi" w:cstheme="minorHAnsi"/>
          <w:lang w:val="en-US"/>
        </w:rPr>
        <w:t xml:space="preserve"> </w:t>
      </w:r>
      <w:r w:rsidRPr="00B845AF">
        <w:rPr>
          <w:rFonts w:asciiTheme="minorHAnsi" w:hAnsiTheme="minorHAnsi" w:cstheme="minorHAnsi"/>
          <w:lang w:val="en-US"/>
        </w:rPr>
        <w:t>On what was built, the SSP described a five-stage data pipeline replacing manual processing: technical documentation (a field-level specification on GitHub covering formats, allowed values, and reference tables); a Phase 1 Data Quality Assessment (DQA) via API, allowing CCMs to run automated checks locally before submitting; a secure web submission portal replacing email and providing full visibility; a Phase 2 DQA performing cross-file checks for referential integrity across trips, activities, and catch; and staged reporting tables producing consolidated data ready for SC</w:t>
      </w:r>
      <w:r w:rsidR="00745D69" w:rsidRPr="00B845AF">
        <w:rPr>
          <w:rFonts w:asciiTheme="minorHAnsi" w:hAnsiTheme="minorHAnsi" w:cstheme="minorHAnsi"/>
          <w:lang w:val="en-US"/>
        </w:rPr>
        <w:t>’</w:t>
      </w:r>
      <w:r w:rsidRPr="00B845AF">
        <w:rPr>
          <w:rFonts w:asciiTheme="minorHAnsi" w:hAnsiTheme="minorHAnsi" w:cstheme="minorHAnsi"/>
          <w:lang w:val="en-US"/>
        </w:rPr>
        <w:t>s scientific work. New elements this year included version-controlled documentation, automated validation, and a secure portal with a full data-submission registry.</w:t>
      </w:r>
      <w:r w:rsidR="00BA5230" w:rsidRPr="00B845AF">
        <w:rPr>
          <w:rFonts w:asciiTheme="minorHAnsi" w:hAnsiTheme="minorHAnsi" w:cstheme="minorHAnsi"/>
          <w:lang w:val="en-US"/>
        </w:rPr>
        <w:t xml:space="preserve"> </w:t>
      </w:r>
    </w:p>
    <w:p w14:paraId="4E8E8BA4" w14:textId="77777777" w:rsidR="001822DC" w:rsidRPr="00B845AF" w:rsidRDefault="001822DC" w:rsidP="001822DC">
      <w:pPr>
        <w:pStyle w:val="SCtext"/>
        <w:numPr>
          <w:ilvl w:val="0"/>
          <w:numId w:val="0"/>
        </w:numPr>
        <w:ind w:left="720"/>
        <w:rPr>
          <w:rFonts w:asciiTheme="minorHAnsi" w:hAnsiTheme="minorHAnsi" w:cstheme="minorHAnsi"/>
          <w:lang w:val="en-US"/>
        </w:rPr>
      </w:pPr>
    </w:p>
    <w:p w14:paraId="25B29371" w14:textId="77777777" w:rsidR="001822DC" w:rsidRPr="00B845AF" w:rsidRDefault="00745D69"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On first-year results, 32 CCMs submitted through the new portal, 46 percent of submissions required no edits after Phase 1 DQA, and the average time from first submission to final acceptance was 18 days, though this extended up to 70 days for some CCMs. ACE and logbook submissions took the longest to finalize and showed the most variability, while vessel numbers, size composition, and aggregated data submissions were completed earlier and more consistently. The SSP noted that members who reached out early, before the portal </w:t>
      </w:r>
      <w:proofErr w:type="gramStart"/>
      <w:r w:rsidRPr="00B845AF">
        <w:rPr>
          <w:rFonts w:asciiTheme="minorHAnsi" w:hAnsiTheme="minorHAnsi" w:cstheme="minorHAnsi"/>
          <w:lang w:val="en-US"/>
        </w:rPr>
        <w:t>launched,</w:t>
      </w:r>
      <w:proofErr w:type="gramEnd"/>
      <w:r w:rsidRPr="00B845AF">
        <w:rPr>
          <w:rFonts w:asciiTheme="minorHAnsi" w:hAnsiTheme="minorHAnsi" w:cstheme="minorHAnsi"/>
          <w:lang w:val="en-US"/>
        </w:rPr>
        <w:t xml:space="preserve"> finished sooner and required fewer revisions.</w:t>
      </w:r>
      <w:r w:rsidR="00C30FCD" w:rsidRPr="00B845AF">
        <w:rPr>
          <w:rFonts w:asciiTheme="minorHAnsi" w:hAnsiTheme="minorHAnsi" w:cstheme="minorHAnsi"/>
          <w:lang w:val="en-US"/>
        </w:rPr>
        <w:t xml:space="preserve"> </w:t>
      </w:r>
      <w:r w:rsidRPr="00B845AF">
        <w:rPr>
          <w:rFonts w:asciiTheme="minorHAnsi" w:hAnsiTheme="minorHAnsi" w:cstheme="minorHAnsi"/>
          <w:lang w:val="en-US"/>
        </w:rPr>
        <w:t>On member feedback, drawn from seven CCM survey responses, 86% rated the new process an improvement over email, all respondents reported improved SSP support and availability and a positive experience with portal data checks, and six of seven found the new templates helpful or very helpful. As a one-off cost, 29% found formatting harder under the new system, which respondents’ own comments characterized as a one-time transition cost of moving from a flexible to a standardized format rather than dissatisfaction with the new approach; members expect the process to ease as scripts and workflows become established and asked that future template changes be accompanied by ample advance notice.</w:t>
      </w:r>
      <w:r w:rsidR="00C30FCD" w:rsidRPr="00B845AF">
        <w:rPr>
          <w:rFonts w:asciiTheme="minorHAnsi" w:hAnsiTheme="minorHAnsi" w:cstheme="minorHAnsi"/>
          <w:lang w:val="en-US"/>
        </w:rPr>
        <w:t xml:space="preserve"> </w:t>
      </w:r>
      <w:r w:rsidRPr="00B845AF">
        <w:rPr>
          <w:rFonts w:asciiTheme="minorHAnsi" w:hAnsiTheme="minorHAnsi" w:cstheme="minorHAnsi"/>
          <w:lang w:val="en-US"/>
        </w:rPr>
        <w:t>On added benefits, the SSP noted enhanced data access for Part 1 Reports through R training workshops and T2 APIs, and semi-automated data exchange around compliance summaries, including the ability to query all CMM evaluations in a single request via API, enabling the Secretariat to process this data programmatically.</w:t>
      </w:r>
      <w:r w:rsidR="00C30FCD" w:rsidRPr="00B845AF">
        <w:rPr>
          <w:rFonts w:asciiTheme="minorHAnsi" w:hAnsiTheme="minorHAnsi" w:cstheme="minorHAnsi"/>
          <w:lang w:val="en-US"/>
        </w:rPr>
        <w:t xml:space="preserve"> </w:t>
      </w:r>
    </w:p>
    <w:p w14:paraId="7A08F68E" w14:textId="77777777" w:rsidR="001822DC" w:rsidRPr="00B845AF" w:rsidRDefault="001822DC" w:rsidP="001822DC">
      <w:pPr>
        <w:pStyle w:val="SCtext"/>
        <w:numPr>
          <w:ilvl w:val="0"/>
          <w:numId w:val="0"/>
        </w:numPr>
        <w:ind w:left="720"/>
        <w:rPr>
          <w:rFonts w:asciiTheme="minorHAnsi" w:hAnsiTheme="minorHAnsi" w:cstheme="minorHAnsi"/>
          <w:lang w:val="en-US"/>
        </w:rPr>
      </w:pPr>
    </w:p>
    <w:p w14:paraId="007BF0D6" w14:textId="4ECF1943" w:rsidR="00745D69" w:rsidRPr="00B845AF" w:rsidRDefault="00745D69" w:rsidP="001822DC">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On priorities for 2027, the SSP identified six focus areas: early engagement through pre-submission check-ins; streamlined review via auto-generated reports at each stage to reduce back-and-forth; a provisional data pipeline to enhance accessibility of data for Part 1 reporting and ease end-of-cycle pressure; enhanced validation rules, revisiting conditional and reference-table rules such as port codes that currently cause valid submissions to fail; clearer documentation and FAQs for ACE and logbook data, the two data types that took longest to finalize; and wider promotion of R-based validation tools to support review and visualization of data prior to submission.</w:t>
      </w:r>
    </w:p>
    <w:p w14:paraId="06505832" w14:textId="53543421" w:rsidR="00745D69" w:rsidRPr="00B845AF" w:rsidRDefault="00745D69" w:rsidP="00745D69">
      <w:pPr>
        <w:pStyle w:val="SCtext"/>
        <w:numPr>
          <w:ilvl w:val="0"/>
          <w:numId w:val="0"/>
        </w:numPr>
        <w:rPr>
          <w:rFonts w:asciiTheme="minorHAnsi" w:hAnsiTheme="minorHAnsi" w:cstheme="minorHAnsi"/>
          <w:lang w:val="en-US"/>
        </w:rPr>
      </w:pPr>
    </w:p>
    <w:p w14:paraId="0B411140" w14:textId="77777777" w:rsidR="00745D69" w:rsidRPr="00B845AF" w:rsidRDefault="00745D69" w:rsidP="00745D69">
      <w:pPr>
        <w:pStyle w:val="SCDR"/>
        <w:rPr>
          <w:rFonts w:asciiTheme="minorHAnsi" w:hAnsiTheme="minorHAnsi" w:cstheme="minorHAnsi"/>
          <w:lang w:eastAsia="ko-KR"/>
        </w:rPr>
      </w:pPr>
      <w:r w:rsidRPr="00B845AF">
        <w:rPr>
          <w:rFonts w:asciiTheme="minorHAnsi" w:hAnsiTheme="minorHAnsi" w:cstheme="minorHAnsi"/>
          <w:lang w:eastAsia="ko-KR"/>
        </w:rPr>
        <w:t>Discussion</w:t>
      </w:r>
    </w:p>
    <w:p w14:paraId="526D6EE2" w14:textId="54E8B2BB" w:rsidR="00745D69" w:rsidRPr="00B845AF" w:rsidRDefault="003E7FFC">
      <w:pPr>
        <w:pStyle w:val="SCtext"/>
        <w:rPr>
          <w:rFonts w:asciiTheme="minorHAnsi" w:hAnsiTheme="minorHAnsi" w:cstheme="minorHAnsi"/>
          <w:lang w:val="en-US"/>
        </w:rPr>
      </w:pPr>
      <w:r w:rsidRPr="00B845AF">
        <w:rPr>
          <w:rFonts w:asciiTheme="minorHAnsi" w:hAnsiTheme="minorHAnsi" w:cstheme="minorHAnsi"/>
          <w:lang w:val="en-US"/>
        </w:rPr>
        <w:t xml:space="preserve">Indonesia acknowledged the effort to improve scientific data submission through the WCPFC portal. Indonesia stated that the first submission trial had been difficult, but that close engagement with </w:t>
      </w:r>
      <w:r w:rsidRPr="00B845AF">
        <w:rPr>
          <w:rFonts w:asciiTheme="minorHAnsi" w:hAnsiTheme="minorHAnsi" w:cstheme="minorHAnsi"/>
          <w:lang w:val="en-US"/>
        </w:rPr>
        <w:lastRenderedPageBreak/>
        <w:t xml:space="preserve">the SSP had proven </w:t>
      </w:r>
      <w:proofErr w:type="gramStart"/>
      <w:r w:rsidRPr="00B845AF">
        <w:rPr>
          <w:rFonts w:asciiTheme="minorHAnsi" w:hAnsiTheme="minorHAnsi" w:cstheme="minorHAnsi"/>
          <w:lang w:val="en-US"/>
        </w:rPr>
        <w:t>helpful, and</w:t>
      </w:r>
      <w:proofErr w:type="gramEnd"/>
      <w:r w:rsidRPr="00B845AF">
        <w:rPr>
          <w:rFonts w:asciiTheme="minorHAnsi" w:hAnsiTheme="minorHAnsi" w:cstheme="minorHAnsi"/>
          <w:lang w:val="en-US"/>
        </w:rPr>
        <w:t xml:space="preserve"> encouraged continued improvement of this approach. Indonesia also expressed appreciation for the data gaps work undertaken jointly with the SSP on a more informative information paper, noting this point would more properly belong under the data gaps session but raising it here, and proposed further assistance to support the provision of scientific data in future, particularly regarding sharks.</w:t>
      </w:r>
    </w:p>
    <w:p w14:paraId="7E1D9156" w14:textId="77777777" w:rsidR="003E7FFC" w:rsidRPr="00B845AF" w:rsidRDefault="003E7FFC" w:rsidP="003E7FFC">
      <w:pPr>
        <w:pStyle w:val="SCtext"/>
        <w:numPr>
          <w:ilvl w:val="0"/>
          <w:numId w:val="0"/>
        </w:numPr>
        <w:rPr>
          <w:rFonts w:asciiTheme="minorHAnsi" w:hAnsiTheme="minorHAnsi" w:cstheme="minorHAnsi"/>
          <w:lang w:val="en-US"/>
        </w:rPr>
      </w:pPr>
    </w:p>
    <w:p w14:paraId="0E6F0A3E" w14:textId="266A805A" w:rsidR="003E7FFC" w:rsidRPr="00B845AF" w:rsidRDefault="003E7FFC">
      <w:pPr>
        <w:pStyle w:val="SCtext"/>
        <w:rPr>
          <w:rFonts w:asciiTheme="minorHAnsi" w:hAnsiTheme="minorHAnsi" w:cstheme="minorHAnsi"/>
          <w:lang w:val="en-US"/>
        </w:rPr>
      </w:pPr>
      <w:r w:rsidRPr="00B845AF">
        <w:rPr>
          <w:rFonts w:asciiTheme="minorHAnsi" w:hAnsiTheme="minorHAnsi" w:cstheme="minorHAnsi"/>
          <w:lang w:val="en-US"/>
        </w:rPr>
        <w:t>The EU thanked and commended the Data Management Section of SPC-OFP for its work, noting that managing data from many CCMs across different formats and criteria is highly complex, and stated that the EU fully agreed standardization was a priority, as it optimizes data flow, ensures greater consistency, and facilitates validation on the CCM side, saving time for all parties. The EU stated that data submission had been more challenging this year because it already had an established process for preparing and submitting data, as was likely the case for most CCMs, but that this was not unexpected, and that the standardization and submission process had helped identify issues requiring action on the EU’s side as well as matters requiring further discussion between SPC and the EU team. The EU expressed confidence that, notwithstanding this year’s difficulties, the process would become easier going forward, saving time for all involved and enhancing the value of the data collected. The EU’s sole suggestion was to introduce different user roles for accessing the data submission portal, to allow some users to interact with the data and carry out quality checks while restricting submission rights to appropriately permissioned users. The EU expressed full support for the continuation of this data management system development.</w:t>
      </w:r>
    </w:p>
    <w:p w14:paraId="5ECABCD5" w14:textId="77777777" w:rsidR="003E7FFC" w:rsidRPr="00B845AF" w:rsidRDefault="003E7FFC" w:rsidP="003E7FFC">
      <w:pPr>
        <w:pStyle w:val="SCtext"/>
        <w:numPr>
          <w:ilvl w:val="0"/>
          <w:numId w:val="0"/>
        </w:numPr>
        <w:rPr>
          <w:rFonts w:asciiTheme="minorHAnsi" w:hAnsiTheme="minorHAnsi" w:cstheme="minorHAnsi"/>
          <w:lang w:val="en-US"/>
        </w:rPr>
      </w:pPr>
    </w:p>
    <w:p w14:paraId="55973F76" w14:textId="6D2927D1" w:rsidR="003E7FFC" w:rsidRPr="00B845AF" w:rsidRDefault="003E7FFC">
      <w:pPr>
        <w:pStyle w:val="SCtext"/>
        <w:rPr>
          <w:rFonts w:asciiTheme="minorHAnsi" w:hAnsiTheme="minorHAnsi" w:cstheme="minorHAnsi"/>
          <w:lang w:val="en-US"/>
        </w:rPr>
      </w:pPr>
      <w:r w:rsidRPr="00B845AF">
        <w:rPr>
          <w:rFonts w:asciiTheme="minorHAnsi" w:hAnsiTheme="minorHAnsi" w:cstheme="minorHAnsi"/>
          <w:lang w:val="en-US"/>
        </w:rPr>
        <w:t>The SSP thanked the EU and Indonesia for their positive comments, and on the EU’s suggestion regarding user roles, stated this was something that could certainly be considered, noting the existence of a SciData editor role and that the SSP has been reconsidering the broader question of tiered data access as part of a framework under development, aimed at supporting varying levels of read and submission access.</w:t>
      </w:r>
    </w:p>
    <w:p w14:paraId="5EE95F9B" w14:textId="77777777" w:rsidR="003E7FFC" w:rsidRPr="00B845AF" w:rsidRDefault="003E7FFC" w:rsidP="003E7FFC">
      <w:pPr>
        <w:pStyle w:val="SCtext"/>
        <w:numPr>
          <w:ilvl w:val="0"/>
          <w:numId w:val="0"/>
        </w:numPr>
        <w:rPr>
          <w:rFonts w:asciiTheme="minorHAnsi" w:hAnsiTheme="minorHAnsi" w:cstheme="minorHAnsi"/>
          <w:lang w:val="en-US"/>
        </w:rPr>
      </w:pPr>
    </w:p>
    <w:p w14:paraId="4952162A" w14:textId="7E41EB6C" w:rsidR="003E7FFC" w:rsidRPr="00B845AF" w:rsidRDefault="003E7FFC">
      <w:pPr>
        <w:pStyle w:val="SCtext"/>
        <w:rPr>
          <w:rFonts w:asciiTheme="minorHAnsi" w:hAnsiTheme="minorHAnsi" w:cstheme="minorHAnsi"/>
          <w:lang w:val="en-US"/>
        </w:rPr>
      </w:pPr>
      <w:r w:rsidRPr="00B845AF">
        <w:rPr>
          <w:rFonts w:asciiTheme="minorHAnsi" w:hAnsiTheme="minorHAnsi" w:cstheme="minorHAnsi"/>
          <w:lang w:val="en-US"/>
        </w:rPr>
        <w:t>The Philippines expressed full support for the Secretariat and SSP in establishing the standardized scientific data portal and automated submission pipeline, describing it as modernizing WCPFC data reporting into a transparent and efficient system. The Philippines acknowledged that the transition to standardized templates introduced initial formatting challenges, particularly for ACE and logbook data, but recognized the initiative as vital to reducing manual data handling and speeding up scientific analysis. The Philippines requested targeted training and technical support from the Secretariat and SSP, specifically capacity building in local validation tools such as R-based data visualization scripts, clearer guidelines for ACE and logbook data, and sufficient advance notice ahead of future template updates, and reaffirmed its commitment to strengthening its national reporting processes. The SSP thanked the Philippines and stated it was pleased to provide support around the requested tools, training, and any other assistance that would facilitate the process.</w:t>
      </w:r>
    </w:p>
    <w:p w14:paraId="21E02B79" w14:textId="77777777" w:rsidR="003E7FFC" w:rsidRPr="00B845AF" w:rsidRDefault="003E7FFC" w:rsidP="003E7FFC">
      <w:pPr>
        <w:pStyle w:val="SCtext"/>
        <w:numPr>
          <w:ilvl w:val="0"/>
          <w:numId w:val="0"/>
        </w:numPr>
        <w:rPr>
          <w:rFonts w:asciiTheme="minorHAnsi" w:hAnsiTheme="minorHAnsi" w:cstheme="minorHAnsi"/>
          <w:lang w:val="en-US"/>
        </w:rPr>
      </w:pPr>
    </w:p>
    <w:p w14:paraId="47CC49E5" w14:textId="04E21DAB" w:rsidR="003E7FFC" w:rsidRPr="00B845AF" w:rsidRDefault="003E7FFC">
      <w:pPr>
        <w:pStyle w:val="SCtext"/>
        <w:rPr>
          <w:rFonts w:asciiTheme="minorHAnsi" w:hAnsiTheme="minorHAnsi" w:cstheme="minorHAnsi"/>
          <w:lang w:val="en-US"/>
        </w:rPr>
      </w:pPr>
      <w:r w:rsidRPr="00B845AF">
        <w:rPr>
          <w:rFonts w:asciiTheme="minorHAnsi" w:hAnsiTheme="minorHAnsi" w:cstheme="minorHAnsi"/>
          <w:lang w:val="en-US"/>
        </w:rPr>
        <w:t>New Caledonia welcomed the successful implementation of the new submission portal and associated process, and while noting that the transition to standardized templates required an initial adaptation effort, characterized this as a valuable investment improving transparency, data quality, and efficiency for all members. New Caledonia supported continued development of the data systems, stating that expanding programmatic tools, refining validation rules, and strengthening early engagement would be key to improving efficiency, timeliness, and accuracy.</w:t>
      </w:r>
    </w:p>
    <w:p w14:paraId="7198CFEE" w14:textId="77777777" w:rsidR="007F43EB" w:rsidRPr="00B845AF" w:rsidRDefault="007F43EB" w:rsidP="007F43EB">
      <w:pPr>
        <w:pStyle w:val="SCtext"/>
        <w:numPr>
          <w:ilvl w:val="0"/>
          <w:numId w:val="0"/>
        </w:numPr>
        <w:rPr>
          <w:rFonts w:asciiTheme="minorHAnsi" w:hAnsiTheme="minorHAnsi" w:cstheme="minorHAnsi"/>
          <w:lang w:val="en-US"/>
        </w:rPr>
      </w:pPr>
    </w:p>
    <w:p w14:paraId="2C4597ED" w14:textId="33ECF20C" w:rsidR="007F43EB" w:rsidRPr="00B845AF" w:rsidRDefault="007F43EB">
      <w:pPr>
        <w:pStyle w:val="SCtext"/>
        <w:rPr>
          <w:rFonts w:asciiTheme="minorHAnsi" w:hAnsiTheme="minorHAnsi" w:cstheme="minorHAnsi"/>
          <w:lang w:val="en-US"/>
        </w:rPr>
      </w:pPr>
      <w:r w:rsidRPr="00B845AF">
        <w:rPr>
          <w:rFonts w:asciiTheme="minorHAnsi" w:hAnsiTheme="minorHAnsi" w:cstheme="minorHAnsi"/>
          <w:lang w:val="en-US"/>
        </w:rPr>
        <w:t xml:space="preserve">FSM, speaking on behalf of the FFA members, welcomed the progress made, noted the paper’s expectation of benefits as early as 2027, and stated that FFA members have long submitted standardized </w:t>
      </w:r>
      <w:r w:rsidRPr="00B845AF">
        <w:rPr>
          <w:rFonts w:asciiTheme="minorHAnsi" w:hAnsiTheme="minorHAnsi" w:cstheme="minorHAnsi"/>
          <w:lang w:val="en-US"/>
        </w:rPr>
        <w:lastRenderedPageBreak/>
        <w:t xml:space="preserve">data through regional systems, and encouraged other CCMs to participate in the initiative to improve timeliness, quality, and consistency of data. The FFA members stated that priority should be given to changes that shorten the data finalization process, including earlier engagement, clearer guidance, published validation rules, and automated review reports, and welcomed the initial use of T2 API links for Part 1 reporting. The FFA members encouraged a structured, consultative approach to any future changes in templates or validation requirements, including version control and adequate lead time, and stated that validation should distinguish critical errors from warnings. The FFA members requested that the SSP and Secretariat report to SC23 on implementation results, including processing times, unresolved issues, CCM workload, and support needs, drawing on feedback from a wider range of CCMs, particularly Pacific Island country data teams. The FFA members supported continued development in principle, but stated that, consistent with Article 30, this work must not impose disproportionate burdens on </w:t>
      </w:r>
      <w:proofErr w:type="gramStart"/>
      <w:r w:rsidRPr="00B845AF">
        <w:rPr>
          <w:rFonts w:asciiTheme="minorHAnsi" w:hAnsiTheme="minorHAnsi" w:cstheme="minorHAnsi"/>
          <w:lang w:val="en-US"/>
        </w:rPr>
        <w:t>CCMs, and</w:t>
      </w:r>
      <w:proofErr w:type="gramEnd"/>
      <w:r w:rsidRPr="00B845AF">
        <w:rPr>
          <w:rFonts w:asciiTheme="minorHAnsi" w:hAnsiTheme="minorHAnsi" w:cstheme="minorHAnsi"/>
          <w:lang w:val="en-US"/>
        </w:rPr>
        <w:t xml:space="preserve"> sought clarification on resource and budget implications.</w:t>
      </w:r>
    </w:p>
    <w:p w14:paraId="240E7BAC" w14:textId="77777777" w:rsidR="007F43EB" w:rsidRPr="00B845AF" w:rsidRDefault="007F43EB" w:rsidP="007F43EB">
      <w:pPr>
        <w:pStyle w:val="SCtext"/>
        <w:numPr>
          <w:ilvl w:val="0"/>
          <w:numId w:val="0"/>
        </w:numPr>
        <w:rPr>
          <w:rFonts w:asciiTheme="minorHAnsi" w:hAnsiTheme="minorHAnsi" w:cstheme="minorHAnsi"/>
          <w:lang w:val="en-US"/>
        </w:rPr>
      </w:pPr>
    </w:p>
    <w:p w14:paraId="0EE9A1B2" w14:textId="05DF50A6" w:rsidR="007F43EB" w:rsidRPr="00B845AF" w:rsidRDefault="007F43EB">
      <w:pPr>
        <w:pStyle w:val="SCtext"/>
        <w:rPr>
          <w:rFonts w:asciiTheme="minorHAnsi" w:hAnsiTheme="minorHAnsi" w:cstheme="minorHAnsi"/>
          <w:lang w:val="en-US"/>
        </w:rPr>
      </w:pPr>
      <w:r w:rsidRPr="00B845AF">
        <w:rPr>
          <w:rFonts w:asciiTheme="minorHAnsi" w:hAnsiTheme="minorHAnsi" w:cstheme="minorHAnsi"/>
          <w:lang w:val="en-US"/>
        </w:rPr>
        <w:t>French Polynesia thanked the SSP for developing R-based tools to support preparation of the Part 1 annual report and for ongoing technical support, noting a learning curve but stating that the tools facilitate reporting and improve both efficiency and consistency, and encouraged other CCMs to transition to these tools.</w:t>
      </w:r>
    </w:p>
    <w:p w14:paraId="6325B097" w14:textId="37F48B37" w:rsidR="000316E8" w:rsidRPr="00B845AF" w:rsidRDefault="000316E8" w:rsidP="000316E8">
      <w:pPr>
        <w:pStyle w:val="SCtext"/>
        <w:numPr>
          <w:ilvl w:val="0"/>
          <w:numId w:val="0"/>
        </w:numPr>
        <w:rPr>
          <w:rFonts w:asciiTheme="minorHAnsi" w:hAnsiTheme="minorHAnsi" w:cstheme="minorHAnsi"/>
          <w:lang w:val="en-US"/>
        </w:rPr>
      </w:pPr>
    </w:p>
    <w:p w14:paraId="3B8D8836" w14:textId="7DC77A49" w:rsidR="000316E8" w:rsidRPr="00B845AF" w:rsidRDefault="000316E8" w:rsidP="000316E8">
      <w:pPr>
        <w:pStyle w:val="SCDR"/>
        <w:rPr>
          <w:rFonts w:asciiTheme="minorHAnsi" w:hAnsiTheme="minorHAnsi" w:cstheme="minorHAnsi"/>
          <w:lang w:eastAsia="ko-KR"/>
        </w:rPr>
      </w:pPr>
      <w:r w:rsidRPr="00B845AF">
        <w:rPr>
          <w:rFonts w:asciiTheme="minorHAnsi" w:hAnsiTheme="minorHAnsi" w:cstheme="minorHAnsi"/>
          <w:lang w:eastAsia="ko-KR"/>
        </w:rPr>
        <w:t>Outcome</w:t>
      </w:r>
    </w:p>
    <w:p w14:paraId="5DE9C861" w14:textId="04FFEC02" w:rsidR="000316E8" w:rsidRPr="00B845AF" w:rsidRDefault="00334A51">
      <w:pPr>
        <w:pStyle w:val="SCtext"/>
        <w:rPr>
          <w:rFonts w:asciiTheme="minorHAnsi" w:hAnsiTheme="minorHAnsi" w:cstheme="minorHAnsi"/>
          <w:b/>
          <w:bCs/>
          <w:lang w:val="en-US"/>
        </w:rPr>
      </w:pPr>
      <w:r w:rsidRPr="00B845AF">
        <w:rPr>
          <w:rFonts w:asciiTheme="minorHAnsi" w:hAnsiTheme="minorHAnsi" w:cstheme="minorHAnsi"/>
          <w:b/>
          <w:bCs/>
          <w:lang w:val="en-US"/>
        </w:rPr>
        <w:t>SC22 acknowledged the significant work by the SSP and certain CCMs to implement the adopted standardized data submission templates. SC22 recognized that use of these templates reduces data gaps and will facilitate the availability of the data and data analytics for future analysis. SC22 requested the SSP to continue to work with CCMs to further improve the data submission process, to work with CCMs on developing a standardized data submission template for EM data</w:t>
      </w:r>
      <w:r w:rsidR="001D3F8D" w:rsidRPr="00B845AF">
        <w:rPr>
          <w:rFonts w:asciiTheme="minorHAnsi" w:hAnsiTheme="minorHAnsi" w:cstheme="minorHAnsi"/>
          <w:b/>
          <w:bCs/>
          <w:lang w:val="en-US"/>
        </w:rPr>
        <w:t>,</w:t>
      </w:r>
      <w:r w:rsidRPr="00B845AF">
        <w:rPr>
          <w:rFonts w:asciiTheme="minorHAnsi" w:hAnsiTheme="minorHAnsi" w:cstheme="minorHAnsi"/>
          <w:b/>
          <w:bCs/>
          <w:lang w:val="en-US"/>
        </w:rPr>
        <w:t xml:space="preserve"> and to provide an update on progress to SC23.</w:t>
      </w:r>
    </w:p>
    <w:p w14:paraId="7B44127A" w14:textId="7D85C7A8" w:rsidR="00A71F7A" w:rsidRPr="00B845AF" w:rsidRDefault="00A71F7A" w:rsidP="00A71F7A">
      <w:pPr>
        <w:pStyle w:val="SCtext"/>
        <w:numPr>
          <w:ilvl w:val="0"/>
          <w:numId w:val="0"/>
        </w:numPr>
        <w:rPr>
          <w:rFonts w:asciiTheme="minorHAnsi" w:hAnsiTheme="minorHAnsi" w:cstheme="minorHAnsi"/>
          <w:lang w:val="en-US"/>
        </w:rPr>
      </w:pPr>
    </w:p>
    <w:p w14:paraId="210B4E78" w14:textId="7F4D7B9F" w:rsidR="00A71F7A" w:rsidRPr="00B845AF" w:rsidRDefault="00A71F7A">
      <w:pPr>
        <w:pStyle w:val="SC3"/>
        <w:rPr>
          <w:rFonts w:asciiTheme="minorHAnsi" w:hAnsiTheme="minorHAnsi" w:cstheme="minorHAnsi"/>
        </w:rPr>
      </w:pPr>
      <w:r w:rsidRPr="00B845AF">
        <w:rPr>
          <w:rFonts w:asciiTheme="minorHAnsi" w:hAnsiTheme="minorHAnsi" w:cstheme="minorHAnsi"/>
        </w:rPr>
        <w:t>Minimum data reporting requirements</w:t>
      </w:r>
    </w:p>
    <w:p w14:paraId="67E62A8E" w14:textId="77777777" w:rsidR="00986E6E" w:rsidRPr="00B845AF" w:rsidRDefault="00A71F7A">
      <w:pPr>
        <w:pStyle w:val="SCtext"/>
        <w:rPr>
          <w:rFonts w:asciiTheme="minorHAnsi" w:hAnsiTheme="minorHAnsi" w:cstheme="minorHAnsi"/>
          <w:lang w:val="en-US"/>
        </w:rPr>
      </w:pPr>
      <w:r w:rsidRPr="00B845AF">
        <w:rPr>
          <w:rFonts w:asciiTheme="minorHAnsi" w:hAnsiTheme="minorHAnsi" w:cstheme="minorHAnsi"/>
          <w:lang w:val="en-US"/>
        </w:rPr>
        <w:t xml:space="preserve">T. Vidal </w:t>
      </w:r>
      <w:r w:rsidR="002808E6" w:rsidRPr="00B845AF">
        <w:rPr>
          <w:rFonts w:asciiTheme="minorHAnsi" w:hAnsiTheme="minorHAnsi" w:cstheme="minorHAnsi"/>
          <w:lang w:val="en-US"/>
        </w:rPr>
        <w:t>(SPC</w:t>
      </w:r>
      <w:r w:rsidR="00AF0EC8" w:rsidRPr="00B845AF">
        <w:rPr>
          <w:rFonts w:asciiTheme="minorHAnsi" w:hAnsiTheme="minorHAnsi" w:cstheme="minorHAnsi"/>
          <w:lang w:val="en-US"/>
        </w:rPr>
        <w:t>-OFP</w:t>
      </w:r>
      <w:r w:rsidR="002808E6" w:rsidRPr="00B845AF">
        <w:rPr>
          <w:rFonts w:asciiTheme="minorHAnsi" w:hAnsiTheme="minorHAnsi" w:cstheme="minorHAnsi"/>
          <w:lang w:val="en-US"/>
        </w:rPr>
        <w:t xml:space="preserve">) </w:t>
      </w:r>
      <w:r w:rsidRPr="00B845AF">
        <w:rPr>
          <w:rFonts w:asciiTheme="minorHAnsi" w:hAnsiTheme="minorHAnsi" w:cstheme="minorHAnsi"/>
          <w:lang w:val="en-US"/>
        </w:rPr>
        <w:t xml:space="preserve">presented </w:t>
      </w:r>
      <w:hyperlink r:id="rId27" w:history="1">
        <w:r w:rsidRPr="00B845AF">
          <w:rPr>
            <w:rStyle w:val="Hyperlink"/>
            <w:rFonts w:asciiTheme="minorHAnsi" w:hAnsiTheme="minorHAnsi" w:cstheme="minorHAnsi"/>
            <w:lang w:val="en-US"/>
          </w:rPr>
          <w:t>WCPFC-SC22-2026-ST-WP05_Rev02</w:t>
        </w:r>
      </w:hyperlink>
      <w:r w:rsidRPr="00B845AF">
        <w:rPr>
          <w:rFonts w:asciiTheme="minorHAnsi" w:hAnsiTheme="minorHAnsi" w:cstheme="minorHAnsi"/>
          <w:lang w:val="en-US"/>
        </w:rPr>
        <w:t xml:space="preserve">, proposing revisions to SciData reporting requirements intended to clarify and consolidate existing text without adding to CCM reporting burden. </w:t>
      </w:r>
    </w:p>
    <w:p w14:paraId="6301BD25" w14:textId="77777777" w:rsidR="00986E6E" w:rsidRPr="00B845AF" w:rsidRDefault="00986E6E" w:rsidP="00986E6E">
      <w:pPr>
        <w:pStyle w:val="SCtext"/>
        <w:numPr>
          <w:ilvl w:val="0"/>
          <w:numId w:val="0"/>
        </w:numPr>
        <w:rPr>
          <w:rFonts w:asciiTheme="minorHAnsi" w:hAnsiTheme="minorHAnsi" w:cstheme="minorHAnsi"/>
          <w:lang w:val="en-US"/>
        </w:rPr>
      </w:pPr>
    </w:p>
    <w:p w14:paraId="346B492A" w14:textId="77777777" w:rsidR="00986E6E" w:rsidRPr="00B845AF" w:rsidRDefault="00A71F7A" w:rsidP="009A4F45">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proposal arose from ambiguities and gaps exposed while building standardized submission templates, and the SSP stressed that most changes simplify existing language rather than add new fields; both a tracked-changes and a clean version were provided for review.</w:t>
      </w:r>
      <w:r w:rsidR="002C3185" w:rsidRPr="00B845AF">
        <w:rPr>
          <w:rFonts w:asciiTheme="minorHAnsi" w:hAnsiTheme="minorHAnsi" w:cstheme="minorHAnsi"/>
          <w:lang w:val="en-US"/>
        </w:rPr>
        <w:t xml:space="preserve"> </w:t>
      </w:r>
      <w:r w:rsidRPr="00B845AF">
        <w:rPr>
          <w:rFonts w:asciiTheme="minorHAnsi" w:hAnsiTheme="minorHAnsi" w:cstheme="minorHAnsi"/>
          <w:lang w:val="en-US"/>
        </w:rPr>
        <w:t>Key proposed changes included: making trip and activity identifiers mandatory across all gear types; adding two new activity codes (“searched, no sets made” and “no fishing</w:t>
      </w:r>
      <w:r w:rsidR="00A0714E" w:rsidRPr="00B845AF">
        <w:rPr>
          <w:rFonts w:asciiTheme="minorHAnsi" w:hAnsiTheme="minorHAnsi" w:cstheme="minorHAnsi"/>
          <w:lang w:val="en-US"/>
        </w:rPr>
        <w:t xml:space="preserve"> – other”</w:t>
      </w:r>
      <w:r w:rsidRPr="00B845AF">
        <w:rPr>
          <w:rFonts w:asciiTheme="minorHAnsi" w:hAnsiTheme="minorHAnsi" w:cstheme="minorHAnsi"/>
          <w:lang w:val="en-US"/>
        </w:rPr>
        <w:t xml:space="preserve">); making noon position mandatory when no sets are made; removing the redundant set identifier for pole-and-line and purse seine; simplifying the itemized catch species list to </w:t>
      </w:r>
      <w:r w:rsidR="00A0714E" w:rsidRPr="00B845AF">
        <w:rPr>
          <w:rFonts w:asciiTheme="minorHAnsi" w:hAnsiTheme="minorHAnsi" w:cstheme="minorHAnsi"/>
          <w:lang w:val="en-US"/>
        </w:rPr>
        <w:t>“</w:t>
      </w:r>
      <w:r w:rsidRPr="00B845AF">
        <w:rPr>
          <w:rFonts w:asciiTheme="minorHAnsi" w:hAnsiTheme="minorHAnsi" w:cstheme="minorHAnsi"/>
          <w:lang w:val="en-US"/>
        </w:rPr>
        <w:t>all key WCPFC species, at minimum</w:t>
      </w:r>
      <w:r w:rsidR="00A0714E" w:rsidRPr="00B845AF">
        <w:rPr>
          <w:rFonts w:asciiTheme="minorHAnsi" w:hAnsiTheme="minorHAnsi" w:cstheme="minorHAnsi"/>
          <w:lang w:val="en-US"/>
        </w:rPr>
        <w:t>”</w:t>
      </w:r>
      <w:r w:rsidRPr="00B845AF">
        <w:rPr>
          <w:rFonts w:asciiTheme="minorHAnsi" w:hAnsiTheme="minorHAnsi" w:cstheme="minorHAnsi"/>
          <w:lang w:val="en-US"/>
        </w:rPr>
        <w:t xml:space="preserve">; and adding a new binary </w:t>
      </w:r>
      <w:r w:rsidR="00A0714E" w:rsidRPr="00B845AF">
        <w:rPr>
          <w:rFonts w:asciiTheme="minorHAnsi" w:hAnsiTheme="minorHAnsi" w:cstheme="minorHAnsi"/>
          <w:lang w:val="en-US"/>
        </w:rPr>
        <w:t>“</w:t>
      </w:r>
      <w:r w:rsidRPr="00B845AF">
        <w:rPr>
          <w:rFonts w:asciiTheme="minorHAnsi" w:hAnsiTheme="minorHAnsi" w:cstheme="minorHAnsi"/>
          <w:lang w:val="en-US"/>
        </w:rPr>
        <w:t>is discarded</w:t>
      </w:r>
      <w:r w:rsidR="00A0714E" w:rsidRPr="00B845AF">
        <w:rPr>
          <w:rFonts w:asciiTheme="minorHAnsi" w:hAnsiTheme="minorHAnsi" w:cstheme="minorHAnsi"/>
          <w:lang w:val="en-US"/>
        </w:rPr>
        <w:t>”</w:t>
      </w:r>
      <w:r w:rsidRPr="00B845AF">
        <w:rPr>
          <w:rFonts w:asciiTheme="minorHAnsi" w:hAnsiTheme="minorHAnsi" w:cstheme="minorHAnsi"/>
          <w:lang w:val="en-US"/>
        </w:rPr>
        <w:t xml:space="preserve"> flag (0 = retained, 1 = released/discarded) across longline, pole-and-line, purse seine, and troll provisions.</w:t>
      </w:r>
      <w:r w:rsidR="002C3185" w:rsidRPr="00B845AF">
        <w:rPr>
          <w:rFonts w:asciiTheme="minorHAnsi" w:hAnsiTheme="minorHAnsi" w:cstheme="minorHAnsi"/>
          <w:lang w:val="en-US"/>
        </w:rPr>
        <w:t xml:space="preserve"> </w:t>
      </w:r>
      <w:r w:rsidR="00A0714E" w:rsidRPr="00B845AF">
        <w:rPr>
          <w:rFonts w:asciiTheme="minorHAnsi" w:hAnsiTheme="minorHAnsi" w:cstheme="minorHAnsi"/>
          <w:lang w:val="en-US"/>
        </w:rPr>
        <w:t>Gear-specific changes included, for longline, standardizing on UTC, switching mainline length to nautical miles, allowing “-1” for N/A branchlines, standardized hook size/type option lists (per EB-WP10), optional multi-bait fields, and making catch weight per set mandatory; for pole-and-line, clarifying discard reporting alongside the new flag; for purse seine, adding an “unknown” school association code and merging a duplicate activity row; and for troll, adding a new mandatory field for daily catch weight (mt).</w:t>
      </w:r>
      <w:r w:rsidR="002C3185" w:rsidRPr="00B845AF">
        <w:rPr>
          <w:rFonts w:asciiTheme="minorHAnsi" w:hAnsiTheme="minorHAnsi" w:cstheme="minorHAnsi"/>
          <w:lang w:val="en-US"/>
        </w:rPr>
        <w:t xml:space="preserve"> </w:t>
      </w:r>
    </w:p>
    <w:p w14:paraId="1B70C098" w14:textId="77777777" w:rsidR="00986E6E" w:rsidRPr="00B845AF" w:rsidRDefault="00986E6E" w:rsidP="00986E6E">
      <w:pPr>
        <w:pStyle w:val="SCtext"/>
        <w:numPr>
          <w:ilvl w:val="0"/>
          <w:numId w:val="0"/>
        </w:numPr>
        <w:ind w:leftChars="100" w:left="220"/>
        <w:rPr>
          <w:rFonts w:asciiTheme="minorHAnsi" w:hAnsiTheme="minorHAnsi" w:cstheme="minorHAnsi"/>
          <w:lang w:val="en-US"/>
        </w:rPr>
      </w:pPr>
    </w:p>
    <w:p w14:paraId="5A908CD7" w14:textId="12E2A215" w:rsidR="00A0714E" w:rsidRPr="00B845AF" w:rsidRDefault="00A0714E" w:rsidP="00986E6E">
      <w:pPr>
        <w:pStyle w:val="SCtext"/>
        <w:numPr>
          <w:ilvl w:val="0"/>
          <w:numId w:val="0"/>
        </w:numPr>
        <w:ind w:leftChars="100" w:left="220"/>
        <w:rPr>
          <w:rFonts w:asciiTheme="minorHAnsi" w:hAnsiTheme="minorHAnsi" w:cstheme="minorHAnsi"/>
          <w:lang w:val="en-US"/>
        </w:rPr>
      </w:pPr>
      <w:r w:rsidRPr="00B845AF">
        <w:rPr>
          <w:rFonts w:asciiTheme="minorHAnsi" w:hAnsiTheme="minorHAnsi" w:cstheme="minorHAnsi"/>
          <w:lang w:val="en-US"/>
        </w:rPr>
        <w:t>Structural changes included requiring explicit reporting of all key species at the WCPFC Statistical Area for Annual Catch Estimates, adding an optional archipelagic-waters flag, adding IMO number to vessel identifiers (mandatory where it exists), making trip identifier mandatory for all gears, and adding “hooks between floats” to longline stratification while dropping unraised catch/effort provisions.</w:t>
      </w:r>
      <w:r w:rsidR="002C3185" w:rsidRPr="00B845AF">
        <w:rPr>
          <w:rFonts w:asciiTheme="minorHAnsi" w:hAnsiTheme="minorHAnsi" w:cstheme="minorHAnsi"/>
          <w:lang w:val="en-US"/>
        </w:rPr>
        <w:t xml:space="preserve"> </w:t>
      </w:r>
      <w:r w:rsidRPr="00B845AF">
        <w:rPr>
          <w:rFonts w:asciiTheme="minorHAnsi" w:hAnsiTheme="minorHAnsi" w:cstheme="minorHAnsi"/>
          <w:lang w:val="en-US"/>
        </w:rPr>
        <w:t>The SSP flagged one open question for SC22: whether “hooks between floats” should move to binned categories or remain at raw, fine-scale resolution. SC22 was invited to review the proposal, provide guidance on the hooks-between-floats question, and recommend the proposed SciData revisions for adoption by the Commission.</w:t>
      </w:r>
    </w:p>
    <w:p w14:paraId="594EAF88" w14:textId="77777777" w:rsidR="00986E6E" w:rsidRPr="00B845AF" w:rsidRDefault="00986E6E" w:rsidP="00986E6E">
      <w:pPr>
        <w:pStyle w:val="SCtext"/>
        <w:numPr>
          <w:ilvl w:val="0"/>
          <w:numId w:val="0"/>
        </w:numPr>
        <w:rPr>
          <w:rFonts w:asciiTheme="minorHAnsi" w:hAnsiTheme="minorHAnsi" w:cstheme="minorHAnsi"/>
          <w:lang w:val="en-US"/>
        </w:rPr>
      </w:pPr>
    </w:p>
    <w:p w14:paraId="0665B631" w14:textId="77777777" w:rsidR="00986E6E" w:rsidRPr="00B845AF" w:rsidRDefault="00986E6E">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 Vidal (SPC-OFP) presented </w:t>
      </w:r>
      <w:hyperlink r:id="rId28" w:history="1">
        <w:r w:rsidRPr="00B845AF">
          <w:rPr>
            <w:rStyle w:val="Hyperlink"/>
            <w:rFonts w:asciiTheme="minorHAnsi" w:eastAsia="MS Mincho" w:hAnsiTheme="minorHAnsi" w:cstheme="minorHAnsi"/>
            <w:lang w:val="en-US" w:eastAsia="ja-JP"/>
          </w:rPr>
          <w:t>WCPFC-SC22-2026-ST-WP04</w:t>
        </w:r>
      </w:hyperlink>
      <w:r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i/>
          <w:iCs/>
          <w:lang w:val="en-US" w:eastAsia="ja-JP"/>
        </w:rPr>
        <w:t>Proposed Standards, Specifications and Procedures for Unloading Data</w:t>
      </w:r>
      <w:r w:rsidRPr="00B845AF">
        <w:rPr>
          <w:rFonts w:asciiTheme="minorHAnsi" w:eastAsia="MS Mincho" w:hAnsiTheme="minorHAnsi" w:cstheme="minorHAnsi"/>
          <w:lang w:val="en-US" w:eastAsia="ja-JP"/>
        </w:rPr>
        <w:t>, which sets out draft standards, specifications and procedures (SSPs) for collecting independent unloading data to verify South Pacific albacore catches against logbook estimates and agreed catch limits, covering longline and troll vessels unloading directly to port-based processing or export docks, with at-sea transhipment (which accounted for approximately 25% of the albacore catch in 2024 and is reported and held separately in the WCPFC database) excluded from scope.</w:t>
      </w:r>
    </w:p>
    <w:p w14:paraId="7BE05248" w14:textId="67C18705" w:rsidR="00986E6E" w:rsidRPr="00B845AF" w:rsidRDefault="00986E6E" w:rsidP="00986E6E">
      <w:pPr>
        <w:pStyle w:val="SCtext"/>
        <w:numPr>
          <w:ilvl w:val="0"/>
          <w:numId w:val="0"/>
        </w:numPr>
        <w:rPr>
          <w:rFonts w:asciiTheme="minorHAnsi" w:hAnsiTheme="minorHAnsi" w:cstheme="minorHAnsi"/>
          <w:lang w:val="en-US"/>
        </w:rPr>
      </w:pPr>
      <w:r w:rsidRPr="00B845AF">
        <w:rPr>
          <w:rFonts w:asciiTheme="minorHAnsi" w:eastAsia="MS Mincho" w:hAnsiTheme="minorHAnsi" w:cstheme="minorHAnsi"/>
          <w:lang w:val="en-US" w:eastAsia="ja-JP"/>
        </w:rPr>
        <w:t xml:space="preserve"> </w:t>
      </w:r>
    </w:p>
    <w:p w14:paraId="53E7A732" w14:textId="4FA940AC" w:rsidR="00986E6E" w:rsidRPr="00B845AF" w:rsidRDefault="00986E6E" w:rsidP="00986E6E">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The paper explained that the draft SSPs build on existing SPC and FFA Data Collection Committee unloading forms, adding fields for gear code, unloading location (carrier versus in-port), catch location (EEZ or high seas), catch remaining onboard for partial unloads, and market or country destination, and noted that the existing Tufman2 unloading module could capture these data through manual web entry or standardised CSV or JSON upload without requiring a new system, while flagging a dedicated mobile </w:t>
      </w:r>
      <w:r w:rsidR="001D3F8D" w:rsidRPr="00B845AF">
        <w:rPr>
          <w:rFonts w:asciiTheme="minorHAnsi" w:eastAsia="MS Mincho" w:hAnsiTheme="minorHAnsi" w:cstheme="minorHAnsi"/>
          <w:lang w:val="en-US" w:eastAsia="ja-JP"/>
        </w:rPr>
        <w:t>unloading</w:t>
      </w:r>
      <w:r w:rsidRPr="00B845AF">
        <w:rPr>
          <w:rFonts w:asciiTheme="minorHAnsi" w:eastAsia="MS Mincho" w:hAnsiTheme="minorHAnsi" w:cstheme="minorHAnsi"/>
          <w:lang w:val="en-US" w:eastAsia="ja-JP"/>
        </w:rPr>
        <w:t xml:space="preserve"> app as an alternative that CCMs had requested but that would need guidance on user group, field versus office entry, and overlap with existing tools such as </w:t>
      </w:r>
      <w:proofErr w:type="spellStart"/>
      <w:r w:rsidRPr="00B845AF">
        <w:rPr>
          <w:rFonts w:asciiTheme="minorHAnsi" w:eastAsia="MS Mincho" w:hAnsiTheme="minorHAnsi" w:cstheme="minorHAnsi"/>
          <w:lang w:val="en-US" w:eastAsia="ja-JP"/>
        </w:rPr>
        <w:t>ePSM</w:t>
      </w:r>
      <w:proofErr w:type="spellEnd"/>
      <w:r w:rsidRPr="00B845AF">
        <w:rPr>
          <w:rFonts w:asciiTheme="minorHAnsi" w:eastAsia="MS Mincho" w:hAnsiTheme="minorHAnsi" w:cstheme="minorHAnsi"/>
          <w:lang w:val="en-US" w:eastAsia="ja-JP"/>
        </w:rPr>
        <w:t xml:space="preserve">. It identified key challenges around matching unloading events to logbook trips given partial </w:t>
      </w:r>
      <w:r w:rsidR="001D3F8D" w:rsidRPr="00B845AF">
        <w:rPr>
          <w:rFonts w:asciiTheme="minorHAnsi" w:eastAsia="MS Mincho" w:hAnsiTheme="minorHAnsi" w:cstheme="minorHAnsi"/>
          <w:lang w:val="en-US" w:eastAsia="ja-JP"/>
        </w:rPr>
        <w:t>unloading</w:t>
      </w:r>
      <w:r w:rsidRPr="00B845AF">
        <w:rPr>
          <w:rFonts w:asciiTheme="minorHAnsi" w:eastAsia="MS Mincho" w:hAnsiTheme="minorHAnsi" w:cstheme="minorHAnsi"/>
          <w:lang w:val="en-US" w:eastAsia="ja-JP"/>
        </w:rPr>
        <w:t xml:space="preserve"> and </w:t>
      </w:r>
      <w:r w:rsidR="00E33228" w:rsidRPr="00B845AF">
        <w:rPr>
          <w:rFonts w:asciiTheme="minorHAnsi" w:eastAsia="MS Mincho" w:hAnsiTheme="minorHAnsi" w:cstheme="minorHAnsi"/>
          <w:lang w:val="en-US" w:eastAsia="ja-JP"/>
        </w:rPr>
        <w:t>transhipments and</w:t>
      </w:r>
      <w:r w:rsidRPr="00B845AF">
        <w:rPr>
          <w:rFonts w:asciiTheme="minorHAnsi" w:eastAsia="MS Mincho" w:hAnsiTheme="minorHAnsi" w:cstheme="minorHAnsi"/>
          <w:lang w:val="en-US" w:eastAsia="ja-JP"/>
        </w:rPr>
        <w:t xml:space="preserve"> posed open questions on how catch location should be validated against logbook or VMS data and how partial-unload catch should be disaggregated from subsequent trips. </w:t>
      </w:r>
    </w:p>
    <w:p w14:paraId="76943032" w14:textId="77777777" w:rsidR="00986E6E" w:rsidRPr="00B845AF" w:rsidRDefault="00986E6E" w:rsidP="00986E6E">
      <w:pPr>
        <w:pStyle w:val="SCtext"/>
        <w:numPr>
          <w:ilvl w:val="0"/>
          <w:numId w:val="0"/>
        </w:numPr>
        <w:ind w:left="720"/>
        <w:rPr>
          <w:rFonts w:asciiTheme="minorHAnsi" w:eastAsia="MS Mincho" w:hAnsiTheme="minorHAnsi" w:cstheme="minorHAnsi"/>
          <w:lang w:val="en-US" w:eastAsia="ja-JP"/>
        </w:rPr>
      </w:pPr>
    </w:p>
    <w:p w14:paraId="62F4F960" w14:textId="2B22F109" w:rsidR="00986E6E" w:rsidRPr="00B845AF" w:rsidRDefault="00986E6E" w:rsidP="00986E6E">
      <w:pPr>
        <w:pStyle w:val="SCtext"/>
        <w:numPr>
          <w:ilvl w:val="0"/>
          <w:numId w:val="0"/>
        </w:numPr>
        <w:ind w:left="720"/>
        <w:rPr>
          <w:rFonts w:asciiTheme="minorHAnsi" w:hAnsiTheme="minorHAnsi" w:cstheme="minorHAnsi"/>
          <w:lang w:val="en-US"/>
        </w:rPr>
      </w:pPr>
      <w:r w:rsidRPr="00B845AF">
        <w:rPr>
          <w:rFonts w:asciiTheme="minorHAnsi" w:eastAsia="MS Mincho" w:hAnsiTheme="minorHAnsi" w:cstheme="minorHAnsi"/>
          <w:lang w:val="en-US" w:eastAsia="ja-JP"/>
        </w:rPr>
        <w:t xml:space="preserve">The paper invited SC22 to note the paper and provide guidance on the development of the SSPs and data standards, specifically on data fields (disaggregating partial </w:t>
      </w:r>
      <w:proofErr w:type="spellStart"/>
      <w:r w:rsidRPr="00B845AF">
        <w:rPr>
          <w:rFonts w:asciiTheme="minorHAnsi" w:eastAsia="MS Mincho" w:hAnsiTheme="minorHAnsi" w:cstheme="minorHAnsi"/>
          <w:lang w:val="en-US" w:eastAsia="ja-JP"/>
        </w:rPr>
        <w:t>unloadings</w:t>
      </w:r>
      <w:proofErr w:type="spellEnd"/>
      <w:r w:rsidRPr="00B845AF">
        <w:rPr>
          <w:rFonts w:asciiTheme="minorHAnsi" w:eastAsia="MS Mincho" w:hAnsiTheme="minorHAnsi" w:cstheme="minorHAnsi"/>
          <w:lang w:val="en-US" w:eastAsia="ja-JP"/>
        </w:rPr>
        <w:t xml:space="preserve">, validating catch location, and the level of destination or market detail needed), on scope (all ports and vessels versus Pacific Island CCMs only, fishing vessels only versus carrier vessels also, and albacore only versus other fisheries and gears), and on governance (which entities would manage, analyse and report unloading data, and on what timeframe, for example annual TCC reporting versus near real-time), and also raised a question on whether there would be value for the Commission in monitoring </w:t>
      </w:r>
      <w:r w:rsidR="001D3F8D" w:rsidRPr="00B845AF">
        <w:rPr>
          <w:rFonts w:asciiTheme="minorHAnsi" w:eastAsia="MS Mincho" w:hAnsiTheme="minorHAnsi" w:cstheme="minorHAnsi"/>
          <w:lang w:val="en-US" w:eastAsia="ja-JP"/>
        </w:rPr>
        <w:t>unloading</w:t>
      </w:r>
      <w:r w:rsidRPr="00B845AF">
        <w:rPr>
          <w:rFonts w:asciiTheme="minorHAnsi" w:eastAsia="MS Mincho" w:hAnsiTheme="minorHAnsi" w:cstheme="minorHAnsi"/>
          <w:lang w:val="en-US" w:eastAsia="ja-JP"/>
        </w:rPr>
        <w:t xml:space="preserve"> for other fisheries.</w:t>
      </w:r>
    </w:p>
    <w:p w14:paraId="076D00FE" w14:textId="77777777" w:rsidR="00986E6E" w:rsidRPr="00B845AF" w:rsidRDefault="00986E6E" w:rsidP="00986E6E">
      <w:pPr>
        <w:pStyle w:val="SCtext"/>
        <w:numPr>
          <w:ilvl w:val="0"/>
          <w:numId w:val="0"/>
        </w:numPr>
        <w:rPr>
          <w:rFonts w:asciiTheme="minorHAnsi" w:hAnsiTheme="minorHAnsi" w:cstheme="minorHAnsi"/>
          <w:lang w:val="en-US"/>
        </w:rPr>
      </w:pPr>
    </w:p>
    <w:p w14:paraId="4E6924E9" w14:textId="3C08B76C" w:rsidR="00A0714E" w:rsidRPr="00B845AF" w:rsidRDefault="00A0714E" w:rsidP="00A0714E">
      <w:pPr>
        <w:pStyle w:val="SCDR"/>
        <w:rPr>
          <w:rFonts w:asciiTheme="minorHAnsi" w:hAnsiTheme="minorHAnsi" w:cstheme="minorHAnsi"/>
          <w:lang w:eastAsia="ko-KR"/>
        </w:rPr>
      </w:pPr>
      <w:r w:rsidRPr="00B845AF">
        <w:rPr>
          <w:rFonts w:asciiTheme="minorHAnsi" w:hAnsiTheme="minorHAnsi" w:cstheme="minorHAnsi"/>
          <w:lang w:eastAsia="ko-KR"/>
        </w:rPr>
        <w:t>Discussion</w:t>
      </w:r>
    </w:p>
    <w:p w14:paraId="48B29FBE" w14:textId="58B6D6D8" w:rsidR="00A0714E" w:rsidRPr="00B845AF" w:rsidRDefault="00A10D3A">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BD5A29" w:rsidRPr="00B845AF">
        <w:rPr>
          <w:rFonts w:asciiTheme="minorHAnsi" w:hAnsiTheme="minorHAnsi" w:cstheme="minorHAnsi"/>
          <w:lang w:val="en-US"/>
        </w:rPr>
        <w:t>theme c</w:t>
      </w:r>
      <w:r w:rsidRPr="00B845AF">
        <w:rPr>
          <w:rFonts w:asciiTheme="minorHAnsi" w:hAnsiTheme="minorHAnsi" w:cstheme="minorHAnsi"/>
          <w:lang w:val="en-US"/>
        </w:rPr>
        <w:t xml:space="preserve">onvener proposed forming an ISG to work through the suggested SciData revisions, in view of the technical </w:t>
      </w:r>
      <w:r w:rsidR="00E33228" w:rsidRPr="00B845AF">
        <w:rPr>
          <w:rFonts w:asciiTheme="minorHAnsi" w:hAnsiTheme="minorHAnsi" w:cstheme="minorHAnsi"/>
          <w:lang w:val="en-US"/>
        </w:rPr>
        <w:t>details</w:t>
      </w:r>
      <w:r w:rsidRPr="00B845AF">
        <w:rPr>
          <w:rFonts w:asciiTheme="minorHAnsi" w:hAnsiTheme="minorHAnsi" w:cstheme="minorHAnsi"/>
          <w:lang w:val="en-US"/>
        </w:rPr>
        <w:t xml:space="preserve"> involved and time constraints in plenary, with the aim of returning to plenary at a later point with agreement on some or none of the proposed revisions. The </w:t>
      </w:r>
      <w:r w:rsidR="00BD5A29" w:rsidRPr="00B845AF">
        <w:rPr>
          <w:rFonts w:asciiTheme="minorHAnsi" w:hAnsiTheme="minorHAnsi" w:cstheme="minorHAnsi"/>
          <w:lang w:val="en-US"/>
        </w:rPr>
        <w:t>theme c</w:t>
      </w:r>
      <w:r w:rsidRPr="00B845AF">
        <w:rPr>
          <w:rFonts w:asciiTheme="minorHAnsi" w:hAnsiTheme="minorHAnsi" w:cstheme="minorHAnsi"/>
          <w:lang w:val="en-US"/>
        </w:rPr>
        <w:t>onvener suggested this ISG be chaired by the SC Chair, with assistance from T. Vidal.</w:t>
      </w:r>
    </w:p>
    <w:p w14:paraId="5D25B4AA" w14:textId="77777777" w:rsidR="00A10D3A" w:rsidRPr="00B845AF" w:rsidRDefault="00A10D3A" w:rsidP="00A10D3A">
      <w:pPr>
        <w:pStyle w:val="SCtext"/>
        <w:numPr>
          <w:ilvl w:val="0"/>
          <w:numId w:val="0"/>
        </w:numPr>
        <w:rPr>
          <w:rFonts w:asciiTheme="minorHAnsi" w:hAnsiTheme="minorHAnsi" w:cstheme="minorHAnsi"/>
          <w:lang w:val="en-US"/>
        </w:rPr>
      </w:pPr>
    </w:p>
    <w:p w14:paraId="0A7E9CAF" w14:textId="7D98CF6C" w:rsidR="00A10D3A" w:rsidRPr="00B845AF" w:rsidRDefault="00A10D3A">
      <w:pPr>
        <w:pStyle w:val="SCtext"/>
        <w:rPr>
          <w:rFonts w:asciiTheme="minorHAnsi" w:hAnsiTheme="minorHAnsi" w:cstheme="minorHAnsi"/>
          <w:lang w:val="en-US"/>
        </w:rPr>
      </w:pPr>
      <w:r w:rsidRPr="00B845AF">
        <w:rPr>
          <w:rFonts w:asciiTheme="minorHAnsi" w:hAnsiTheme="minorHAnsi" w:cstheme="minorHAnsi"/>
          <w:lang w:val="en-US"/>
        </w:rPr>
        <w:t xml:space="preserve">Japan stated it was comfortable with the suggestion to form an </w:t>
      </w:r>
      <w:r w:rsidR="00E33228" w:rsidRPr="00B845AF">
        <w:rPr>
          <w:rFonts w:asciiTheme="minorHAnsi" w:hAnsiTheme="minorHAnsi" w:cstheme="minorHAnsi"/>
          <w:lang w:val="en-US"/>
        </w:rPr>
        <w:t>ISG but</w:t>
      </w:r>
      <w:r w:rsidRPr="00B845AF">
        <w:rPr>
          <w:rFonts w:asciiTheme="minorHAnsi" w:hAnsiTheme="minorHAnsi" w:cstheme="minorHAnsi"/>
          <w:lang w:val="en-US"/>
        </w:rPr>
        <w:t xml:space="preserve"> flagged that one </w:t>
      </w:r>
      <w:proofErr w:type="gramStart"/>
      <w:r w:rsidRPr="00B845AF">
        <w:rPr>
          <w:rFonts w:asciiTheme="minorHAnsi" w:hAnsiTheme="minorHAnsi" w:cstheme="minorHAnsi"/>
          <w:lang w:val="en-US"/>
        </w:rPr>
        <w:t>particular issue</w:t>
      </w:r>
      <w:proofErr w:type="gramEnd"/>
      <w:r w:rsidRPr="00B845AF">
        <w:rPr>
          <w:rFonts w:asciiTheme="minorHAnsi" w:hAnsiTheme="minorHAnsi" w:cstheme="minorHAnsi"/>
          <w:lang w:val="en-US"/>
        </w:rPr>
        <w:t xml:space="preserve"> in the proposal relates to measures connected to the sea turtle CMM, noting a possible interaction between this item and the review of the sea turtle CMM. The </w:t>
      </w:r>
      <w:r w:rsidR="00BD5A29" w:rsidRPr="00B845AF">
        <w:rPr>
          <w:rFonts w:asciiTheme="minorHAnsi" w:hAnsiTheme="minorHAnsi" w:cstheme="minorHAnsi"/>
          <w:lang w:val="en-US"/>
        </w:rPr>
        <w:t>theme c</w:t>
      </w:r>
      <w:r w:rsidRPr="00B845AF">
        <w:rPr>
          <w:rFonts w:asciiTheme="minorHAnsi" w:hAnsiTheme="minorHAnsi" w:cstheme="minorHAnsi"/>
          <w:lang w:val="en-US"/>
        </w:rPr>
        <w:t xml:space="preserve">onvener thanked Japan and noted </w:t>
      </w:r>
      <w:r w:rsidRPr="00B845AF">
        <w:rPr>
          <w:rFonts w:asciiTheme="minorHAnsi" w:hAnsiTheme="minorHAnsi" w:cstheme="minorHAnsi"/>
          <w:lang w:val="en-US"/>
        </w:rPr>
        <w:lastRenderedPageBreak/>
        <w:t>that presentations on sea turtles would be given later in the week, suggesting the Committee should consider whether to allow those discussions to occur before finalizing decisions on this point.</w:t>
      </w:r>
    </w:p>
    <w:p w14:paraId="48AE207B" w14:textId="77777777" w:rsidR="00A10D3A" w:rsidRPr="00B845AF" w:rsidRDefault="00A10D3A" w:rsidP="00A10D3A">
      <w:pPr>
        <w:pStyle w:val="SCtext"/>
        <w:numPr>
          <w:ilvl w:val="0"/>
          <w:numId w:val="0"/>
        </w:numPr>
        <w:rPr>
          <w:rFonts w:asciiTheme="minorHAnsi" w:hAnsiTheme="minorHAnsi" w:cstheme="minorHAnsi"/>
          <w:lang w:val="en-US"/>
        </w:rPr>
      </w:pPr>
    </w:p>
    <w:p w14:paraId="54DC8059" w14:textId="4CD68185" w:rsidR="00A10D3A" w:rsidRPr="00B845AF" w:rsidRDefault="00A10D3A">
      <w:pPr>
        <w:pStyle w:val="SCtext"/>
        <w:rPr>
          <w:rFonts w:asciiTheme="minorHAnsi" w:hAnsiTheme="minorHAnsi" w:cstheme="minorHAnsi"/>
          <w:lang w:val="en-US"/>
        </w:rPr>
      </w:pPr>
      <w:r w:rsidRPr="00B845AF">
        <w:rPr>
          <w:rFonts w:asciiTheme="minorHAnsi" w:hAnsiTheme="minorHAnsi" w:cstheme="minorHAnsi"/>
          <w:lang w:val="en-US"/>
        </w:rPr>
        <w:t>Chinese Taipei stated that the proposal to add a new data field should be considered carefully, since it would require members to revise their logbooks, characterizing this as a significant issue for members.</w:t>
      </w:r>
    </w:p>
    <w:p w14:paraId="5C33B0C5" w14:textId="77777777" w:rsidR="00455D06" w:rsidRPr="00B845AF" w:rsidRDefault="00455D06" w:rsidP="00455D06">
      <w:pPr>
        <w:pStyle w:val="SCtext"/>
        <w:numPr>
          <w:ilvl w:val="0"/>
          <w:numId w:val="0"/>
        </w:numPr>
        <w:rPr>
          <w:rFonts w:asciiTheme="minorHAnsi" w:hAnsiTheme="minorHAnsi" w:cstheme="minorHAnsi"/>
          <w:lang w:val="en-US"/>
        </w:rPr>
      </w:pPr>
    </w:p>
    <w:p w14:paraId="48ED25F8" w14:textId="08F1BA65" w:rsidR="00455D06" w:rsidRPr="00B845AF" w:rsidRDefault="00455D06">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Vanuatu, on behalf of the FFA members, thanked the SSP for WP04 and stated that FFA members supported the objectives of the paper. FFA members noted that some FFA members had adopted the data fields in Table 2 of the paper as interim minimum data fields for unloading </w:t>
      </w:r>
      <w:proofErr w:type="gramStart"/>
      <w:r w:rsidRPr="00B845AF">
        <w:rPr>
          <w:rFonts w:asciiTheme="minorHAnsi" w:eastAsia="MS Mincho" w:hAnsiTheme="minorHAnsi" w:cstheme="minorHAnsi"/>
          <w:lang w:val="en-US" w:eastAsia="ja-JP"/>
        </w:rPr>
        <w:t>data, and</w:t>
      </w:r>
      <w:proofErr w:type="gramEnd"/>
      <w:r w:rsidRPr="00B845AF">
        <w:rPr>
          <w:rFonts w:asciiTheme="minorHAnsi" w:eastAsia="MS Mincho" w:hAnsiTheme="minorHAnsi" w:cstheme="minorHAnsi"/>
          <w:lang w:val="en-US" w:eastAsia="ja-JP"/>
        </w:rPr>
        <w:t xml:space="preserve"> emphasized that implementation should be consistent with Article 30 of the Convention and should not result in a disproportionate burden. FFA members also noted that some FFA members had been collecting unloading data for several years, demonstrating continued commitment to strengthening data reporting, and that this data source was relevant to the current discussion of the South Pacific albacore (SP albacore) draft implementing measure. FFA members raised a number of specific points: a data field should be included to identify whether an unloading is a full or partial unloading; where catches from multiple fishing trips are combined, the SSP should require sufficient information, such as unique identifiers, to link catches back to the originating trip, with trip identifiers used to maintain traceability, and where disaggregation to the originating trip is not possible, the SSP should provide practical guidance on how such cases should be documented and reported; validation of catch area should utilize existing data sources, such as VMS, where appropriate; catch destination information collected should be limited to what is necessary for the intended purpose; and, on scope, given the initial focus on SP albacore, the scope should align with that of the draft SP albacore implementing measure, namely unloading data for all longline fishing trips, whether part of a multi-trip unloading or a complete trip, for the area south of the equator, with carrier vessel unloading also monitored where the underlying fishing trip falls within that scope. On the roles of SC and the TCC, FFA members suggested these align with existing WCPFC data processes, with the SC focusing on scientific integrity and data standards, the TCC focusing on implementation and compliance considerations, and the SSP providing initial technical evaluation consistent with the treatment of other data sources. FFA members supported the interim minimum data fields for unloading, noting that these could be further refined and enhanced over time and with implementation experience, and, given the importance of progressing this work ahead of the Commission meeting in December, recommended that the SSP update the paper with comments received and forward it to the TCC.</w:t>
      </w:r>
    </w:p>
    <w:p w14:paraId="3C886193" w14:textId="77777777" w:rsidR="00455D06" w:rsidRPr="00B845AF" w:rsidRDefault="00455D06" w:rsidP="00455D06">
      <w:pPr>
        <w:pStyle w:val="SCtext"/>
        <w:numPr>
          <w:ilvl w:val="0"/>
          <w:numId w:val="0"/>
        </w:numPr>
        <w:rPr>
          <w:rFonts w:asciiTheme="minorHAnsi" w:hAnsiTheme="minorHAnsi" w:cstheme="minorHAnsi"/>
          <w:lang w:val="en-US"/>
        </w:rPr>
      </w:pPr>
    </w:p>
    <w:p w14:paraId="3742638C" w14:textId="7685A4FB" w:rsidR="00455D06" w:rsidRPr="00B845AF" w:rsidRDefault="00455D06">
      <w:pPr>
        <w:pStyle w:val="SCtext"/>
        <w:rPr>
          <w:rFonts w:asciiTheme="minorHAnsi" w:hAnsiTheme="minorHAnsi" w:cstheme="minorHAnsi"/>
          <w:lang w:val="en-US"/>
        </w:rPr>
      </w:pPr>
      <w:r w:rsidRPr="00B845AF">
        <w:rPr>
          <w:rFonts w:asciiTheme="minorHAnsi" w:hAnsiTheme="minorHAnsi" w:cstheme="minorHAnsi"/>
          <w:lang w:val="en-US"/>
        </w:rPr>
        <w:t xml:space="preserve">Chinese Taipei stated that the standards, specifications and procedures were useful for the purpose of catch allocation monitoring and for real-time data collection and reporting that could effectively monitor CCM compliance with CMMs, and that this required a set of procedures to process data submitted by CCMs. Chinese Taipei noted that CCM fisheries operations vary, leading to differences in data verification procedures, and that there was no one-size-fits-all approach. Chinese Taipei stated it had no objection to submitting unloading data according to the relevant </w:t>
      </w:r>
      <w:r w:rsidR="001D3F8D" w:rsidRPr="00B845AF">
        <w:rPr>
          <w:rFonts w:asciiTheme="minorHAnsi" w:hAnsiTheme="minorHAnsi" w:cstheme="minorHAnsi"/>
          <w:lang w:val="en-US"/>
        </w:rPr>
        <w:t xml:space="preserve">CCM </w:t>
      </w:r>
      <w:r w:rsidR="00E33228" w:rsidRPr="00B845AF">
        <w:rPr>
          <w:rFonts w:asciiTheme="minorHAnsi" w:hAnsiTheme="minorHAnsi" w:cstheme="minorHAnsi"/>
          <w:lang w:val="en-US"/>
        </w:rPr>
        <w:t>but</w:t>
      </w:r>
      <w:r w:rsidRPr="00B845AF">
        <w:rPr>
          <w:rFonts w:asciiTheme="minorHAnsi" w:hAnsiTheme="minorHAnsi" w:cstheme="minorHAnsi"/>
          <w:lang w:val="en-US"/>
        </w:rPr>
        <w:t xml:space="preserve"> expressed the view that verification of unloading and logbook data should be conducted by flag states.</w:t>
      </w:r>
    </w:p>
    <w:p w14:paraId="690F7610" w14:textId="77777777" w:rsidR="00F55B98" w:rsidRPr="00B845AF" w:rsidRDefault="00F55B98" w:rsidP="00F55B98">
      <w:pPr>
        <w:pStyle w:val="SCtext"/>
        <w:numPr>
          <w:ilvl w:val="0"/>
          <w:numId w:val="0"/>
        </w:numPr>
        <w:rPr>
          <w:rFonts w:asciiTheme="minorHAnsi" w:hAnsiTheme="minorHAnsi" w:cstheme="minorHAnsi"/>
          <w:lang w:val="en-US"/>
        </w:rPr>
      </w:pPr>
    </w:p>
    <w:p w14:paraId="3084CB42" w14:textId="5CE2408B" w:rsidR="00F55B98" w:rsidRPr="00B845AF" w:rsidRDefault="00F55B98">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SSP for the paper and recognized that additional data could help validate and verify catch estimates, but questioned the need for this additional data at this time, stating that verifying or validating catch limits had not generally been identified as a significant data gap for stocks where catch limits are already in place, that reliable estimates could be generated for target species with low rates of monitoring, and that increased monitoring was more important for species with fewer interactions. The USA noted that catch limits had been in place for many years for other stocks, such as bigeye tuna and Pacific bluefin tuna, without unloading data being required to validate catch estimates, </w:t>
      </w:r>
      <w:r w:rsidRPr="00B845AF">
        <w:rPr>
          <w:rFonts w:asciiTheme="minorHAnsi" w:hAnsiTheme="minorHAnsi" w:cstheme="minorHAnsi"/>
          <w:lang w:val="en-US"/>
        </w:rPr>
        <w:lastRenderedPageBreak/>
        <w:t>and stated it was unclear why additional information was needed to monitor catch estimates for SP albacore. The USA acknowledged that unloading data had been discussed at recent SP albacore workshops but, given that this had not previously been identified as a significant scientific data gap, suggested it may be premature for the SC to develop detailed unloading data standards without clearer guidance from the Commission on the need for and intended use of the data. The USA also asked the SSP whether data systems were in place to verify logbook data using unloading data, and what additional resources implementation might require.</w:t>
      </w:r>
    </w:p>
    <w:p w14:paraId="6ED30B2E" w14:textId="77777777" w:rsidR="000431ED" w:rsidRPr="00B845AF" w:rsidRDefault="000431ED" w:rsidP="000431ED">
      <w:pPr>
        <w:pStyle w:val="SCtext"/>
        <w:numPr>
          <w:ilvl w:val="0"/>
          <w:numId w:val="0"/>
        </w:numPr>
        <w:rPr>
          <w:rFonts w:asciiTheme="minorHAnsi" w:hAnsiTheme="minorHAnsi" w:cstheme="minorHAnsi"/>
          <w:lang w:val="en-US"/>
        </w:rPr>
      </w:pPr>
    </w:p>
    <w:p w14:paraId="36079B6C" w14:textId="53D28600" w:rsidR="000431ED" w:rsidRPr="00B845AF" w:rsidRDefault="000431ED">
      <w:pPr>
        <w:pStyle w:val="SCtext"/>
        <w:rPr>
          <w:rFonts w:asciiTheme="minorHAnsi" w:hAnsiTheme="minorHAnsi" w:cstheme="minorHAnsi"/>
          <w:lang w:val="en-US"/>
        </w:rPr>
      </w:pPr>
      <w:r w:rsidRPr="00B845AF">
        <w:rPr>
          <w:rFonts w:asciiTheme="minorHAnsi" w:hAnsiTheme="minorHAnsi" w:cstheme="minorHAnsi"/>
          <w:lang w:val="en-US"/>
        </w:rPr>
        <w:t>In response to the USA, the SSP stated that data systems were in place, though there was not currently a generalized data collection process for unloading data, with data arriving in various forms, including entry into Tufman2 or as CSV or Excel spreadsheets, and that once received, systems were in place to match data sets, so this would not require much additional work. The SSP noted an ongoing challenge related to trip definitions, since trips end at transshipment events or on return to port, and because the SSP does not receive transshipment data, it can sometimes be difficult to verify when trips begin and end, which can complicate matching between data sets.</w:t>
      </w:r>
    </w:p>
    <w:p w14:paraId="4E6B9B8B" w14:textId="77777777" w:rsidR="004610BC" w:rsidRPr="00B845AF" w:rsidRDefault="004610BC" w:rsidP="004610BC">
      <w:pPr>
        <w:pStyle w:val="SCtext"/>
        <w:numPr>
          <w:ilvl w:val="0"/>
          <w:numId w:val="0"/>
        </w:numPr>
        <w:rPr>
          <w:rFonts w:asciiTheme="minorHAnsi" w:hAnsiTheme="minorHAnsi" w:cstheme="minorHAnsi"/>
          <w:lang w:val="en-US"/>
        </w:rPr>
      </w:pPr>
    </w:p>
    <w:p w14:paraId="2EC84381" w14:textId="578F0979"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t>China thanked the SSP for the paper and noted the range of existing data streams, including human observer data, electronic monitoring, and operational data submissions, and asked how unloading data would contribute to scientific work such as stock assessment, noting that while some RFMOs request such data, this would represent additional work for the Secretariat and CCMs, and asked whether the SSP could test how the data might be used, for example through simulation, before a template is finalized, to demonstrate its effectiveness.</w:t>
      </w:r>
    </w:p>
    <w:p w14:paraId="256B5182" w14:textId="77777777" w:rsidR="004610BC" w:rsidRPr="00B845AF" w:rsidRDefault="004610BC" w:rsidP="004610BC">
      <w:pPr>
        <w:pStyle w:val="SCtext"/>
        <w:numPr>
          <w:ilvl w:val="0"/>
          <w:numId w:val="0"/>
        </w:numPr>
        <w:rPr>
          <w:rFonts w:asciiTheme="minorHAnsi" w:hAnsiTheme="minorHAnsi" w:cstheme="minorHAnsi"/>
          <w:lang w:val="en-US"/>
        </w:rPr>
      </w:pPr>
    </w:p>
    <w:p w14:paraId="497CE5F7" w14:textId="4403ABD7"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t>In response to China, the SSP stated that the main value of unloading data is in verifying catches reported in logbook data, noting that fishers are generally good at estimating catch weights but that some discrepancies can occur, and that an independent source of information would help verify what is reported in the logbook.</w:t>
      </w:r>
    </w:p>
    <w:p w14:paraId="5BE439A3" w14:textId="77777777" w:rsidR="004610BC" w:rsidRPr="00B845AF" w:rsidRDefault="004610BC" w:rsidP="004610BC">
      <w:pPr>
        <w:pStyle w:val="SCtext"/>
        <w:numPr>
          <w:ilvl w:val="0"/>
          <w:numId w:val="0"/>
        </w:numPr>
        <w:rPr>
          <w:rFonts w:asciiTheme="minorHAnsi" w:hAnsiTheme="minorHAnsi" w:cstheme="minorHAnsi"/>
          <w:lang w:val="en-US"/>
        </w:rPr>
      </w:pPr>
    </w:p>
    <w:p w14:paraId="7B09DA2B" w14:textId="24D565AF"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t>Japan stated that this issue should focus only on SP albacore, and that the purpose of the proposal needed to be clarified, since CCMs currently submit information based on logbooks, and the SSP’s clarification that the purpose was verification represented, in Japan’s view, a new concept whose workability needed further discussion. Japan stated that, in its view, this verification purpose belonged elsewhere, primarily with the TCC, and supported the suggestion from FFA to forward the paper, along with comments received, to the TCC for further consideration, while reiterating that the purpose of the proposal needed to be clarified.</w:t>
      </w:r>
    </w:p>
    <w:p w14:paraId="29AAB548" w14:textId="77777777" w:rsidR="004610BC" w:rsidRPr="00B845AF" w:rsidRDefault="004610BC" w:rsidP="004610BC">
      <w:pPr>
        <w:pStyle w:val="SCtext"/>
        <w:numPr>
          <w:ilvl w:val="0"/>
          <w:numId w:val="0"/>
        </w:numPr>
        <w:rPr>
          <w:rFonts w:asciiTheme="minorHAnsi" w:hAnsiTheme="minorHAnsi" w:cstheme="minorHAnsi"/>
          <w:lang w:val="en-US"/>
        </w:rPr>
      </w:pPr>
    </w:p>
    <w:p w14:paraId="2842C6E7" w14:textId="42936EF8"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t xml:space="preserve">Korea recognized the value of unloading data for </w:t>
      </w:r>
      <w:proofErr w:type="gramStart"/>
      <w:r w:rsidRPr="00B845AF">
        <w:rPr>
          <w:rFonts w:asciiTheme="minorHAnsi" w:hAnsiTheme="minorHAnsi" w:cstheme="minorHAnsi"/>
          <w:lang w:val="en-US"/>
        </w:rPr>
        <w:t>independently</w:t>
      </w:r>
      <w:proofErr w:type="gramEnd"/>
      <w:r w:rsidRPr="00B845AF">
        <w:rPr>
          <w:rFonts w:asciiTheme="minorHAnsi" w:hAnsiTheme="minorHAnsi" w:cstheme="minorHAnsi"/>
          <w:lang w:val="en-US"/>
        </w:rPr>
        <w:t xml:space="preserve"> cross-validating logbook catches and supporting credible SP albacore catch limits and </w:t>
      </w:r>
      <w:r w:rsidR="00E33228" w:rsidRPr="00B845AF">
        <w:rPr>
          <w:rFonts w:asciiTheme="minorHAnsi" w:hAnsiTheme="minorHAnsi" w:cstheme="minorHAnsi"/>
          <w:lang w:val="en-US"/>
        </w:rPr>
        <w:t>allocation but</w:t>
      </w:r>
      <w:r w:rsidRPr="00B845AF">
        <w:rPr>
          <w:rFonts w:asciiTheme="minorHAnsi" w:hAnsiTheme="minorHAnsi" w:cstheme="minorHAnsi"/>
          <w:lang w:val="en-US"/>
        </w:rPr>
        <w:t xml:space="preserve"> stated that unloading data alone cannot verify the fishing area, and that complete catch accounting also requires proper treatment of partial </w:t>
      </w:r>
      <w:proofErr w:type="spellStart"/>
      <w:r w:rsidRPr="00B845AF">
        <w:rPr>
          <w:rFonts w:asciiTheme="minorHAnsi" w:hAnsiTheme="minorHAnsi" w:cstheme="minorHAnsi"/>
          <w:lang w:val="en-US"/>
        </w:rPr>
        <w:t>unloadings</w:t>
      </w:r>
      <w:proofErr w:type="spellEnd"/>
      <w:r w:rsidRPr="00B845AF">
        <w:rPr>
          <w:rFonts w:asciiTheme="minorHAnsi" w:hAnsiTheme="minorHAnsi" w:cstheme="minorHAnsi"/>
          <w:lang w:val="en-US"/>
        </w:rPr>
        <w:t xml:space="preserve"> and transshipments. Korea </w:t>
      </w:r>
      <w:proofErr w:type="gramStart"/>
      <w:r w:rsidRPr="00B845AF">
        <w:rPr>
          <w:rFonts w:asciiTheme="minorHAnsi" w:hAnsiTheme="minorHAnsi" w:cstheme="minorHAnsi"/>
          <w:lang w:val="en-US"/>
        </w:rPr>
        <w:t>suggested first</w:t>
      </w:r>
      <w:proofErr w:type="gramEnd"/>
      <w:r w:rsidRPr="00B845AF">
        <w:rPr>
          <w:rFonts w:asciiTheme="minorHAnsi" w:hAnsiTheme="minorHAnsi" w:cstheme="minorHAnsi"/>
          <w:lang w:val="en-US"/>
        </w:rPr>
        <w:t xml:space="preserve"> establishing a clear and consolidated relationship between logbook and VMS data, which are already provided to the SSP, to verify SP albacore catch by EEZ and high seas, before applying unloading data to the system. Korea supported a phased and practical approach to data collection, and stated that, regarding the data fields proposed, additional fields such as market destination information should only be required where clearly necessary for catch verification, suggesting one option would be to establish a mandatory set of core fields while keeping supplementary fields, such as market destination information, optional until their necessity and feasibility are demonstrated.</w:t>
      </w:r>
    </w:p>
    <w:p w14:paraId="1C438F42" w14:textId="77777777" w:rsidR="004610BC" w:rsidRPr="00B845AF" w:rsidRDefault="004610BC" w:rsidP="004610BC">
      <w:pPr>
        <w:pStyle w:val="SCtext"/>
        <w:numPr>
          <w:ilvl w:val="0"/>
          <w:numId w:val="0"/>
        </w:numPr>
        <w:rPr>
          <w:rFonts w:asciiTheme="minorHAnsi" w:hAnsiTheme="minorHAnsi" w:cstheme="minorHAnsi"/>
          <w:lang w:val="en-US"/>
        </w:rPr>
      </w:pPr>
    </w:p>
    <w:p w14:paraId="36C2D944" w14:textId="0CDEC9E5"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The EU stated that it appreciated the work carried out and understood the rationale for, and saw value in, having additional sources of information, particularly where catch limits are established, but agreed with other CCMs that this may be premature, particularly if extended to other fisheries. The EU noted that it already has a process in place for automatic correction of operational logbook data based on landing </w:t>
      </w:r>
      <w:proofErr w:type="gramStart"/>
      <w:r w:rsidRPr="00B845AF">
        <w:rPr>
          <w:rFonts w:asciiTheme="minorHAnsi" w:hAnsiTheme="minorHAnsi" w:cstheme="minorHAnsi"/>
          <w:lang w:val="en-US"/>
        </w:rPr>
        <w:t>information, and</w:t>
      </w:r>
      <w:proofErr w:type="gramEnd"/>
      <w:r w:rsidRPr="00B845AF">
        <w:rPr>
          <w:rFonts w:asciiTheme="minorHAnsi" w:hAnsiTheme="minorHAnsi" w:cstheme="minorHAnsi"/>
          <w:lang w:val="en-US"/>
        </w:rPr>
        <w:t xml:space="preserve"> stated that the implications of implementing a different system would need to be carefully analyzed.</w:t>
      </w:r>
    </w:p>
    <w:p w14:paraId="59F40C10" w14:textId="77777777" w:rsidR="004610BC" w:rsidRPr="00B845AF" w:rsidRDefault="004610BC" w:rsidP="004610BC">
      <w:pPr>
        <w:pStyle w:val="SCtext"/>
        <w:numPr>
          <w:ilvl w:val="0"/>
          <w:numId w:val="0"/>
        </w:numPr>
        <w:rPr>
          <w:rFonts w:asciiTheme="minorHAnsi" w:hAnsiTheme="minorHAnsi" w:cstheme="minorHAnsi"/>
          <w:lang w:val="en-US"/>
        </w:rPr>
      </w:pPr>
    </w:p>
    <w:p w14:paraId="3AACA911" w14:textId="6833F889" w:rsidR="004610BC" w:rsidRPr="00B845AF" w:rsidRDefault="004610BC">
      <w:pPr>
        <w:pStyle w:val="SCtext"/>
        <w:rPr>
          <w:rFonts w:asciiTheme="minorHAnsi" w:hAnsiTheme="minorHAnsi" w:cstheme="minorHAnsi"/>
          <w:lang w:val="en-US"/>
        </w:rPr>
      </w:pPr>
      <w:r w:rsidRPr="00B845AF">
        <w:rPr>
          <w:rFonts w:asciiTheme="minorHAnsi" w:hAnsiTheme="minorHAnsi" w:cstheme="minorHAnsi"/>
          <w:lang w:val="en-US"/>
        </w:rPr>
        <w:t>The USA, in a further intervention, stated that it agreed with the point made by Japan and reiterated that this discussion may be more appropriate for the TCC, noting that it had not yet been agreed that unloading data would be used to verify SP albacore catch, as opposed to being used for compliance purposes.</w:t>
      </w:r>
    </w:p>
    <w:p w14:paraId="2CD28513" w14:textId="77777777" w:rsidR="008E32EC" w:rsidRPr="00B845AF" w:rsidRDefault="008E32EC" w:rsidP="008E32EC">
      <w:pPr>
        <w:pStyle w:val="SCtext"/>
        <w:numPr>
          <w:ilvl w:val="0"/>
          <w:numId w:val="0"/>
        </w:numPr>
        <w:rPr>
          <w:rFonts w:asciiTheme="minorHAnsi" w:hAnsiTheme="minorHAnsi" w:cstheme="minorHAnsi"/>
          <w:lang w:val="en-US"/>
        </w:rPr>
      </w:pPr>
    </w:p>
    <w:p w14:paraId="494E9EEE" w14:textId="31240CBF" w:rsidR="008E32EC" w:rsidRPr="00B845AF" w:rsidRDefault="008E32EC">
      <w:pPr>
        <w:pStyle w:val="SCtext"/>
        <w:rPr>
          <w:rFonts w:asciiTheme="minorHAnsi" w:hAnsiTheme="minorHAnsi" w:cstheme="minorHAnsi"/>
          <w:lang w:val="en-US"/>
        </w:rPr>
      </w:pPr>
      <w:r w:rsidRPr="00B845AF">
        <w:rPr>
          <w:rFonts w:asciiTheme="minorHAnsi" w:hAnsiTheme="minorHAnsi" w:cstheme="minorHAnsi"/>
          <w:lang w:val="en-US"/>
        </w:rPr>
        <w:t>New Zealand, on behalf of the FFA members, thanked CCMs for their initial views and stated that the TCC would be a good place to progress the discussion.</w:t>
      </w:r>
    </w:p>
    <w:p w14:paraId="4F09D9F2" w14:textId="77777777" w:rsidR="008E32EC" w:rsidRPr="00B845AF" w:rsidRDefault="008E32EC" w:rsidP="008E32EC">
      <w:pPr>
        <w:pStyle w:val="SCtext"/>
        <w:numPr>
          <w:ilvl w:val="0"/>
          <w:numId w:val="0"/>
        </w:numPr>
        <w:rPr>
          <w:rFonts w:asciiTheme="minorHAnsi" w:hAnsiTheme="minorHAnsi" w:cstheme="minorHAnsi"/>
          <w:lang w:val="en-US"/>
        </w:rPr>
      </w:pPr>
    </w:p>
    <w:p w14:paraId="413BE098" w14:textId="203D7A06" w:rsidR="008E32EC" w:rsidRPr="00B845AF" w:rsidRDefault="008E32EC">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theme convener noted that the general recommendation emerging from the discussion was for WP04 to be forwarded to the TCC for its consideration.</w:t>
      </w:r>
    </w:p>
    <w:p w14:paraId="717EE97B" w14:textId="77777777" w:rsidR="00AD349A" w:rsidRPr="00B845AF" w:rsidRDefault="00AD349A" w:rsidP="00AD349A">
      <w:pPr>
        <w:pStyle w:val="SCtext"/>
        <w:numPr>
          <w:ilvl w:val="0"/>
          <w:numId w:val="0"/>
        </w:numPr>
        <w:rPr>
          <w:rFonts w:asciiTheme="minorHAnsi" w:hAnsiTheme="minorHAnsi" w:cstheme="minorHAnsi"/>
          <w:lang w:val="en-US"/>
        </w:rPr>
      </w:pPr>
    </w:p>
    <w:p w14:paraId="215A4CB5" w14:textId="137CDB19" w:rsidR="00AD349A" w:rsidRPr="00B845AF" w:rsidRDefault="00AD349A">
      <w:pPr>
        <w:pStyle w:val="SCtext"/>
        <w:rPr>
          <w:rFonts w:asciiTheme="minorHAnsi" w:hAnsiTheme="minorHAnsi" w:cstheme="minorHAnsi"/>
          <w:lang w:val="en-US"/>
        </w:rPr>
      </w:pPr>
      <w:r w:rsidRPr="00B845AF">
        <w:rPr>
          <w:rFonts w:asciiTheme="minorHAnsi" w:hAnsiTheme="minorHAnsi" w:cstheme="minorHAnsi"/>
          <w:lang w:val="en-US"/>
        </w:rPr>
        <w:t xml:space="preserve">ISG02 met on two occasions to consider the proposed revisions to the scientific data provisions in WCPFC-SC22-2026-ST-WP05_Rev02. </w:t>
      </w:r>
      <w:r w:rsidR="00870805" w:rsidRPr="00B845AF">
        <w:rPr>
          <w:rFonts w:asciiTheme="minorHAnsi" w:hAnsiTheme="minorHAnsi" w:cstheme="minorHAnsi"/>
          <w:lang w:val="en-US"/>
        </w:rPr>
        <w:t>The full ISG02 report can be found in</w:t>
      </w:r>
      <w:r w:rsidRPr="00B845AF">
        <w:rPr>
          <w:rFonts w:asciiTheme="minorHAnsi" w:hAnsiTheme="minorHAnsi" w:cstheme="minorHAnsi"/>
          <w:lang w:val="en-US"/>
        </w:rPr>
        <w:t xml:space="preserve"> </w:t>
      </w:r>
      <w:r w:rsidRPr="00B845AF">
        <w:rPr>
          <w:rFonts w:asciiTheme="minorHAnsi" w:hAnsiTheme="minorHAnsi" w:cstheme="minorHAnsi"/>
          <w:b/>
          <w:bCs/>
          <w:lang w:val="en-US"/>
        </w:rPr>
        <w:t xml:space="preserve">Attachment </w:t>
      </w:r>
      <w:r w:rsidR="005623D7" w:rsidRPr="00B845AF">
        <w:rPr>
          <w:rFonts w:asciiTheme="minorHAnsi" w:eastAsia="MS Mincho" w:hAnsiTheme="minorHAnsi" w:cstheme="minorHAnsi"/>
          <w:b/>
          <w:bCs/>
          <w:lang w:val="en-US" w:eastAsia="ja-JP"/>
        </w:rPr>
        <w:t>F</w:t>
      </w:r>
      <w:r w:rsidRPr="00B845AF">
        <w:rPr>
          <w:rFonts w:asciiTheme="minorHAnsi" w:hAnsiTheme="minorHAnsi" w:cstheme="minorHAnsi"/>
          <w:lang w:val="en-US"/>
        </w:rPr>
        <w:t>.</w:t>
      </w:r>
    </w:p>
    <w:p w14:paraId="1059572F" w14:textId="4E7260BE" w:rsidR="00AD3624" w:rsidRPr="00B845AF" w:rsidRDefault="00AD3624" w:rsidP="00AD3624">
      <w:pPr>
        <w:pStyle w:val="SCtext"/>
        <w:numPr>
          <w:ilvl w:val="0"/>
          <w:numId w:val="0"/>
        </w:numPr>
        <w:rPr>
          <w:rFonts w:asciiTheme="minorHAnsi" w:hAnsiTheme="minorHAnsi" w:cstheme="minorHAnsi"/>
          <w:lang w:val="en-US"/>
        </w:rPr>
      </w:pPr>
    </w:p>
    <w:p w14:paraId="5C3436D1" w14:textId="175F3AB2" w:rsidR="00AD3624" w:rsidRPr="00B845AF" w:rsidRDefault="00AD3624" w:rsidP="00AD3624">
      <w:pPr>
        <w:pStyle w:val="SCDR"/>
        <w:rPr>
          <w:rFonts w:asciiTheme="minorHAnsi" w:hAnsiTheme="minorHAnsi" w:cstheme="minorHAnsi"/>
        </w:rPr>
      </w:pPr>
      <w:r w:rsidRPr="00B845AF">
        <w:rPr>
          <w:rFonts w:asciiTheme="minorHAnsi" w:hAnsiTheme="minorHAnsi" w:cstheme="minorHAnsi"/>
        </w:rPr>
        <w:t>Outcomes</w:t>
      </w:r>
    </w:p>
    <w:p w14:paraId="2ACB39CC" w14:textId="3593BD21" w:rsidR="00AD3624" w:rsidRPr="00B845AF" w:rsidRDefault="00334A51">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SC22 recommended that TCC22 review and that WCPFC23 revise the “Scientific Data to be Provided by the Commission (SciData)” as detailed in Attachment 1 of the Summary Report of ISG02 on Scientific Data Provisions to provide greater alignment with the standardized data templates. SC22 requested the SSP to identify additional fields for revision for TCC22’s consideration.</w:t>
      </w:r>
    </w:p>
    <w:p w14:paraId="3A6A2BAD" w14:textId="77777777" w:rsidR="00AD349A" w:rsidRPr="00B845AF" w:rsidRDefault="00AD349A" w:rsidP="00AD349A">
      <w:pPr>
        <w:pStyle w:val="SCtext"/>
        <w:numPr>
          <w:ilvl w:val="0"/>
          <w:numId w:val="0"/>
        </w:numPr>
        <w:rPr>
          <w:rFonts w:asciiTheme="minorHAnsi" w:hAnsiTheme="minorHAnsi" w:cstheme="minorHAnsi"/>
          <w:b/>
          <w:bCs/>
          <w:lang w:val="en-US"/>
        </w:rPr>
      </w:pPr>
    </w:p>
    <w:p w14:paraId="2660909E" w14:textId="1854FC8B" w:rsidR="00AD349A" w:rsidRPr="00B845AF" w:rsidRDefault="00334A51">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 xml:space="preserve">SC22 requested the SSP </w:t>
      </w:r>
      <w:proofErr w:type="gramStart"/>
      <w:r w:rsidRPr="00B845AF">
        <w:rPr>
          <w:rFonts w:asciiTheme="minorHAnsi" w:eastAsia="MS Mincho" w:hAnsiTheme="minorHAnsi" w:cstheme="minorHAnsi"/>
          <w:b/>
          <w:bCs/>
          <w:lang w:val="en-US" w:eastAsia="ja-JP"/>
        </w:rPr>
        <w:t>incorporate</w:t>
      </w:r>
      <w:proofErr w:type="gramEnd"/>
      <w:r w:rsidRPr="00B845AF">
        <w:rPr>
          <w:rFonts w:asciiTheme="minorHAnsi" w:eastAsia="MS Mincho" w:hAnsiTheme="minorHAnsi" w:cstheme="minorHAnsi"/>
          <w:b/>
          <w:bCs/>
          <w:lang w:val="en-US" w:eastAsia="ja-JP"/>
        </w:rPr>
        <w:t xml:space="preserve"> feedback from </w:t>
      </w:r>
      <w:r w:rsidR="00E33228" w:rsidRPr="00B845AF">
        <w:rPr>
          <w:rFonts w:asciiTheme="minorHAnsi" w:eastAsia="MS Mincho" w:hAnsiTheme="minorHAnsi" w:cstheme="minorHAnsi"/>
          <w:b/>
          <w:bCs/>
          <w:lang w:val="en-US" w:eastAsia="ja-JP"/>
        </w:rPr>
        <w:t>SC22 and</w:t>
      </w:r>
      <w:r w:rsidRPr="00B845AF">
        <w:rPr>
          <w:rFonts w:asciiTheme="minorHAnsi" w:eastAsia="MS Mincho" w:hAnsiTheme="minorHAnsi" w:cstheme="minorHAnsi"/>
          <w:b/>
          <w:bCs/>
          <w:lang w:val="en-US" w:eastAsia="ja-JP"/>
        </w:rPr>
        <w:t xml:space="preserve"> submit a revised paper on unloading data to TCC22.</w:t>
      </w:r>
    </w:p>
    <w:p w14:paraId="0DB641AF" w14:textId="77777777" w:rsidR="0035342F" w:rsidRPr="00B845AF" w:rsidRDefault="0035342F" w:rsidP="0035342F">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p>
    <w:p w14:paraId="39F23257" w14:textId="598F37C9" w:rsidR="0017744E" w:rsidRPr="00B845AF" w:rsidRDefault="00605C22" w:rsidP="00D47778">
      <w:pPr>
        <w:pStyle w:val="SC4"/>
        <w:numPr>
          <w:ilvl w:val="3"/>
          <w:numId w:val="24"/>
        </w:numPr>
        <w:rPr>
          <w:rFonts w:asciiTheme="minorHAnsi" w:eastAsia="MS Mincho" w:hAnsiTheme="minorHAnsi" w:cstheme="minorHAnsi"/>
          <w:lang w:eastAsia="ja-JP"/>
        </w:rPr>
      </w:pPr>
      <w:bookmarkStart w:id="24" w:name="_Hlk206697102"/>
      <w:r w:rsidRPr="00B845AF">
        <w:rPr>
          <w:rFonts w:asciiTheme="minorHAnsi" w:eastAsia="MS Mincho" w:hAnsiTheme="minorHAnsi" w:cstheme="minorHAnsi"/>
          <w:lang w:eastAsia="ja-JP"/>
        </w:rPr>
        <w:t xml:space="preserve"> FAD data reporting (FAD logbook and satellite buoy data transmission)</w:t>
      </w:r>
    </w:p>
    <w:p w14:paraId="66593CB5" w14:textId="00357848" w:rsidR="002808E6" w:rsidRPr="00B845AF" w:rsidRDefault="00A10D3A">
      <w:pPr>
        <w:pStyle w:val="SCtext"/>
        <w:rPr>
          <w:rFonts w:asciiTheme="minorHAnsi" w:eastAsia="MS Mincho" w:hAnsiTheme="minorHAnsi" w:cstheme="minorHAnsi"/>
          <w:lang w:val="en-US" w:eastAsia="ja-JP"/>
        </w:rPr>
      </w:pPr>
      <w:bookmarkStart w:id="25" w:name="_Hlk165642330"/>
      <w:bookmarkEnd w:id="24"/>
      <w:r w:rsidRPr="00B845AF">
        <w:rPr>
          <w:rFonts w:asciiTheme="minorHAnsi" w:eastAsia="MS Mincho" w:hAnsiTheme="minorHAnsi" w:cstheme="minorHAnsi"/>
          <w:lang w:val="en-US" w:eastAsia="ja-JP"/>
        </w:rPr>
        <w:t>The FADMO-IWG Chair</w:t>
      </w:r>
      <w:r w:rsidR="002808E6" w:rsidRPr="00B845AF">
        <w:rPr>
          <w:rFonts w:asciiTheme="minorHAnsi" w:eastAsia="MS Mincho" w:hAnsiTheme="minorHAnsi" w:cstheme="minorHAnsi"/>
          <w:lang w:val="en-US" w:eastAsia="ja-JP"/>
        </w:rPr>
        <w:t>, Jamel James (FSM),</w:t>
      </w:r>
      <w:r w:rsidRPr="00B845AF">
        <w:rPr>
          <w:rFonts w:asciiTheme="minorHAnsi" w:eastAsia="MS Mincho" w:hAnsiTheme="minorHAnsi" w:cstheme="minorHAnsi"/>
          <w:lang w:val="en-US" w:eastAsia="ja-JP"/>
        </w:rPr>
        <w:t xml:space="preserve"> presented </w:t>
      </w:r>
      <w:hyperlink r:id="rId29" w:history="1">
        <w:r w:rsidRPr="00B845AF">
          <w:rPr>
            <w:rStyle w:val="Hyperlink"/>
            <w:rFonts w:asciiTheme="minorHAnsi" w:eastAsia="MS Mincho" w:hAnsiTheme="minorHAnsi" w:cstheme="minorHAnsi"/>
            <w:lang w:val="en-US" w:eastAsia="ja-JP"/>
          </w:rPr>
          <w:t>WCPFC-SC22-2026-EB-WP04</w:t>
        </w:r>
      </w:hyperlink>
      <w:r w:rsidRPr="00B845AF">
        <w:rPr>
          <w:rFonts w:asciiTheme="minorHAnsi" w:eastAsia="MS Mincho" w:hAnsiTheme="minorHAnsi" w:cstheme="minorHAnsi"/>
          <w:lang w:val="en-US" w:eastAsia="ja-JP"/>
        </w:rPr>
        <w:t>, reporting on FADMO-IWG’s progress since intersessional email discussions held 24 April to 10 July 2026, covering satellite buoy data transmission, FAD recovery programs, the FAD logbook, biodegradable FADs, and dFAD deployment</w:t>
      </w:r>
      <w:r w:rsidR="00C11803" w:rsidRPr="00B845AF">
        <w:rPr>
          <w:rFonts w:asciiTheme="minorHAnsi" w:eastAsia="MS Mincho" w:hAnsiTheme="minorHAnsi" w:cstheme="minorHAnsi"/>
          <w:lang w:val="en-US" w:eastAsia="ja-JP"/>
        </w:rPr>
        <w:t>.</w:t>
      </w:r>
      <w:r w:rsidR="00C475FF" w:rsidRPr="00B845AF">
        <w:rPr>
          <w:rFonts w:asciiTheme="minorHAnsi" w:eastAsia="MS Mincho" w:hAnsiTheme="minorHAnsi" w:cstheme="minorHAnsi"/>
          <w:lang w:val="en-US" w:eastAsia="ja-JP"/>
        </w:rPr>
        <w:t xml:space="preserve"> </w:t>
      </w:r>
    </w:p>
    <w:p w14:paraId="6E3C6D5D" w14:textId="77777777" w:rsidR="002808E6" w:rsidRPr="00B845AF" w:rsidRDefault="002808E6" w:rsidP="002808E6">
      <w:pPr>
        <w:pStyle w:val="SCtext"/>
        <w:numPr>
          <w:ilvl w:val="0"/>
          <w:numId w:val="0"/>
        </w:numPr>
        <w:rPr>
          <w:rFonts w:asciiTheme="minorHAnsi" w:eastAsia="MS Mincho" w:hAnsiTheme="minorHAnsi" w:cstheme="minorHAnsi"/>
          <w:lang w:val="en-US" w:eastAsia="ja-JP"/>
        </w:rPr>
      </w:pPr>
    </w:p>
    <w:p w14:paraId="51A90543" w14:textId="087AE8AA" w:rsidR="00A10D3A" w:rsidRPr="00B845AF" w:rsidRDefault="00A10D3A" w:rsidP="009D0B7C">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On satellite buoy data, broad agreement had been reached on required data fields, with emerging support for direct transmission from buoy service providers to the SSP. Outstanding issues included transmission pathways, flag CCM access, confidentiality arrangements, and the feasibility of automated event-based reporting, including proposed three-day (loss of communication) and 72-hour (stranding) thresholds. SC22 was invited to advise on data timeliness/completeness needs, which event data can feasibly be automated, and the suitability of the proposed thresholds.</w:t>
      </w:r>
      <w:r w:rsidR="00C475FF"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lang w:val="en-US" w:eastAsia="ja-JP"/>
        </w:rPr>
        <w:t xml:space="preserve">On the FAD logbook, the Commission had already endorsed the Annex II data fields as a sound implementation basis and requested FADMO-IWG to consider streamlined reporting and validation. Implementation issues raised included trip-level versus event-level reporting (for out-of-trip events like buoy transfer or deactivation), simplifying activity </w:t>
      </w:r>
      <w:r w:rsidRPr="00B845AF">
        <w:rPr>
          <w:rFonts w:asciiTheme="minorHAnsi" w:eastAsia="MS Mincho" w:hAnsiTheme="minorHAnsi" w:cstheme="minorHAnsi"/>
          <w:lang w:val="en-US" w:eastAsia="ja-JP"/>
        </w:rPr>
        <w:lastRenderedPageBreak/>
        <w:t>codes, avoiding duplication with systems like PNA iFIMS, and the need for stability before national systems are updated. SC22 was invited to advise on essential event-level data, activity code simplification, validation arrangements, and avoiding duplicate reporting.</w:t>
      </w:r>
    </w:p>
    <w:p w14:paraId="71BA8A04" w14:textId="1C4DB55D" w:rsidR="00A10D3A" w:rsidRPr="00B845AF" w:rsidRDefault="00A10D3A" w:rsidP="00A10D3A">
      <w:pPr>
        <w:pStyle w:val="SCtext"/>
        <w:numPr>
          <w:ilvl w:val="0"/>
          <w:numId w:val="0"/>
        </w:numPr>
        <w:rPr>
          <w:rFonts w:asciiTheme="minorHAnsi" w:eastAsia="MS Mincho" w:hAnsiTheme="minorHAnsi" w:cstheme="minorHAnsi"/>
          <w:lang w:val="en-US" w:eastAsia="ja-JP"/>
        </w:rPr>
      </w:pPr>
    </w:p>
    <w:p w14:paraId="03013EE5" w14:textId="0280311B" w:rsidR="00A10D3A" w:rsidRPr="00B845AF" w:rsidRDefault="00A10D3A" w:rsidP="00A10D3A">
      <w:pPr>
        <w:pStyle w:val="SCDR"/>
        <w:rPr>
          <w:rFonts w:asciiTheme="minorHAnsi" w:hAnsiTheme="minorHAnsi" w:cstheme="minorHAnsi"/>
          <w:lang w:eastAsia="ko-KR"/>
        </w:rPr>
      </w:pPr>
      <w:r w:rsidRPr="00B845AF">
        <w:rPr>
          <w:rFonts w:asciiTheme="minorHAnsi" w:hAnsiTheme="minorHAnsi" w:cstheme="minorHAnsi"/>
          <w:lang w:eastAsia="ko-KR"/>
        </w:rPr>
        <w:t>Discussion</w:t>
      </w:r>
    </w:p>
    <w:p w14:paraId="590D70D1" w14:textId="2912E956" w:rsidR="00A10D3A" w:rsidRPr="00B845AF" w:rsidRDefault="004A7107">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RMI</w:t>
      </w:r>
      <w:r w:rsidR="00EA19DF" w:rsidRPr="00B845AF">
        <w:rPr>
          <w:rFonts w:asciiTheme="minorHAnsi" w:eastAsia="MS Mincho" w:hAnsiTheme="minorHAnsi" w:cstheme="minorHAnsi"/>
          <w:lang w:val="en-US" w:eastAsia="ja-JP"/>
        </w:rPr>
        <w:t>, on behalf of the FFA members, recommended that satellite buoy data capable of automatic generation be transmitted directly from buoy service providers to the SSP using standardized data fields and formats. The FFA members stressed that direct transmission should complement rather than duplicate existing PNA reporting arrangements, and that where PNA systems already meet the agreed data fields, timeliness, and quality standards, this should be recognized as satisfying WCPFC reporting requirements. They continued to support transmission of identification, positional, operational, and environmental buoy data within 24 to 72 hours of deployment to facilitate dFAD trajectory reconstruction, loss and abandonment identification, coastal state awareness, and recovery efforts. On event-based reporting, manually reported events (ownership changes, buoy activation/deactivation, loss, abandonment, retrieval) should be captured through a dedicated mechanism receiving information directly from fishing companies or buoy operators outside vessel trip periods, rather than through the trip-level FAD logbook or automated buoy data. The FFA members also emphasized timely coastal state access to buoy data for dFADs operating in or approaching their waters.</w:t>
      </w:r>
    </w:p>
    <w:p w14:paraId="65C885A3" w14:textId="77777777" w:rsidR="00EA19DF" w:rsidRPr="00B845AF" w:rsidRDefault="00EA19DF" w:rsidP="00EA19DF">
      <w:pPr>
        <w:pStyle w:val="SCtext"/>
        <w:numPr>
          <w:ilvl w:val="0"/>
          <w:numId w:val="0"/>
        </w:numPr>
        <w:rPr>
          <w:rFonts w:asciiTheme="minorHAnsi" w:eastAsia="MS Mincho" w:hAnsiTheme="minorHAnsi" w:cstheme="minorHAnsi"/>
          <w:lang w:val="en-US" w:eastAsia="ja-JP"/>
        </w:rPr>
      </w:pPr>
    </w:p>
    <w:p w14:paraId="6CA78A46" w14:textId="5E0664C3" w:rsidR="00EA19DF" w:rsidRPr="00B845AF" w:rsidRDefault="00EA19DF">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Papua New Guinea, on behalf of the FFA members, stated that the endorsed minimum FAD logbook fields should now provide a stable foundation for implementation, with future refinements limited to clearly identified issues such as design/material classifications and simplifying duplicative activity codes. The FFA members emphasized </w:t>
      </w:r>
      <w:proofErr w:type="gramStart"/>
      <w:r w:rsidRPr="00B845AF">
        <w:rPr>
          <w:rFonts w:asciiTheme="minorHAnsi" w:eastAsia="MS Mincho" w:hAnsiTheme="minorHAnsi" w:cstheme="minorHAnsi"/>
          <w:lang w:val="en-US" w:eastAsia="ja-JP"/>
        </w:rPr>
        <w:t>building on</w:t>
      </w:r>
      <w:proofErr w:type="gramEnd"/>
      <w:r w:rsidRPr="00B845AF">
        <w:rPr>
          <w:rFonts w:asciiTheme="minorHAnsi" w:eastAsia="MS Mincho" w:hAnsiTheme="minorHAnsi" w:cstheme="minorHAnsi"/>
          <w:lang w:val="en-US" w:eastAsia="ja-JP"/>
        </w:rPr>
        <w:t xml:space="preserve"> existing regional systems, including PNA arrangements, rather than creating parallel requirements where equivalent data is already collected.</w:t>
      </w:r>
    </w:p>
    <w:p w14:paraId="36546BED" w14:textId="77777777" w:rsidR="00EA19DF" w:rsidRPr="00B845AF" w:rsidRDefault="00EA19DF" w:rsidP="00EA19DF">
      <w:pPr>
        <w:pStyle w:val="SCtext"/>
        <w:numPr>
          <w:ilvl w:val="0"/>
          <w:numId w:val="0"/>
        </w:numPr>
        <w:rPr>
          <w:rFonts w:asciiTheme="minorHAnsi" w:eastAsia="MS Mincho" w:hAnsiTheme="minorHAnsi" w:cstheme="minorHAnsi"/>
          <w:lang w:val="en-US" w:eastAsia="ja-JP"/>
        </w:rPr>
      </w:pPr>
    </w:p>
    <w:p w14:paraId="397F26F5" w14:textId="1C844D66" w:rsidR="00EA19DF" w:rsidRPr="00B845AF" w:rsidRDefault="00EA19DF">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Solomon Islands, on behalf of the PNA and Vanuatu, supported the FFA statement on FAD logbook fields and, on buoy transmission data, noted the PNA and Vanuatu remained open to how the Commission sources such data. Solomon Islands distinguished SPC data (includes echosounder-derived data, the largest data volume, delayed and possibly incomplete across vessels, but scientifically adequate) from PNA data (near real time, but limited to 20°N to 20°S and excluding echosounder data, designed to support the PNA buoy register). Both are provided by buoy service providers directly; Solomon Islands favored placing the reporting obligation on service providers rather than CCMs or vessel owners, given buoys are sometimes shared across companies and flags.</w:t>
      </w:r>
    </w:p>
    <w:p w14:paraId="1A99FBD4" w14:textId="77777777" w:rsidR="00EA19DF" w:rsidRPr="00B845AF" w:rsidRDefault="00EA19DF" w:rsidP="00EA19DF">
      <w:pPr>
        <w:pStyle w:val="SCtext"/>
        <w:numPr>
          <w:ilvl w:val="0"/>
          <w:numId w:val="0"/>
        </w:numPr>
        <w:rPr>
          <w:rFonts w:asciiTheme="minorHAnsi" w:eastAsia="MS Mincho" w:hAnsiTheme="minorHAnsi" w:cstheme="minorHAnsi"/>
          <w:lang w:val="en-US" w:eastAsia="ja-JP"/>
        </w:rPr>
      </w:pPr>
    </w:p>
    <w:p w14:paraId="227FD111" w14:textId="1E3CE66F" w:rsidR="00EA19DF" w:rsidRPr="00B845AF" w:rsidRDefault="00EA19DF">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Vanuatu, on behalf of the PNA and Vanuatu, suggested that FAD logbook data submission could simply be treated as an extension of existing operational-level log sheet requirements already set out in the Commission’s scientific data requirements, with CCMs then responsible for collection and submission for their vessels.</w:t>
      </w:r>
    </w:p>
    <w:p w14:paraId="2160DFC2" w14:textId="77777777" w:rsidR="00EA19DF" w:rsidRPr="00B845AF" w:rsidRDefault="00EA19DF" w:rsidP="00EA19DF">
      <w:pPr>
        <w:pStyle w:val="SCtext"/>
        <w:numPr>
          <w:ilvl w:val="0"/>
          <w:numId w:val="0"/>
        </w:numPr>
        <w:rPr>
          <w:rFonts w:asciiTheme="minorHAnsi" w:eastAsia="MS Mincho" w:hAnsiTheme="minorHAnsi" w:cstheme="minorHAnsi"/>
          <w:lang w:val="en-US" w:eastAsia="ja-JP"/>
        </w:rPr>
      </w:pPr>
    </w:p>
    <w:p w14:paraId="1B942ADB" w14:textId="59FB4F63" w:rsidR="00EA19DF" w:rsidRPr="00B845AF" w:rsidRDefault="00EA19DF">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The </w:t>
      </w:r>
      <w:r w:rsidR="00BD5A29" w:rsidRPr="00B845AF">
        <w:rPr>
          <w:rFonts w:asciiTheme="minorHAnsi" w:eastAsia="MS Mincho" w:hAnsiTheme="minorHAnsi" w:cstheme="minorHAnsi"/>
          <w:lang w:val="en-US" w:eastAsia="ja-JP"/>
        </w:rPr>
        <w:t>theme c</w:t>
      </w:r>
      <w:r w:rsidRPr="00B845AF">
        <w:rPr>
          <w:rFonts w:asciiTheme="minorHAnsi" w:eastAsia="MS Mincho" w:hAnsiTheme="minorHAnsi" w:cstheme="minorHAnsi"/>
          <w:lang w:val="en-US" w:eastAsia="ja-JP"/>
        </w:rPr>
        <w:t>onvener noted this as a suggestion for possible future consideration, once the FAD logbook fields themselves are agreed.</w:t>
      </w:r>
    </w:p>
    <w:p w14:paraId="359AFBCA" w14:textId="77777777" w:rsidR="00EA19DF" w:rsidRPr="00B845AF" w:rsidRDefault="00EA19DF" w:rsidP="00EA19DF">
      <w:pPr>
        <w:pStyle w:val="SCtext"/>
        <w:numPr>
          <w:ilvl w:val="0"/>
          <w:numId w:val="0"/>
        </w:numPr>
        <w:rPr>
          <w:rFonts w:asciiTheme="minorHAnsi" w:eastAsia="MS Mincho" w:hAnsiTheme="minorHAnsi" w:cstheme="minorHAnsi"/>
          <w:lang w:val="en-US" w:eastAsia="ja-JP"/>
        </w:rPr>
      </w:pPr>
    </w:p>
    <w:p w14:paraId="2424274C" w14:textId="67D6B8EE" w:rsidR="00EA19DF" w:rsidRPr="00B845AF" w:rsidRDefault="00EA19DF">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China supported minimizing the reporting burden on vessel operators and developing a standardized approach to automatically identify relevant events from buoy data wherever feasible, rather than relying on manual reporting.</w:t>
      </w:r>
    </w:p>
    <w:p w14:paraId="338175DA" w14:textId="0892FB8C" w:rsidR="00B729D8" w:rsidRPr="00B845AF" w:rsidRDefault="00B729D8" w:rsidP="00B729D8">
      <w:pPr>
        <w:pStyle w:val="SCtext"/>
        <w:numPr>
          <w:ilvl w:val="0"/>
          <w:numId w:val="0"/>
        </w:numPr>
        <w:rPr>
          <w:rFonts w:asciiTheme="minorHAnsi" w:eastAsia="MS Mincho" w:hAnsiTheme="minorHAnsi" w:cstheme="minorHAnsi"/>
          <w:lang w:val="en-US" w:eastAsia="ja-JP"/>
        </w:rPr>
      </w:pPr>
    </w:p>
    <w:p w14:paraId="09C8EB0D" w14:textId="6FE717EA" w:rsidR="00B729D8" w:rsidRPr="00B845AF" w:rsidRDefault="00B729D8" w:rsidP="00B729D8">
      <w:pPr>
        <w:pStyle w:val="SCDR"/>
        <w:rPr>
          <w:rFonts w:asciiTheme="minorHAnsi" w:hAnsiTheme="minorHAnsi" w:cstheme="minorHAnsi"/>
          <w:lang w:eastAsia="ko-KR"/>
        </w:rPr>
      </w:pPr>
      <w:r w:rsidRPr="00B845AF">
        <w:rPr>
          <w:rFonts w:asciiTheme="minorHAnsi" w:hAnsiTheme="minorHAnsi" w:cstheme="minorHAnsi"/>
          <w:lang w:eastAsia="ko-KR"/>
        </w:rPr>
        <w:lastRenderedPageBreak/>
        <w:t>Outcome</w:t>
      </w:r>
    </w:p>
    <w:p w14:paraId="766CB95E" w14:textId="03F416E1" w:rsidR="00B729D8" w:rsidRPr="00B845AF" w:rsidRDefault="000D3E23">
      <w:pPr>
        <w:pStyle w:val="SCtext"/>
        <w:rPr>
          <w:rFonts w:asciiTheme="minorHAnsi" w:eastAsia="MS Mincho" w:hAnsiTheme="minorHAnsi" w:cstheme="minorHAnsi"/>
          <w:b/>
          <w:bCs/>
          <w:lang w:val="en-US" w:eastAsia="ja-JP"/>
        </w:rPr>
      </w:pPr>
      <w:r w:rsidRPr="00B845AF">
        <w:rPr>
          <w:rFonts w:asciiTheme="minorHAnsi" w:eastAsia="MS Mincho" w:hAnsiTheme="minorHAnsi" w:cstheme="minorHAnsi"/>
          <w:b/>
          <w:bCs/>
          <w:lang w:val="en-US" w:eastAsia="ja-JP"/>
        </w:rPr>
        <w:t xml:space="preserve">SC22 encouraged continued refinement of the satellite buoy data transmission requirements and limited technical refinement of the FAD logbook through the FAD MO IWG. SC22 supported focusing the satellite buoy data transmission fields to those that can be automatically reported from buoy </w:t>
      </w:r>
      <w:r w:rsidR="00E33228" w:rsidRPr="00B845AF">
        <w:rPr>
          <w:rFonts w:asciiTheme="minorHAnsi" w:eastAsia="MS Mincho" w:hAnsiTheme="minorHAnsi" w:cstheme="minorHAnsi"/>
          <w:b/>
          <w:bCs/>
          <w:lang w:val="en-US" w:eastAsia="ja-JP"/>
        </w:rPr>
        <w:t>providers and</w:t>
      </w:r>
      <w:r w:rsidRPr="00B845AF">
        <w:rPr>
          <w:rFonts w:asciiTheme="minorHAnsi" w:eastAsia="MS Mincho" w:hAnsiTheme="minorHAnsi" w:cstheme="minorHAnsi"/>
          <w:b/>
          <w:bCs/>
          <w:lang w:val="en-US" w:eastAsia="ja-JP"/>
        </w:rPr>
        <w:t xml:space="preserve"> suggested the FAD MO IWG consider a separate reporting system for manually and/or automatically reported events.</w:t>
      </w:r>
    </w:p>
    <w:p w14:paraId="62E4C488" w14:textId="7D548E43" w:rsidR="00E90A1D" w:rsidRPr="00B845AF" w:rsidRDefault="00E90A1D" w:rsidP="00E90A1D">
      <w:pPr>
        <w:pStyle w:val="SCtext"/>
        <w:numPr>
          <w:ilvl w:val="0"/>
          <w:numId w:val="0"/>
        </w:numPr>
        <w:rPr>
          <w:rFonts w:asciiTheme="minorHAnsi" w:eastAsia="MS Mincho" w:hAnsiTheme="minorHAnsi" w:cstheme="minorHAnsi"/>
          <w:lang w:val="en-US" w:eastAsia="ja-JP"/>
        </w:rPr>
      </w:pPr>
    </w:p>
    <w:p w14:paraId="3A1353C7" w14:textId="11F43217" w:rsidR="00E90A1D" w:rsidRPr="00B845AF" w:rsidRDefault="00E90A1D">
      <w:pPr>
        <w:pStyle w:val="SC2"/>
        <w:rPr>
          <w:rFonts w:asciiTheme="minorHAnsi" w:hAnsiTheme="minorHAnsi" w:cstheme="minorHAnsi"/>
        </w:rPr>
      </w:pPr>
      <w:r w:rsidRPr="00B845AF">
        <w:rPr>
          <w:rStyle w:val="Strong"/>
          <w:rFonts w:asciiTheme="minorHAnsi" w:hAnsiTheme="minorHAnsi" w:cstheme="minorHAnsi"/>
          <w:b/>
          <w:bCs w:val="0"/>
        </w:rPr>
        <w:t>Evaluation of purse seine fishing activities</w:t>
      </w:r>
    </w:p>
    <w:p w14:paraId="5126BD1E" w14:textId="77777777" w:rsidR="009E2031" w:rsidRPr="00B845AF" w:rsidRDefault="006B5D5A">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The Secretariat presented </w:t>
      </w:r>
      <w:hyperlink r:id="rId30" w:history="1">
        <w:r w:rsidRPr="00B845AF">
          <w:rPr>
            <w:rStyle w:val="Hyperlink"/>
            <w:rFonts w:asciiTheme="minorHAnsi" w:eastAsia="MS Mincho" w:hAnsiTheme="minorHAnsi" w:cstheme="minorHAnsi"/>
            <w:lang w:val="en-US" w:eastAsia="ja-JP"/>
          </w:rPr>
          <w:t>WCPFC-SC22-2026-ST-WP06</w:t>
        </w:r>
      </w:hyperlink>
      <w:r w:rsidRPr="00B845AF">
        <w:rPr>
          <w:rFonts w:asciiTheme="minorHAnsi" w:eastAsia="MS Mincho" w:hAnsiTheme="minorHAnsi" w:cstheme="minorHAnsi"/>
          <w:lang w:val="en-US" w:eastAsia="ja-JP"/>
        </w:rPr>
        <w:t xml:space="preserve">, which compiled catch discard data submitted under the paragraph 16 tasking of CMM 2025-04, covering discarded catch on the high seas between 20 degrees S and 20 degrees N. </w:t>
      </w:r>
    </w:p>
    <w:p w14:paraId="57542303" w14:textId="77777777" w:rsidR="009E2031" w:rsidRPr="00B845AF" w:rsidRDefault="009E2031" w:rsidP="009E2031">
      <w:pPr>
        <w:pStyle w:val="SCtext"/>
        <w:numPr>
          <w:ilvl w:val="0"/>
          <w:numId w:val="0"/>
        </w:numPr>
        <w:rPr>
          <w:rFonts w:asciiTheme="minorHAnsi" w:eastAsia="MS Mincho" w:hAnsiTheme="minorHAnsi" w:cstheme="minorHAnsi"/>
          <w:lang w:val="en-US" w:eastAsia="ja-JP"/>
        </w:rPr>
      </w:pPr>
    </w:p>
    <w:p w14:paraId="144E9A35" w14:textId="563200C3" w:rsidR="00E90A1D" w:rsidRPr="00B845AF" w:rsidRDefault="006B5D5A" w:rsidP="009E2031">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The paper reported that seven CCMs submitted notifications in 2024 and six in 2025, with Naoero submitting the highest number of notifications in both years (109 in 2024 and 265 in 2025). Total discards were 2,189.826 mt in RY2024, of which skipjack tuna (SKJ) comprised 2,082.901 mt (95% of total discards) and yellowfin tuna (YFT) comprised 54.19 mt (2.5%), and 1,000.985 mt in RY2025, of which SKJ comprised 845.942 mt (84.5%) and YFT comprised 94.495 mt (9%). The principal reasons for discarding were gear damage, insufficient well space, fish meshed or crushed in the net, and shark or whale depredation. The Secretariat noted it had established a dedicated email address (</w:t>
      </w:r>
      <w:hyperlink r:id="rId31" w:history="1">
        <w:r w:rsidRPr="00B845AF">
          <w:rPr>
            <w:rStyle w:val="Hyperlink"/>
            <w:rFonts w:asciiTheme="minorHAnsi" w:eastAsia="MS Mincho" w:hAnsiTheme="minorHAnsi" w:cstheme="minorHAnsi"/>
            <w:lang w:val="en-US" w:eastAsia="ja-JP"/>
          </w:rPr>
          <w:t>discards@wcpfc.int</w:t>
        </w:r>
      </w:hyperlink>
      <w:r w:rsidRPr="00B845AF">
        <w:rPr>
          <w:rFonts w:asciiTheme="minorHAnsi" w:eastAsia="MS Mincho" w:hAnsiTheme="minorHAnsi" w:cstheme="minorHAnsi"/>
          <w:lang w:val="en-US" w:eastAsia="ja-JP"/>
        </w:rPr>
        <w:t xml:space="preserve">) to streamline notification management, that no flag CCMs had notified the Secretariat of vessel operators reporting only to the flag CCM, and that Chinese Taipei had submitted its RY2025 compiled catch discard information on 7 July 2026. The Secretariat recommended that SC22 note the establishment of the new notification email, provide feedback on the report to inform future data compilations, and provide </w:t>
      </w:r>
      <w:proofErr w:type="gramStart"/>
      <w:r w:rsidRPr="00B845AF">
        <w:rPr>
          <w:rFonts w:asciiTheme="minorHAnsi" w:eastAsia="MS Mincho" w:hAnsiTheme="minorHAnsi" w:cstheme="minorHAnsi"/>
          <w:lang w:val="en-US" w:eastAsia="ja-JP"/>
        </w:rPr>
        <w:t>any further</w:t>
      </w:r>
      <w:proofErr w:type="gramEnd"/>
      <w:r w:rsidRPr="00B845AF">
        <w:rPr>
          <w:rFonts w:asciiTheme="minorHAnsi" w:eastAsia="MS Mincho" w:hAnsiTheme="minorHAnsi" w:cstheme="minorHAnsi"/>
          <w:lang w:val="en-US" w:eastAsia="ja-JP"/>
        </w:rPr>
        <w:t xml:space="preserve"> advice on the use or management of this data.</w:t>
      </w:r>
    </w:p>
    <w:p w14:paraId="370AB0A8" w14:textId="7C8D2587" w:rsidR="00A71F7A" w:rsidRPr="00B845AF" w:rsidRDefault="00A71F7A" w:rsidP="00A71F7A">
      <w:pPr>
        <w:pStyle w:val="SCtext"/>
        <w:numPr>
          <w:ilvl w:val="0"/>
          <w:numId w:val="0"/>
        </w:numPr>
        <w:rPr>
          <w:rFonts w:asciiTheme="minorHAnsi" w:eastAsia="MS Mincho" w:hAnsiTheme="minorHAnsi" w:cstheme="minorHAnsi"/>
          <w:lang w:val="en-US" w:eastAsia="ja-JP"/>
        </w:rPr>
      </w:pPr>
    </w:p>
    <w:p w14:paraId="71630B17" w14:textId="77777777" w:rsidR="00A71F7A" w:rsidRPr="00B845AF" w:rsidRDefault="00A71F7A" w:rsidP="00A71F7A">
      <w:pPr>
        <w:pStyle w:val="SCDR"/>
        <w:rPr>
          <w:rFonts w:asciiTheme="minorHAnsi" w:hAnsiTheme="minorHAnsi" w:cstheme="minorHAnsi"/>
          <w:lang w:eastAsia="ko-KR"/>
        </w:rPr>
      </w:pPr>
      <w:r w:rsidRPr="00B845AF">
        <w:rPr>
          <w:rFonts w:asciiTheme="minorHAnsi" w:hAnsiTheme="minorHAnsi" w:cstheme="minorHAnsi"/>
          <w:lang w:eastAsia="ko-KR"/>
        </w:rPr>
        <w:t>Discussion</w:t>
      </w:r>
    </w:p>
    <w:p w14:paraId="4DE593BE" w14:textId="7DE9BB0E" w:rsidR="00A71F7A" w:rsidRPr="00B845AF" w:rsidRDefault="001C7452">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Chinese Taipei asked which CCM was responsible for reporting discard information to the Secretariat under charter arrangements. The Secretariat subsequently responded that the discard notification form should be submitted by the flag CCM.</w:t>
      </w:r>
    </w:p>
    <w:p w14:paraId="0AB9F629" w14:textId="77777777" w:rsidR="00AE1254" w:rsidRPr="00B845AF" w:rsidRDefault="00AE1254" w:rsidP="00AE1254">
      <w:pPr>
        <w:pStyle w:val="SCtext"/>
        <w:numPr>
          <w:ilvl w:val="0"/>
          <w:numId w:val="0"/>
        </w:numPr>
        <w:rPr>
          <w:rFonts w:asciiTheme="minorHAnsi" w:eastAsia="MS Mincho" w:hAnsiTheme="minorHAnsi" w:cstheme="minorHAnsi"/>
          <w:lang w:val="en-US" w:eastAsia="ja-JP"/>
        </w:rPr>
      </w:pPr>
    </w:p>
    <w:p w14:paraId="213EB670" w14:textId="174439D4" w:rsidR="00AE1254" w:rsidRPr="00B845AF" w:rsidRDefault="00AE1254">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Kiribati, on behalf of the FFA members, thanked the Secretariat for the paper and presentation and welcomed the dedicated discard reporting email address, while noting that the current data were incomplete and could not yet be used to compare discard performance among CCMs or to estimate discard rates. FFA members encouraged the Secretariat to provide clearer information on data coverage and completeness in future reports, including a distinction between the number of notifications and the volume of discards, and suggested that existing logbook and observer data could be used to help assess completeness and quality where feasible, while avoiding duplicative reporting requirements. FFA members also sought clarification on the relationship between paragraphs 14 and 15 of CMM 2025-04, specifically whether a paragraph 15 compilation had been prepared in an instance where no paragraph 14 notification was </w:t>
      </w:r>
      <w:r w:rsidR="00E33228" w:rsidRPr="00B845AF">
        <w:rPr>
          <w:rFonts w:asciiTheme="minorHAnsi" w:eastAsia="MS Mincho" w:hAnsiTheme="minorHAnsi" w:cstheme="minorHAnsi"/>
          <w:lang w:val="en-US" w:eastAsia="ja-JP"/>
        </w:rPr>
        <w:t>received and</w:t>
      </w:r>
      <w:r w:rsidRPr="00B845AF">
        <w:rPr>
          <w:rFonts w:asciiTheme="minorHAnsi" w:eastAsia="MS Mincho" w:hAnsiTheme="minorHAnsi" w:cstheme="minorHAnsi"/>
          <w:lang w:val="en-US" w:eastAsia="ja-JP"/>
        </w:rPr>
        <w:t xml:space="preserve"> asked that outstanding data still being entered be reflected in future reports.</w:t>
      </w:r>
    </w:p>
    <w:p w14:paraId="2525181F" w14:textId="77777777" w:rsidR="00AE1254" w:rsidRPr="00B845AF" w:rsidRDefault="00AE1254" w:rsidP="00AE1254">
      <w:pPr>
        <w:pStyle w:val="SCtext"/>
        <w:numPr>
          <w:ilvl w:val="0"/>
          <w:numId w:val="0"/>
        </w:numPr>
        <w:rPr>
          <w:rFonts w:asciiTheme="minorHAnsi" w:eastAsia="MS Mincho" w:hAnsiTheme="minorHAnsi" w:cstheme="minorHAnsi"/>
          <w:lang w:val="en-US" w:eastAsia="ja-JP"/>
        </w:rPr>
      </w:pPr>
    </w:p>
    <w:p w14:paraId="0A482A1C" w14:textId="5321AEF3" w:rsidR="00AE1254" w:rsidRPr="00B845AF" w:rsidRDefault="00AE1254">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In response, the Secretariat stated that the paper would be updated and reissued in time for TCC22. On the relationship between paragraphs 14 and 15, the Secretariat explained that a flag CCM may submit data either directly to the Secretariat or through vessel operators, and that in one instance a CCM </w:t>
      </w:r>
      <w:r w:rsidRPr="00B845AF">
        <w:rPr>
          <w:rFonts w:asciiTheme="minorHAnsi" w:eastAsia="MS Mincho" w:hAnsiTheme="minorHAnsi" w:cstheme="minorHAnsi"/>
          <w:lang w:val="en-US" w:eastAsia="ja-JP"/>
        </w:rPr>
        <w:lastRenderedPageBreak/>
        <w:t>had submitted data directly to the Secretariat without an accompanying notification; the Secretariat stated that the reason for this would need to be raised with that CCM directly.</w:t>
      </w:r>
    </w:p>
    <w:p w14:paraId="4E417BD7" w14:textId="77777777" w:rsidR="00EC48EE" w:rsidRPr="00B845AF" w:rsidRDefault="00EC48EE" w:rsidP="00EC48EE">
      <w:pPr>
        <w:pStyle w:val="SCtext"/>
        <w:numPr>
          <w:ilvl w:val="0"/>
          <w:numId w:val="0"/>
        </w:numPr>
        <w:rPr>
          <w:rFonts w:asciiTheme="minorHAnsi" w:eastAsia="MS Mincho" w:hAnsiTheme="minorHAnsi" w:cstheme="minorHAnsi"/>
          <w:lang w:val="en-US" w:eastAsia="ja-JP"/>
        </w:rPr>
      </w:pPr>
    </w:p>
    <w:p w14:paraId="2B255B06" w14:textId="1C0339F6" w:rsidR="00EC48EE" w:rsidRPr="00B845AF" w:rsidRDefault="00EC48EE">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The theme convener asked whether the Secretariat had views on streamlining the report or integrating it with logbook or observer information. The Secretariat responded that this would require further analysis and it could not commit to providing an answer before TCC22.</w:t>
      </w:r>
    </w:p>
    <w:p w14:paraId="42D3598D" w14:textId="77777777" w:rsidR="00EC48EE" w:rsidRPr="00B845AF" w:rsidRDefault="00EC48EE" w:rsidP="00EC48EE">
      <w:pPr>
        <w:pStyle w:val="SCtext"/>
        <w:numPr>
          <w:ilvl w:val="0"/>
          <w:numId w:val="0"/>
        </w:numPr>
        <w:rPr>
          <w:rFonts w:asciiTheme="minorHAnsi" w:eastAsia="MS Mincho" w:hAnsiTheme="minorHAnsi" w:cstheme="minorHAnsi"/>
          <w:lang w:val="en-US" w:eastAsia="ja-JP"/>
        </w:rPr>
      </w:pPr>
    </w:p>
    <w:p w14:paraId="6A13FDF9" w14:textId="437DD583" w:rsidR="00EC48EE" w:rsidRPr="00B845AF" w:rsidRDefault="00EC48EE">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Pew thanked the meeting hosts and asked whether there was an explanation for the large discrepancy between the number of notifications submitted by Naoero and those submitted by other flag CCMs, noting that it did not consider the difference in operating practices between fleets to be large enough to account for the discrepancy and that this raised questions about the reliability of the reported volumes overall.</w:t>
      </w:r>
    </w:p>
    <w:p w14:paraId="4D74CE31" w14:textId="77777777" w:rsidR="00EC48EE" w:rsidRPr="00B845AF" w:rsidRDefault="00EC48EE" w:rsidP="00EC48EE">
      <w:pPr>
        <w:pStyle w:val="SCtext"/>
        <w:numPr>
          <w:ilvl w:val="0"/>
          <w:numId w:val="0"/>
        </w:numPr>
        <w:rPr>
          <w:rFonts w:asciiTheme="minorHAnsi" w:eastAsia="MS Mincho" w:hAnsiTheme="minorHAnsi" w:cstheme="minorHAnsi"/>
          <w:lang w:val="en-US" w:eastAsia="ja-JP"/>
        </w:rPr>
      </w:pPr>
    </w:p>
    <w:p w14:paraId="70212B0F" w14:textId="472F4CAA" w:rsidR="00EC48EE" w:rsidRPr="00B845AF" w:rsidRDefault="00EC48EE">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The theme convener stated that the Secretariat could likely only respond based on the information it had </w:t>
      </w:r>
      <w:r w:rsidR="00E33228" w:rsidRPr="00B845AF">
        <w:rPr>
          <w:rFonts w:asciiTheme="minorHAnsi" w:eastAsia="MS Mincho" w:hAnsiTheme="minorHAnsi" w:cstheme="minorHAnsi"/>
          <w:lang w:val="en-US" w:eastAsia="ja-JP"/>
        </w:rPr>
        <w:t>received and</w:t>
      </w:r>
      <w:r w:rsidRPr="00B845AF">
        <w:rPr>
          <w:rFonts w:asciiTheme="minorHAnsi" w:eastAsia="MS Mincho" w:hAnsiTheme="minorHAnsi" w:cstheme="minorHAnsi"/>
          <w:lang w:val="en-US" w:eastAsia="ja-JP"/>
        </w:rPr>
        <w:t xml:space="preserve"> reiterated the earlier question of whether other information sources could be integrated to examine this issue. The ST theme convener suggested that Pew’s question might be more relevant to </w:t>
      </w:r>
      <w:r w:rsidR="00E33228" w:rsidRPr="00B845AF">
        <w:rPr>
          <w:rFonts w:asciiTheme="minorHAnsi" w:eastAsia="MS Mincho" w:hAnsiTheme="minorHAnsi" w:cstheme="minorHAnsi"/>
          <w:lang w:val="en-US" w:eastAsia="ja-JP"/>
        </w:rPr>
        <w:t>TCC and</w:t>
      </w:r>
      <w:r w:rsidRPr="00B845AF">
        <w:rPr>
          <w:rFonts w:asciiTheme="minorHAnsi" w:eastAsia="MS Mincho" w:hAnsiTheme="minorHAnsi" w:cstheme="minorHAnsi"/>
          <w:lang w:val="en-US" w:eastAsia="ja-JP"/>
        </w:rPr>
        <w:t xml:space="preserve"> noted that this presented an opportunity for CCMs to consider whether the reporting received by the Secretariat reflected their own understanding of what was coming from their vessels, with a further opportunity for discussion when the report is considered by TCC22.</w:t>
      </w:r>
    </w:p>
    <w:p w14:paraId="269544FE" w14:textId="77777777" w:rsidR="0017744E" w:rsidRPr="00B845AF" w:rsidRDefault="0017744E" w:rsidP="0017744E">
      <w:pPr>
        <w:pStyle w:val="SCtext"/>
        <w:numPr>
          <w:ilvl w:val="0"/>
          <w:numId w:val="0"/>
        </w:numPr>
        <w:rPr>
          <w:rFonts w:asciiTheme="minorHAnsi" w:hAnsiTheme="minorHAnsi" w:cstheme="minorHAnsi"/>
          <w:lang w:val="en-US"/>
        </w:rPr>
      </w:pPr>
    </w:p>
    <w:bookmarkEnd w:id="25"/>
    <w:p w14:paraId="7F18D69F" w14:textId="088049C6" w:rsidR="0035342F" w:rsidRPr="00B845AF" w:rsidRDefault="0035342F">
      <w:pPr>
        <w:pStyle w:val="SC2"/>
        <w:rPr>
          <w:rFonts w:asciiTheme="minorHAnsi" w:hAnsiTheme="minorHAnsi" w:cstheme="minorHAnsi"/>
        </w:rPr>
      </w:pPr>
      <w:r w:rsidRPr="00B845AF">
        <w:rPr>
          <w:rFonts w:asciiTheme="minorHAnsi" w:hAnsiTheme="minorHAnsi" w:cstheme="minorHAnsi"/>
        </w:rPr>
        <w:t>Regional Observer Program</w:t>
      </w:r>
      <w:bookmarkStart w:id="26" w:name="_Hlk165629461"/>
    </w:p>
    <w:p w14:paraId="66640699" w14:textId="4F4DB431" w:rsidR="0023352B" w:rsidRPr="00B845AF" w:rsidRDefault="009E2031">
      <w:pPr>
        <w:pStyle w:val="SCtext"/>
        <w:rPr>
          <w:rFonts w:asciiTheme="minorHAnsi" w:hAnsiTheme="minorHAnsi" w:cstheme="minorHAnsi"/>
          <w:lang w:val="en-US"/>
        </w:rPr>
      </w:pPr>
      <w:r w:rsidRPr="00B845AF">
        <w:rPr>
          <w:rFonts w:asciiTheme="minorHAnsi" w:hAnsiTheme="minorHAnsi" w:cstheme="minorHAnsi"/>
          <w:lang w:val="en-US"/>
        </w:rPr>
        <w:t xml:space="preserve">The ROP-IWG Chair presented </w:t>
      </w:r>
      <w:hyperlink r:id="rId32" w:history="1">
        <w:r w:rsidRPr="00B845AF">
          <w:rPr>
            <w:rStyle w:val="Hyperlink"/>
            <w:rFonts w:asciiTheme="minorHAnsi" w:hAnsiTheme="minorHAnsi" w:cstheme="minorHAnsi"/>
            <w:lang w:val="en-US"/>
          </w:rPr>
          <w:t>WCPFC-SC22-2026-ST-WP07</w:t>
        </w:r>
      </w:hyperlink>
      <w:r w:rsidR="0023352B" w:rsidRPr="00B845AF">
        <w:rPr>
          <w:rFonts w:asciiTheme="minorHAnsi" w:hAnsiTheme="minorHAnsi" w:cstheme="minorHAnsi"/>
          <w:lang w:val="en-US"/>
        </w:rPr>
        <w:t xml:space="preserve">, </w:t>
      </w:r>
      <w:r w:rsidR="002326A1" w:rsidRPr="00B845AF">
        <w:rPr>
          <w:rFonts w:asciiTheme="minorHAnsi" w:hAnsiTheme="minorHAnsi" w:cstheme="minorHAnsi"/>
          <w:lang w:val="en-US"/>
        </w:rPr>
        <w:t>an update on the draft scope of monitoring for potential infringements feeding into the Compliance Case File System (CCFS) and the associated review of Regional Observer Programme Minimum Standard Data Fields (MSDF)</w:t>
      </w:r>
      <w:r w:rsidRPr="00B845AF">
        <w:rPr>
          <w:rFonts w:asciiTheme="minorHAnsi" w:hAnsiTheme="minorHAnsi" w:cstheme="minorHAnsi"/>
          <w:lang w:val="en-US"/>
        </w:rPr>
        <w:t xml:space="preserve">. </w:t>
      </w:r>
    </w:p>
    <w:p w14:paraId="7DDF1EEE" w14:textId="77777777" w:rsidR="0023352B" w:rsidRPr="00B845AF" w:rsidRDefault="0023352B" w:rsidP="0023352B">
      <w:pPr>
        <w:pStyle w:val="SCtext"/>
        <w:numPr>
          <w:ilvl w:val="0"/>
          <w:numId w:val="0"/>
        </w:numPr>
        <w:rPr>
          <w:rFonts w:asciiTheme="minorHAnsi" w:hAnsiTheme="minorHAnsi" w:cstheme="minorHAnsi"/>
          <w:lang w:val="en-US"/>
        </w:rPr>
      </w:pPr>
    </w:p>
    <w:p w14:paraId="7E18D410" w14:textId="1E8B6177" w:rsidR="00CF675B" w:rsidRPr="00B845AF" w:rsidRDefault="00546592" w:rsidP="0023352B">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seeks SC22 feedback on proposals to retain, revise, or remove observer data fields so that they better monitor updated Conservation and Management Measures, clearly distinguish scientific from compliance needs, and strengthen the flow of ROP data into the CCFS. High-level CCM feedback supports retaining core fields for observer obstruction, driftnet prohibition, selected data-buoy and marine-pollution obligations, FAD additional-month monitoring, sea-turtle mitigation, mobulid retention prohibitions, shark full utilisation, oceanic white-tip/silky shark protections, and whale-shark/cetacean core rules, while proposing removal or limitation of less specific or non-binding provisions (e.g., certain data-buoy and marine-pollution paragraphs, automated main FAD-closure case creation, and some impractical new Species of Special Interest fields related to first-sighting time and remaining line length on live animals). Science-related issues flagged for SC22 include shark species identification and reporting gaps (particularly oceanic white-tip), ongoing MSDF revisions including non-catch transfers, and the </w:t>
      </w:r>
      <w:proofErr w:type="gramStart"/>
      <w:r w:rsidRPr="00B845AF">
        <w:rPr>
          <w:rFonts w:asciiTheme="minorHAnsi" w:hAnsiTheme="minorHAnsi" w:cstheme="minorHAnsi"/>
          <w:lang w:val="en-US"/>
        </w:rPr>
        <w:t>timeliness of observer</w:t>
      </w:r>
      <w:proofErr w:type="gramEnd"/>
      <w:r w:rsidRPr="00B845AF">
        <w:rPr>
          <w:rFonts w:asciiTheme="minorHAnsi" w:hAnsiTheme="minorHAnsi" w:cstheme="minorHAnsi"/>
          <w:lang w:val="en-US"/>
        </w:rPr>
        <w:t xml:space="preserve"> data flow to SPC. Looking ahead, once the current MSDF review is completed</w:t>
      </w:r>
      <w:r w:rsidR="00A46E81" w:rsidRPr="00B845AF">
        <w:rPr>
          <w:rFonts w:asciiTheme="minorHAnsi" w:hAnsiTheme="minorHAnsi" w:cstheme="minorHAnsi"/>
          <w:lang w:val="en-US"/>
        </w:rPr>
        <w:t>,</w:t>
      </w:r>
      <w:r w:rsidRPr="00B845AF">
        <w:rPr>
          <w:rFonts w:asciiTheme="minorHAnsi" w:hAnsiTheme="minorHAnsi" w:cstheme="minorHAnsi"/>
          <w:lang w:val="en-US"/>
        </w:rPr>
        <w:t xml:space="preserve"> the ROP-IWG intends to prioritise alignment with emerging technologies and electronic monitoring, a review of the transhipment observer MSDF, and further improvements to species reporting; SC22 was invited to provide feedback on both the field-level proposals and these forward priorities so that a consolidated list can be prepared for final consideration at WCPFC23.</w:t>
      </w:r>
    </w:p>
    <w:p w14:paraId="0B5D5F79" w14:textId="7828BEA2" w:rsidR="0071034E" w:rsidRPr="00B845AF" w:rsidRDefault="00A921A4" w:rsidP="00290BE9">
      <w:pPr>
        <w:pStyle w:val="SCDR"/>
        <w:spacing w:before="120"/>
        <w:rPr>
          <w:rFonts w:asciiTheme="minorHAnsi" w:hAnsiTheme="minorHAnsi" w:cstheme="minorHAnsi"/>
        </w:rPr>
      </w:pPr>
      <w:r w:rsidRPr="00B845AF">
        <w:rPr>
          <w:rFonts w:asciiTheme="minorHAnsi" w:hAnsiTheme="minorHAnsi" w:cstheme="minorHAnsi"/>
        </w:rPr>
        <w:t>Discussion</w:t>
      </w:r>
    </w:p>
    <w:p w14:paraId="3D480101" w14:textId="63BAA438" w:rsidR="00F51484" w:rsidRPr="00B845AF" w:rsidRDefault="009C19B3">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Secretariat and the ROP-IWG Chair for progressing the CCFS proposals this year and welcomed efforts to further summarize CCM feedback into more general outcomes, generally supporting most of the outcomes provided. The USA noted it had submitted written comments to clarify </w:t>
      </w:r>
      <w:r w:rsidRPr="00B845AF">
        <w:rPr>
          <w:rFonts w:asciiTheme="minorHAnsi" w:hAnsiTheme="minorHAnsi" w:cstheme="minorHAnsi"/>
          <w:lang w:val="en-US"/>
        </w:rPr>
        <w:lastRenderedPageBreak/>
        <w:t>outcomes characterized under CMMs related to marine pollution, the FAD closure, seabirds, and mobulid rays, and asked that these be considered when preparing the next iteration of the document for TCC.</w:t>
      </w:r>
    </w:p>
    <w:p w14:paraId="61E29625" w14:textId="77777777" w:rsidR="00F51484" w:rsidRPr="00B845AF" w:rsidRDefault="00F51484" w:rsidP="002A0274">
      <w:pPr>
        <w:pStyle w:val="SCtext"/>
        <w:numPr>
          <w:ilvl w:val="0"/>
          <w:numId w:val="0"/>
        </w:numPr>
        <w:rPr>
          <w:rFonts w:asciiTheme="minorHAnsi" w:hAnsiTheme="minorHAnsi" w:cstheme="minorHAnsi"/>
          <w:lang w:val="en-US"/>
        </w:rPr>
      </w:pPr>
    </w:p>
    <w:p w14:paraId="20964CF1" w14:textId="03825672" w:rsidR="00E45E85" w:rsidRPr="00B845AF" w:rsidRDefault="009C19B3">
      <w:pPr>
        <w:pStyle w:val="SCtext"/>
        <w:rPr>
          <w:rFonts w:asciiTheme="minorHAnsi" w:hAnsiTheme="minorHAnsi" w:cstheme="minorHAnsi"/>
          <w:lang w:val="en-US"/>
        </w:rPr>
      </w:pPr>
      <w:r w:rsidRPr="00B845AF">
        <w:rPr>
          <w:rFonts w:asciiTheme="minorHAnsi" w:hAnsiTheme="minorHAnsi" w:cstheme="minorHAnsi"/>
          <w:lang w:val="en-US"/>
        </w:rPr>
        <w:t xml:space="preserve">Fiji, on behalf of the FFA members, thanked the ROP-IWG Chair for the paper and for progressing this work. FFA members supported the continued removal of non-binding or observer-impractical obligations from the CCFS monitoring list, specifically the removal of CMM 2009-05 para 5; CMM 2017-04 paras 3 and 5; CMM 2019-05 paras 5, 6, and 8; CMM 2018-04 para 7(b); CMM 2025-06 paras 8, 9, 14, and 15; CMM 2025-06 para 24(03); and CMM 2024-07 </w:t>
      </w:r>
      <w:proofErr w:type="spellStart"/>
      <w:r w:rsidRPr="00B845AF">
        <w:rPr>
          <w:rFonts w:asciiTheme="minorHAnsi" w:hAnsiTheme="minorHAnsi" w:cstheme="minorHAnsi"/>
          <w:lang w:val="en-US"/>
        </w:rPr>
        <w:t>subpara</w:t>
      </w:r>
      <w:proofErr w:type="spellEnd"/>
      <w:r w:rsidRPr="00B845AF">
        <w:rPr>
          <w:rFonts w:asciiTheme="minorHAnsi" w:hAnsiTheme="minorHAnsi" w:cstheme="minorHAnsi"/>
          <w:lang w:val="en-US"/>
        </w:rPr>
        <w:t xml:space="preserve"> 2(b). FFA members also flagged two points for the ROP-IWG’s future consideration: making the recording of mesh nets on FADs more explicit, noting existing Code 13 and the requirements of CMM 2025-02 paragraph 16; and improving guidance for classifying purse seine vessel activity as searching versus transit to strengthen effort estimates. FFA members recommended that the ROP-IWG expedite review of the minimum standard data fields for observers and transshipment monitoring, and the development of data fields for carrier-related forms, to support effective catch limit monitoring, particularly in the context of the South Pacific albacore work.</w:t>
      </w:r>
    </w:p>
    <w:p w14:paraId="1D43F9AF" w14:textId="77777777" w:rsidR="00E371E8" w:rsidRPr="00B845AF" w:rsidRDefault="00E371E8" w:rsidP="002A0274">
      <w:pPr>
        <w:pStyle w:val="SCtext"/>
        <w:numPr>
          <w:ilvl w:val="0"/>
          <w:numId w:val="0"/>
        </w:numPr>
        <w:rPr>
          <w:rFonts w:asciiTheme="minorHAnsi" w:hAnsiTheme="minorHAnsi" w:cstheme="minorHAnsi"/>
          <w:lang w:val="en-US"/>
        </w:rPr>
      </w:pPr>
    </w:p>
    <w:p w14:paraId="38C2A8BB" w14:textId="74080983" w:rsidR="00E371E8" w:rsidRPr="00B845AF" w:rsidRDefault="009C19B3">
      <w:pPr>
        <w:pStyle w:val="SCtext"/>
        <w:rPr>
          <w:rFonts w:asciiTheme="minorHAnsi" w:hAnsiTheme="minorHAnsi" w:cstheme="minorHAnsi"/>
          <w:lang w:val="en-US"/>
        </w:rPr>
      </w:pPr>
      <w:r w:rsidRPr="00B845AF">
        <w:rPr>
          <w:rFonts w:asciiTheme="minorHAnsi" w:hAnsiTheme="minorHAnsi" w:cstheme="minorHAnsi"/>
          <w:lang w:val="en-US"/>
        </w:rPr>
        <w:t xml:space="preserve">Chinese Taipei noted that observers currently record numerous items, including catch weight and length measurements on deck, </w:t>
      </w:r>
      <w:proofErr w:type="gramStart"/>
      <w:r w:rsidRPr="00B845AF">
        <w:rPr>
          <w:rFonts w:asciiTheme="minorHAnsi" w:hAnsiTheme="minorHAnsi" w:cstheme="minorHAnsi"/>
          <w:lang w:val="en-US"/>
        </w:rPr>
        <w:t>and also</w:t>
      </w:r>
      <w:proofErr w:type="gramEnd"/>
      <w:r w:rsidRPr="00B845AF">
        <w:rPr>
          <w:rFonts w:asciiTheme="minorHAnsi" w:hAnsiTheme="minorHAnsi" w:cstheme="minorHAnsi"/>
          <w:lang w:val="en-US"/>
        </w:rPr>
        <w:t xml:space="preserve"> assist with collecting biological samples such as muscle tissue and otoliths to support scientific research. Chinese Taipei recommended that any additional data fields under consideration take observer workload into account.</w:t>
      </w:r>
    </w:p>
    <w:p w14:paraId="272F7D4C" w14:textId="77777777" w:rsidR="00E371E8" w:rsidRPr="00B845AF" w:rsidRDefault="00E371E8" w:rsidP="002A0274">
      <w:pPr>
        <w:pStyle w:val="SCtext"/>
        <w:numPr>
          <w:ilvl w:val="0"/>
          <w:numId w:val="0"/>
        </w:numPr>
        <w:rPr>
          <w:rFonts w:asciiTheme="minorHAnsi" w:hAnsiTheme="minorHAnsi" w:cstheme="minorHAnsi"/>
          <w:lang w:val="en-US"/>
        </w:rPr>
      </w:pPr>
    </w:p>
    <w:p w14:paraId="7360031E" w14:textId="6C79F01B" w:rsidR="00A42606" w:rsidRPr="00B845AF" w:rsidRDefault="009C19B3">
      <w:pPr>
        <w:pStyle w:val="SCtext"/>
        <w:rPr>
          <w:rFonts w:asciiTheme="minorHAnsi" w:hAnsiTheme="minorHAnsi" w:cstheme="minorHAnsi"/>
          <w:lang w:val="en-US"/>
        </w:rPr>
      </w:pPr>
      <w:r w:rsidRPr="00B845AF">
        <w:rPr>
          <w:rFonts w:asciiTheme="minorHAnsi" w:hAnsiTheme="minorHAnsi" w:cstheme="minorHAnsi"/>
          <w:lang w:val="en-US"/>
        </w:rPr>
        <w:t>China thanked the ROP-IWG for taking its comments into account in the revised paper and reiterated support for improving data quality. However, China raised concerns about fields that lack a clear CMM basis, require subjective judgment, are impractical to manage, or would be more appropriately verified through transshipment monitoring or port inspection. China stated that observers should record objective facts rather than determine non-compliance, and that inclusion of a field in the MSDF should not automatically result in a CCFS case without subsequent supporting information. China suggested that such fields, particularly those concerning marine pollution, sea turtle interaction (SSI) fields, and seabird monitoring, be given further consideration.</w:t>
      </w:r>
    </w:p>
    <w:p w14:paraId="1CFD3652" w14:textId="77777777" w:rsidR="00B54D4F" w:rsidRPr="00B845AF" w:rsidRDefault="00B54D4F" w:rsidP="00B54D4F">
      <w:pPr>
        <w:pStyle w:val="SCtext"/>
        <w:numPr>
          <w:ilvl w:val="0"/>
          <w:numId w:val="0"/>
        </w:numPr>
        <w:rPr>
          <w:rFonts w:asciiTheme="minorHAnsi" w:hAnsiTheme="minorHAnsi" w:cstheme="minorHAnsi"/>
          <w:lang w:val="en-US"/>
        </w:rPr>
      </w:pPr>
    </w:p>
    <w:p w14:paraId="6B8DE04A" w14:textId="01530977" w:rsidR="00B54D4F" w:rsidRPr="00B845AF" w:rsidRDefault="00B54D4F">
      <w:pPr>
        <w:pStyle w:val="SCtext"/>
        <w:rPr>
          <w:rFonts w:asciiTheme="minorHAnsi" w:hAnsiTheme="minorHAnsi" w:cstheme="minorHAnsi"/>
          <w:lang w:val="en-US"/>
        </w:rPr>
      </w:pPr>
      <w:r w:rsidRPr="00B845AF">
        <w:rPr>
          <w:rFonts w:asciiTheme="minorHAnsi" w:hAnsiTheme="minorHAnsi" w:cstheme="minorHAnsi"/>
          <w:lang w:val="en-US"/>
        </w:rPr>
        <w:t>RMI, on behalf of the PNA and Vanuatu, thanked the ROP-IWG Chair for the updated draft and for maintaining continuity with discussions from the previous ROP-IWG meeting. In support of the FFA statement on the removal of non-binding or observer-impractical obligations from the CCFS monitoring list, RMI stated that PNA and Vanuatu had provided additional comments explaining their support for removing certain obligations listed in the WP07 table, and that these comments would be submitted to the ROP-IWG Chair to help advance the work toward TCC22.</w:t>
      </w:r>
    </w:p>
    <w:p w14:paraId="699EC636" w14:textId="1A1F3AEB" w:rsidR="00421C80" w:rsidRPr="00B845AF" w:rsidRDefault="00421C80" w:rsidP="00421C80">
      <w:pPr>
        <w:pStyle w:val="SCtext"/>
        <w:numPr>
          <w:ilvl w:val="0"/>
          <w:numId w:val="0"/>
        </w:numPr>
        <w:rPr>
          <w:rFonts w:asciiTheme="minorHAnsi" w:hAnsiTheme="minorHAnsi" w:cstheme="minorHAnsi"/>
          <w:lang w:val="en-US"/>
        </w:rPr>
      </w:pPr>
    </w:p>
    <w:p w14:paraId="12FF82F2" w14:textId="663A63AA" w:rsidR="0035342F" w:rsidRPr="00B845AF" w:rsidRDefault="00421C80" w:rsidP="0021718B">
      <w:pPr>
        <w:pStyle w:val="SCDR"/>
        <w:spacing w:before="120"/>
        <w:rPr>
          <w:rFonts w:asciiTheme="minorHAnsi" w:eastAsia="MS Mincho" w:hAnsiTheme="minorHAnsi" w:cstheme="minorHAnsi"/>
          <w:lang w:eastAsia="ja-JP"/>
        </w:rPr>
      </w:pPr>
      <w:r w:rsidRPr="00B845AF">
        <w:rPr>
          <w:rFonts w:asciiTheme="minorHAnsi" w:hAnsiTheme="minorHAnsi" w:cstheme="minorHAnsi"/>
        </w:rPr>
        <w:t>Outcome</w:t>
      </w:r>
      <w:bookmarkStart w:id="27" w:name="_Hlk165897315"/>
      <w:bookmarkEnd w:id="26"/>
    </w:p>
    <w:p w14:paraId="10B0DAA1" w14:textId="24F609BF" w:rsidR="00421C80" w:rsidRPr="00B845AF" w:rsidRDefault="000D3E23">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acknowledged work by the ROP IWG to progress work on the compliance case file system, supported the removal of nonbinding obligations from the list of obligations for monitoring the implementation of CMMs, and recommended the ROP IWG consider observer workload when discussing modifications to the ROP minimum standard data fields. SC22 suggested the ROP IWG consider further review of the unresolved proposed fields relating to marine pollution, seabirds, SSI fields, and shark monitoring, taking into account their consistency with relevant CMM obligations, their applicability to relevant fisheries and fishing gears, the sufficiency and verifiability of supporting information, the safety, practicability, and objectivity of observer data collection, the appropriate roles of other monitoring and inspection mechanisms, and the distinction between inclusion of a field in the MSDF and evidentiary bias required for a CCFS case, improvements to FAD fields in the minimum </w:t>
      </w:r>
      <w:r w:rsidRPr="00B845AF">
        <w:rPr>
          <w:rFonts w:asciiTheme="minorHAnsi" w:hAnsiTheme="minorHAnsi" w:cstheme="minorHAnsi"/>
          <w:b/>
          <w:bCs/>
          <w:lang w:val="en-US"/>
        </w:rPr>
        <w:lastRenderedPageBreak/>
        <w:t>standard data fields and guidance on classifying purse seine activity. SC22 supported continued focus of the ROP IWG to review the minimum standard data fields for monitoring transshipments.</w:t>
      </w:r>
    </w:p>
    <w:p w14:paraId="03DBB12B" w14:textId="77777777" w:rsidR="00421C80" w:rsidRPr="00B845AF" w:rsidRDefault="00421C80" w:rsidP="00394260">
      <w:pPr>
        <w:widowControl w:val="0"/>
        <w:kinsoku w:val="0"/>
        <w:overflowPunct w:val="0"/>
        <w:autoSpaceDE w:val="0"/>
        <w:autoSpaceDN w:val="0"/>
        <w:adjustRightInd w:val="0"/>
        <w:snapToGrid w:val="0"/>
        <w:jc w:val="both"/>
        <w:rPr>
          <w:rFonts w:asciiTheme="minorHAnsi" w:eastAsiaTheme="minorEastAsia" w:hAnsiTheme="minorHAnsi" w:cstheme="minorHAnsi"/>
          <w:b/>
          <w:szCs w:val="22"/>
          <w:lang w:eastAsia="ko-KR"/>
        </w:rPr>
      </w:pPr>
    </w:p>
    <w:p w14:paraId="6F4F3F79" w14:textId="77777777" w:rsidR="0035342F" w:rsidRPr="00B845AF" w:rsidRDefault="0035342F">
      <w:pPr>
        <w:pStyle w:val="SC2"/>
        <w:rPr>
          <w:rFonts w:asciiTheme="minorHAnsi" w:hAnsiTheme="minorHAnsi" w:cstheme="minorHAnsi"/>
        </w:rPr>
      </w:pPr>
      <w:r w:rsidRPr="00B845AF">
        <w:rPr>
          <w:rFonts w:asciiTheme="minorHAnsi" w:hAnsiTheme="minorHAnsi" w:cstheme="minorHAnsi"/>
        </w:rPr>
        <w:t xml:space="preserve">Electronic Reporting and Electronic Monitoring </w:t>
      </w:r>
    </w:p>
    <w:bookmarkEnd w:id="27"/>
    <w:p w14:paraId="201AF16F" w14:textId="77777777" w:rsidR="00AF0EC8" w:rsidRPr="00B845AF" w:rsidRDefault="00C5194C">
      <w:pPr>
        <w:pStyle w:val="SCtext"/>
        <w:rPr>
          <w:rFonts w:asciiTheme="minorHAnsi" w:hAnsiTheme="minorHAnsi" w:cstheme="minorHAnsi"/>
          <w:lang w:val="en-US"/>
        </w:rPr>
      </w:pPr>
      <w:r w:rsidRPr="00B845AF">
        <w:rPr>
          <w:rFonts w:asciiTheme="minorHAnsi" w:hAnsiTheme="minorHAnsi" w:cstheme="minorHAnsi"/>
          <w:lang w:val="en-US"/>
        </w:rPr>
        <w:t xml:space="preserve">C. Brown </w:t>
      </w:r>
      <w:r w:rsidR="00AF0EC8" w:rsidRPr="00B845AF">
        <w:rPr>
          <w:rFonts w:asciiTheme="minorHAnsi" w:hAnsiTheme="minorHAnsi" w:cstheme="minorHAnsi"/>
          <w:lang w:val="en-US"/>
        </w:rPr>
        <w:t xml:space="preserve">(TNC) </w:t>
      </w:r>
      <w:r w:rsidRPr="00B845AF">
        <w:rPr>
          <w:rFonts w:asciiTheme="minorHAnsi" w:hAnsiTheme="minorHAnsi" w:cstheme="minorHAnsi"/>
          <w:lang w:val="en-US"/>
        </w:rPr>
        <w:t xml:space="preserve">presented </w:t>
      </w:r>
      <w:hyperlink r:id="rId33" w:history="1">
        <w:r w:rsidRPr="00B845AF">
          <w:rPr>
            <w:rStyle w:val="Hyperlink"/>
            <w:rFonts w:asciiTheme="minorHAnsi" w:hAnsiTheme="minorHAnsi" w:cstheme="minorHAnsi"/>
            <w:lang w:val="en-US"/>
          </w:rPr>
          <w:t>WCPFC-SC22-2026-ST-WP09_Rev01</w:t>
        </w:r>
      </w:hyperlink>
      <w:r w:rsidRPr="00B845AF">
        <w:rPr>
          <w:rFonts w:asciiTheme="minorHAnsi" w:hAnsiTheme="minorHAnsi" w:cstheme="minorHAnsi"/>
          <w:lang w:val="en-US"/>
        </w:rPr>
        <w:t xml:space="preserve">, on behalf of The Nature Conservancy and the University of Tasmania, on the importance of 100% EM coverage for scientific data collection. </w:t>
      </w:r>
    </w:p>
    <w:p w14:paraId="379123A1" w14:textId="77777777" w:rsidR="00AF0EC8" w:rsidRPr="00B845AF" w:rsidRDefault="00AF0EC8" w:rsidP="00AF0EC8">
      <w:pPr>
        <w:pStyle w:val="SCtext"/>
        <w:numPr>
          <w:ilvl w:val="0"/>
          <w:numId w:val="0"/>
        </w:numPr>
        <w:rPr>
          <w:rFonts w:asciiTheme="minorHAnsi" w:hAnsiTheme="minorHAnsi" w:cstheme="minorHAnsi"/>
          <w:lang w:val="en-US"/>
        </w:rPr>
      </w:pPr>
    </w:p>
    <w:p w14:paraId="393D2133" w14:textId="44ACE31A" w:rsidR="00235A41" w:rsidRPr="00B845AF" w:rsidRDefault="00C5194C" w:rsidP="00AF0EC8">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He distinguished monitoring coverage (the proportion of vessels with EM systems installed) from review (the proportion of collected footage </w:t>
      </w:r>
      <w:proofErr w:type="gramStart"/>
      <w:r w:rsidRPr="00B845AF">
        <w:rPr>
          <w:rFonts w:asciiTheme="minorHAnsi" w:hAnsiTheme="minorHAnsi" w:cstheme="minorHAnsi"/>
          <w:lang w:val="en-US"/>
        </w:rPr>
        <w:t>actually analyzed</w:t>
      </w:r>
      <w:proofErr w:type="gramEnd"/>
      <w:r w:rsidRPr="00B845AF">
        <w:rPr>
          <w:rFonts w:asciiTheme="minorHAnsi" w:hAnsiTheme="minorHAnsi" w:cstheme="minorHAnsi"/>
          <w:lang w:val="en-US"/>
        </w:rPr>
        <w:t>), noting that WCPFC’s definition of coverage was used consistently in the study but that other agencies define EM monitoring inconsistently. Using a simulation of a longline fishery informed by past EM trial data, he showed that 100% EM coverage combined with 20% random review produced catch estimates close to the true catch, while coverage below 100% introduced deployment effects (bias arising from which vessels are selected for EM) that could under or overestimate catch, a bias also well documented in human observer programs. He noted that precision (year-to-year variability) as well as accuracy matters, and that rare bycatch species show much greater variability in catch estimates than common species due to their low encounter rates. He concluded that best practice for scientific data collection is 100% EM coverage with randomized review within that footage, and that coverage below 100% risks biased and misleading catch data, while noting that other jurisdictions have implemented 100% EM coverage</w:t>
      </w:r>
      <w:r w:rsidR="00EF53A9" w:rsidRPr="00B845AF">
        <w:rPr>
          <w:rFonts w:asciiTheme="minorHAnsi" w:hAnsiTheme="minorHAnsi" w:cstheme="minorHAnsi"/>
          <w:lang w:val="en-US"/>
        </w:rPr>
        <w:t>.</w:t>
      </w:r>
    </w:p>
    <w:p w14:paraId="504D7397" w14:textId="77777777" w:rsidR="00901E52" w:rsidRPr="00B845AF" w:rsidRDefault="00901E52" w:rsidP="00901E52">
      <w:pPr>
        <w:pStyle w:val="SCtext"/>
        <w:numPr>
          <w:ilvl w:val="0"/>
          <w:numId w:val="0"/>
        </w:numPr>
        <w:rPr>
          <w:rFonts w:asciiTheme="minorHAnsi" w:hAnsiTheme="minorHAnsi" w:cstheme="minorHAnsi"/>
          <w:lang w:val="en-US"/>
        </w:rPr>
      </w:pPr>
    </w:p>
    <w:p w14:paraId="2C963223" w14:textId="1A8D987A" w:rsidR="00901E52" w:rsidRPr="00B845AF" w:rsidRDefault="006D11F1">
      <w:pPr>
        <w:pStyle w:val="SCtext"/>
        <w:rPr>
          <w:rFonts w:asciiTheme="minorHAnsi" w:hAnsiTheme="minorHAnsi" w:cstheme="minorHAnsi"/>
          <w:lang w:val="en-US"/>
        </w:rPr>
      </w:pPr>
      <w:r w:rsidRPr="00B845AF">
        <w:rPr>
          <w:rFonts w:asciiTheme="minorHAnsi" w:hAnsiTheme="minorHAnsi" w:cstheme="minorHAnsi"/>
          <w:lang w:val="en-US"/>
        </w:rPr>
        <w:t>R. Ahrens (</w:t>
      </w:r>
      <w:r w:rsidR="00A90C62" w:rsidRPr="00B845AF">
        <w:rPr>
          <w:rFonts w:asciiTheme="minorHAnsi" w:hAnsiTheme="minorHAnsi" w:cstheme="minorHAnsi"/>
          <w:lang w:val="en-US"/>
        </w:rPr>
        <w:t>USA</w:t>
      </w:r>
      <w:r w:rsidRPr="00B845AF">
        <w:rPr>
          <w:rFonts w:asciiTheme="minorHAnsi" w:hAnsiTheme="minorHAnsi" w:cstheme="minorHAnsi"/>
          <w:lang w:val="en-US"/>
        </w:rPr>
        <w:t>)</w:t>
      </w:r>
      <w:r w:rsidR="00A90C62" w:rsidRPr="00B845AF">
        <w:rPr>
          <w:rFonts w:asciiTheme="minorHAnsi" w:hAnsiTheme="minorHAnsi" w:cstheme="minorHAnsi"/>
          <w:lang w:val="en-US"/>
        </w:rPr>
        <w:t xml:space="preserve"> presented </w:t>
      </w:r>
      <w:r w:rsidRPr="00B845AF">
        <w:rPr>
          <w:rFonts w:asciiTheme="minorHAnsi" w:hAnsiTheme="minorHAnsi" w:cstheme="minorHAnsi"/>
          <w:lang w:val="en-US"/>
        </w:rPr>
        <w:t>a draft CMM (</w:t>
      </w:r>
      <w:hyperlink r:id="rId34" w:history="1">
        <w:r w:rsidR="00A90C62" w:rsidRPr="00B845AF">
          <w:rPr>
            <w:rStyle w:val="Hyperlink"/>
            <w:rFonts w:asciiTheme="minorHAnsi" w:hAnsiTheme="minorHAnsi" w:cstheme="minorHAnsi"/>
            <w:lang w:val="en-US"/>
          </w:rPr>
          <w:t>WCPFC-SC22-2026-ST-WP10</w:t>
        </w:r>
      </w:hyperlink>
      <w:r w:rsidRPr="00B845AF">
        <w:rPr>
          <w:rFonts w:asciiTheme="minorHAnsi" w:hAnsiTheme="minorHAnsi" w:cstheme="minorHAnsi"/>
          <w:lang w:val="en-US"/>
        </w:rPr>
        <w:t>)</w:t>
      </w:r>
      <w:r w:rsidR="00A90C62" w:rsidRPr="00B845AF">
        <w:rPr>
          <w:rFonts w:asciiTheme="minorHAnsi" w:hAnsiTheme="minorHAnsi" w:cstheme="minorHAnsi"/>
          <w:lang w:val="en-US"/>
        </w:rPr>
        <w:t xml:space="preserve"> to establish a WCPFC Electronic Monitoring Program (WCPFC EMP), with three objectives: a Commission-wide EM framework, flexibility for CCMs to use either ROP observers or EM to meet the existing 5% ROP requirement, and increased longline monitoring coverage to strengthen scientific data collection and MCS. The draft, revised </w:t>
      </w:r>
      <w:r w:rsidR="00924305" w:rsidRPr="00B845AF">
        <w:rPr>
          <w:rFonts w:asciiTheme="minorHAnsi" w:hAnsiTheme="minorHAnsi" w:cstheme="minorHAnsi"/>
          <w:lang w:val="en-US"/>
        </w:rPr>
        <w:t>from</w:t>
      </w:r>
      <w:r w:rsidR="00A90C62" w:rsidRPr="00B845AF">
        <w:rPr>
          <w:rFonts w:asciiTheme="minorHAnsi" w:hAnsiTheme="minorHAnsi" w:cstheme="minorHAnsi"/>
          <w:lang w:val="en-US"/>
        </w:rPr>
        <w:t xml:space="preserve"> a consultative version at WCPFC22 through ER&amp;EM IWG feedback and bilateral consultations, mirrors the ROP CMM (2018-05) where appropriate and responds to Project 93’s finding of significant longline monitoring gaps. Annex 2 proposes phased longline coverage reaching 20% by 2029, with CCMs able to meet this through EM, ROP observers, or a combination, no longer requiring 100% EM installation; the existing 100% ROP requirement for purse seine under CMM 2025-02 is unaffected. The USA explained the 20% figure by noting 10% of trips is thought sufficient for frequently encountered species, while its own domestic analysis suggested 20% is needed for less frequently encountered species. It noted urgency given that CMM 2025-02 already permits EM use, and stated the proposal was brought to SC specifically to seek scientific input on coverage levels and representative sampling, hoping SC could develop a recommendation on monitoring requirements.</w:t>
      </w:r>
    </w:p>
    <w:p w14:paraId="2C3CA140" w14:textId="77777777" w:rsidR="00F3509E" w:rsidRPr="00B845AF" w:rsidRDefault="00F3509E" w:rsidP="00F3509E">
      <w:pPr>
        <w:pStyle w:val="SCtext"/>
        <w:numPr>
          <w:ilvl w:val="0"/>
          <w:numId w:val="0"/>
        </w:numPr>
        <w:rPr>
          <w:rFonts w:asciiTheme="minorHAnsi" w:hAnsiTheme="minorHAnsi" w:cstheme="minorHAnsi"/>
          <w:lang w:val="en-US"/>
        </w:rPr>
      </w:pPr>
    </w:p>
    <w:p w14:paraId="18AF02D6" w14:textId="461766A9" w:rsidR="00A921A4" w:rsidRPr="00B845AF" w:rsidRDefault="00A921A4" w:rsidP="00A921A4">
      <w:pPr>
        <w:pStyle w:val="SCDR"/>
        <w:rPr>
          <w:rFonts w:asciiTheme="minorHAnsi" w:hAnsiTheme="minorHAnsi" w:cstheme="minorHAnsi"/>
        </w:rPr>
      </w:pPr>
      <w:r w:rsidRPr="00B845AF">
        <w:rPr>
          <w:rFonts w:asciiTheme="minorHAnsi" w:hAnsiTheme="minorHAnsi" w:cstheme="minorHAnsi"/>
        </w:rPr>
        <w:t xml:space="preserve">Discussion </w:t>
      </w:r>
    </w:p>
    <w:p w14:paraId="07459E91" w14:textId="5A3AFD76" w:rsidR="00363AC0" w:rsidRPr="00B845AF" w:rsidRDefault="00C5194C">
      <w:pPr>
        <w:pStyle w:val="SCtext"/>
        <w:rPr>
          <w:rFonts w:asciiTheme="minorHAnsi" w:hAnsiTheme="minorHAnsi" w:cstheme="minorHAnsi"/>
          <w:lang w:val="en-US"/>
        </w:rPr>
      </w:pPr>
      <w:r w:rsidRPr="00B845AF">
        <w:rPr>
          <w:rFonts w:asciiTheme="minorHAnsi" w:hAnsiTheme="minorHAnsi" w:cstheme="minorHAnsi"/>
          <w:lang w:val="en-US"/>
        </w:rPr>
        <w:t xml:space="preserve">New Zealand thanked C. Brown for a useful paper, noting that the paper’s rationale for review rates draws a comparison with human observer programs, but that there are alternative ways to think about review rate setting. New Zealand noted that EM camera installation has been shown in many jurisdictions to significantly improve the accuracy of information available for </w:t>
      </w:r>
      <w:r w:rsidR="00924305" w:rsidRPr="00B845AF">
        <w:rPr>
          <w:rFonts w:asciiTheme="minorHAnsi" w:hAnsiTheme="minorHAnsi" w:cstheme="minorHAnsi"/>
          <w:lang w:val="en-US"/>
        </w:rPr>
        <w:t>management and</w:t>
      </w:r>
      <w:r w:rsidRPr="00B845AF">
        <w:rPr>
          <w:rFonts w:asciiTheme="minorHAnsi" w:hAnsiTheme="minorHAnsi" w:cstheme="minorHAnsi"/>
          <w:lang w:val="en-US"/>
        </w:rPr>
        <w:t xml:space="preserve"> suggested that EM review rates could instead be approached through an audit model, where the purpose of review is to validate data that fishers themselves provide (given a census of fishing activity from EM), rather than to independently collect the data. New Zealand noted that this approach could support lower review rates </w:t>
      </w:r>
      <w:r w:rsidRPr="00B845AF">
        <w:rPr>
          <w:rFonts w:asciiTheme="minorHAnsi" w:hAnsiTheme="minorHAnsi" w:cstheme="minorHAnsi"/>
          <w:lang w:val="en-US"/>
        </w:rPr>
        <w:lastRenderedPageBreak/>
        <w:t>in some circumstances, which is relevant given that review rates are a prime driver of EM program costs, and that cost remains the main barrier to wider EM uptake</w:t>
      </w:r>
      <w:r w:rsidR="00363AC0" w:rsidRPr="00B845AF">
        <w:rPr>
          <w:rFonts w:asciiTheme="minorHAnsi" w:hAnsiTheme="minorHAnsi" w:cstheme="minorHAnsi"/>
          <w:lang w:val="en-US"/>
        </w:rPr>
        <w:t>.</w:t>
      </w:r>
    </w:p>
    <w:p w14:paraId="626282C4" w14:textId="14E0DAE6" w:rsidR="00363AC0" w:rsidRPr="00B845AF" w:rsidRDefault="00363AC0" w:rsidP="002A0274">
      <w:pPr>
        <w:pStyle w:val="SCtext"/>
        <w:numPr>
          <w:ilvl w:val="0"/>
          <w:numId w:val="0"/>
        </w:numPr>
        <w:rPr>
          <w:rFonts w:asciiTheme="minorHAnsi" w:hAnsiTheme="minorHAnsi" w:cstheme="minorHAnsi"/>
          <w:lang w:val="en-US"/>
        </w:rPr>
      </w:pPr>
    </w:p>
    <w:p w14:paraId="3C036CD0" w14:textId="57676BBA" w:rsidR="00FE429F" w:rsidRPr="00B845AF" w:rsidRDefault="00C5194C">
      <w:pPr>
        <w:pStyle w:val="SCtext"/>
        <w:rPr>
          <w:rFonts w:asciiTheme="minorHAnsi" w:hAnsiTheme="minorHAnsi" w:cstheme="minorHAnsi"/>
          <w:lang w:val="en-US"/>
        </w:rPr>
      </w:pPr>
      <w:r w:rsidRPr="00B845AF">
        <w:rPr>
          <w:rFonts w:asciiTheme="minorHAnsi" w:hAnsiTheme="minorHAnsi" w:cstheme="minorHAnsi"/>
          <w:lang w:val="en-US"/>
        </w:rPr>
        <w:t>C. Brown agreed that an audit-based review model can be effective, but noted this depends on having comprehensive EM coverage, and clarified that none of the paper’s simulations assumed 100% review, always assuming significantly less due to cost constraints</w:t>
      </w:r>
      <w:r w:rsidR="00961140" w:rsidRPr="00B845AF">
        <w:rPr>
          <w:rFonts w:asciiTheme="minorHAnsi" w:hAnsiTheme="minorHAnsi" w:cstheme="minorHAnsi"/>
          <w:lang w:val="en-US"/>
        </w:rPr>
        <w:t>.</w:t>
      </w:r>
    </w:p>
    <w:p w14:paraId="0693D8C3" w14:textId="429EBDCF" w:rsidR="00961140" w:rsidRPr="00B845AF" w:rsidRDefault="00961140" w:rsidP="002A0274">
      <w:pPr>
        <w:pStyle w:val="SCtext"/>
        <w:numPr>
          <w:ilvl w:val="0"/>
          <w:numId w:val="0"/>
        </w:numPr>
        <w:rPr>
          <w:rFonts w:asciiTheme="minorHAnsi" w:hAnsiTheme="minorHAnsi" w:cstheme="minorHAnsi"/>
          <w:lang w:val="en-US"/>
        </w:rPr>
      </w:pPr>
    </w:p>
    <w:p w14:paraId="457760FC" w14:textId="56E8BFF2" w:rsidR="006751CD" w:rsidRPr="00B845AF" w:rsidRDefault="00C5194C">
      <w:pPr>
        <w:pStyle w:val="SCtext"/>
        <w:rPr>
          <w:rFonts w:asciiTheme="minorHAnsi" w:hAnsiTheme="minorHAnsi" w:cstheme="minorHAnsi"/>
          <w:lang w:val="en-US"/>
        </w:rPr>
      </w:pPr>
      <w:r w:rsidRPr="00B845AF">
        <w:rPr>
          <w:rFonts w:asciiTheme="minorHAnsi" w:hAnsiTheme="minorHAnsi" w:cstheme="minorHAnsi"/>
          <w:lang w:val="en-US"/>
        </w:rPr>
        <w:t xml:space="preserve">Japan stated that it remained unclear what decision was being sought at this stage. Japan’s view was that the specifics of the EM program should first be agreed before discussing the question of </w:t>
      </w:r>
      <w:proofErr w:type="gramStart"/>
      <w:r w:rsidRPr="00B845AF">
        <w:rPr>
          <w:rFonts w:asciiTheme="minorHAnsi" w:hAnsiTheme="minorHAnsi" w:cstheme="minorHAnsi"/>
          <w:lang w:val="en-US"/>
        </w:rPr>
        <w:t>coverage, and</w:t>
      </w:r>
      <w:proofErr w:type="gramEnd"/>
      <w:r w:rsidRPr="00B845AF">
        <w:rPr>
          <w:rFonts w:asciiTheme="minorHAnsi" w:hAnsiTheme="minorHAnsi" w:cstheme="minorHAnsi"/>
          <w:lang w:val="en-US"/>
        </w:rPr>
        <w:t xml:space="preserve"> noted that increased use of EM could make it more difficult to collect equivalent sampling through human observers. Japan considered there were many issues still to be resolved and stated its preference to continue discussions intersessionally.</w:t>
      </w:r>
      <w:r w:rsidR="00FE429F" w:rsidRPr="00B845AF">
        <w:rPr>
          <w:rFonts w:asciiTheme="minorHAnsi" w:hAnsiTheme="minorHAnsi" w:cstheme="minorHAnsi"/>
          <w:lang w:val="en-US"/>
        </w:rPr>
        <w:t xml:space="preserve"> </w:t>
      </w:r>
      <w:r w:rsidRPr="00B845AF">
        <w:rPr>
          <w:rFonts w:asciiTheme="minorHAnsi" w:hAnsiTheme="minorHAnsi" w:cstheme="minorHAnsi"/>
          <w:lang w:val="en-US"/>
        </w:rPr>
        <w:t xml:space="preserve"> C. Brown thanked Japan for its comment and acknowledged that many technical issues remain to be worked through, including EM system maintenance in the Pacific and the timeliness of data review.</w:t>
      </w:r>
    </w:p>
    <w:p w14:paraId="3A18943C" w14:textId="77777777" w:rsidR="005C428D" w:rsidRPr="00B845AF" w:rsidRDefault="005C428D" w:rsidP="005C428D">
      <w:pPr>
        <w:pStyle w:val="SCtext"/>
        <w:numPr>
          <w:ilvl w:val="0"/>
          <w:numId w:val="0"/>
        </w:numPr>
        <w:rPr>
          <w:rFonts w:asciiTheme="minorHAnsi" w:hAnsiTheme="minorHAnsi" w:cstheme="minorHAnsi"/>
          <w:lang w:val="en-US"/>
        </w:rPr>
      </w:pPr>
    </w:p>
    <w:p w14:paraId="4D47CF4E" w14:textId="2518E379" w:rsidR="005C428D" w:rsidRPr="00B845AF" w:rsidRDefault="00A90C62">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In response to the USA’s presentation, Fiji, on behalf of the FFA members, welcomed the proposal’s aim of improving data availability to support fisheries management objectives, noting Project 93’s findings, and stressed that implementation should draw on relevant existing experience to avoid unnecessary duplication. The FFA members recalled that the Commission had adopted the objectives of the EM program at </w:t>
      </w:r>
      <w:r w:rsidR="00924305" w:rsidRPr="00B845AF">
        <w:rPr>
          <w:rFonts w:asciiTheme="minorHAnsi" w:eastAsia="MS Mincho" w:hAnsiTheme="minorHAnsi" w:cstheme="minorHAnsi"/>
          <w:lang w:val="en-US" w:eastAsia="ja-JP"/>
        </w:rPr>
        <w:t>WCPFC16 and</w:t>
      </w:r>
      <w:r w:rsidRPr="00B845AF">
        <w:rPr>
          <w:rFonts w:asciiTheme="minorHAnsi" w:eastAsia="MS Mincho" w:hAnsiTheme="minorHAnsi" w:cstheme="minorHAnsi"/>
          <w:lang w:val="en-US" w:eastAsia="ja-JP"/>
        </w:rPr>
        <w:t xml:space="preserve"> sought clarification on the rationale for any expansion of those objectives in the current draft. The FFA members reiterated that EM should complement, not replace, human observer coverage.</w:t>
      </w:r>
    </w:p>
    <w:p w14:paraId="0229CBD7" w14:textId="77777777" w:rsidR="00A90C62" w:rsidRPr="00B845AF" w:rsidRDefault="00A90C62" w:rsidP="00A90C62">
      <w:pPr>
        <w:pStyle w:val="SCtext"/>
        <w:numPr>
          <w:ilvl w:val="0"/>
          <w:numId w:val="0"/>
        </w:numPr>
        <w:rPr>
          <w:rFonts w:asciiTheme="minorHAnsi" w:hAnsiTheme="minorHAnsi" w:cstheme="minorHAnsi"/>
          <w:lang w:val="en-US"/>
        </w:rPr>
      </w:pPr>
    </w:p>
    <w:p w14:paraId="4DD1911E" w14:textId="7667A8F9" w:rsidR="00A90C62" w:rsidRPr="00B845AF" w:rsidRDefault="00A90C62">
      <w:pPr>
        <w:pStyle w:val="SCtext"/>
        <w:rPr>
          <w:rFonts w:asciiTheme="minorHAnsi" w:hAnsiTheme="minorHAnsi" w:cstheme="minorHAnsi"/>
          <w:lang w:val="en-US"/>
        </w:rPr>
      </w:pPr>
      <w:r w:rsidRPr="00B845AF">
        <w:rPr>
          <w:rFonts w:asciiTheme="minorHAnsi" w:hAnsiTheme="minorHAnsi" w:cstheme="minorHAnsi"/>
          <w:lang w:val="en-US"/>
        </w:rPr>
        <w:t>The USA responded that it did not believe the proposal sought to expand beyond the original scope, noting the draft applies to vessels operating on the high seas within the Convention Area, but acknowledged it could be corrected on this point. The USA agreed with FFA’s concerns about the potential limitations of EM, and stated the proposal did not intend for EM to replace existing observer programs, which remain necessary to collect certain information.</w:t>
      </w:r>
    </w:p>
    <w:p w14:paraId="01CA4B1A" w14:textId="77777777" w:rsidR="00A90C62" w:rsidRPr="00B845AF" w:rsidRDefault="00A90C62" w:rsidP="00A90C62">
      <w:pPr>
        <w:pStyle w:val="SCtext"/>
        <w:numPr>
          <w:ilvl w:val="0"/>
          <w:numId w:val="0"/>
        </w:numPr>
        <w:rPr>
          <w:rFonts w:asciiTheme="minorHAnsi" w:hAnsiTheme="minorHAnsi" w:cstheme="minorHAnsi"/>
          <w:lang w:val="en-US"/>
        </w:rPr>
      </w:pPr>
    </w:p>
    <w:p w14:paraId="55B0B048" w14:textId="00A1AA63" w:rsidR="00A90C62" w:rsidRPr="00B845AF" w:rsidRDefault="2248D006" w:rsidP="2248D006">
      <w:pPr>
        <w:pStyle w:val="SCtext"/>
        <w:rPr>
          <w:rFonts w:asciiTheme="minorHAnsi" w:hAnsiTheme="minorHAnsi" w:cstheme="minorHAnsi"/>
        </w:rPr>
      </w:pPr>
      <w:r w:rsidRPr="00B845AF">
        <w:rPr>
          <w:rFonts w:asciiTheme="minorHAnsi" w:hAnsiTheme="minorHAnsi" w:cstheme="minorHAnsi"/>
        </w:rPr>
        <w:t>FSM, on behalf of the FFA members, noted that although no specific paper was before SC on ER&amp;EM IWG’s broader work, the FFA members wished to comment on it, thanking the IWG Chair for advancing this work and supporting the objectives of the Commission’s EM program. On the draft audit questionnaire, the FFA members expressed a preference that the audit assess certain specified elements, that the questionnaire align closely with the SSP’s approach, and that its structure be revisited, an issue FSM noted had already been raised with the IWG Chair. The FFA members also asked that the questionnaire clearly distinguish between mandatory requirements and “should”</w:t>
      </w:r>
      <w:proofErr w:type="gramStart"/>
      <w:r w:rsidRPr="00B845AF">
        <w:rPr>
          <w:rFonts w:asciiTheme="minorHAnsi" w:hAnsiTheme="minorHAnsi" w:cstheme="minorHAnsi"/>
        </w:rPr>
        <w:t>/“</w:t>
      </w:r>
      <w:proofErr w:type="gramEnd"/>
      <w:r w:rsidRPr="00B845AF">
        <w:rPr>
          <w:rFonts w:asciiTheme="minorHAnsi" w:hAnsiTheme="minorHAnsi" w:cstheme="minorHAnsi"/>
        </w:rPr>
        <w:t>could” provisions.</w:t>
      </w:r>
    </w:p>
    <w:p w14:paraId="55123E1A" w14:textId="77777777" w:rsidR="0064565B" w:rsidRPr="00B845AF" w:rsidRDefault="0064565B" w:rsidP="0064565B">
      <w:pPr>
        <w:pStyle w:val="SCtext"/>
        <w:numPr>
          <w:ilvl w:val="0"/>
          <w:numId w:val="0"/>
        </w:numPr>
        <w:rPr>
          <w:rFonts w:asciiTheme="minorHAnsi" w:hAnsiTheme="minorHAnsi" w:cstheme="minorHAnsi"/>
          <w:lang w:val="en-US"/>
        </w:rPr>
      </w:pPr>
    </w:p>
    <w:p w14:paraId="6D26B2AE" w14:textId="6715A43A" w:rsidR="0064565B" w:rsidRPr="00B845AF" w:rsidRDefault="0064565B">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BD5A29" w:rsidRPr="00B845AF">
        <w:rPr>
          <w:rFonts w:asciiTheme="minorHAnsi" w:hAnsiTheme="minorHAnsi" w:cstheme="minorHAnsi"/>
          <w:lang w:val="en-US"/>
        </w:rPr>
        <w:t>theme c</w:t>
      </w:r>
      <w:r w:rsidRPr="00B845AF">
        <w:rPr>
          <w:rFonts w:asciiTheme="minorHAnsi" w:hAnsiTheme="minorHAnsi" w:cstheme="minorHAnsi"/>
          <w:lang w:val="en-US"/>
        </w:rPr>
        <w:t xml:space="preserve">onvener thanked FSM for the statement and noted that a presentation had originally been scheduled </w:t>
      </w:r>
      <w:r w:rsidR="00924305" w:rsidRPr="00B845AF">
        <w:rPr>
          <w:rFonts w:asciiTheme="minorHAnsi" w:hAnsiTheme="minorHAnsi" w:cstheme="minorHAnsi"/>
          <w:lang w:val="en-US"/>
        </w:rPr>
        <w:t>by</w:t>
      </w:r>
      <w:r w:rsidRPr="00B845AF">
        <w:rPr>
          <w:rFonts w:asciiTheme="minorHAnsi" w:hAnsiTheme="minorHAnsi" w:cstheme="minorHAnsi"/>
          <w:lang w:val="en-US"/>
        </w:rPr>
        <w:t xml:space="preserve"> the IWG Chair but would no longer occur due to schedule changes.</w:t>
      </w:r>
    </w:p>
    <w:p w14:paraId="730CAE00" w14:textId="77777777" w:rsidR="0064565B" w:rsidRPr="00B845AF" w:rsidRDefault="0064565B" w:rsidP="0064565B">
      <w:pPr>
        <w:pStyle w:val="SCtext"/>
        <w:numPr>
          <w:ilvl w:val="0"/>
          <w:numId w:val="0"/>
        </w:numPr>
        <w:rPr>
          <w:rFonts w:asciiTheme="minorHAnsi" w:hAnsiTheme="minorHAnsi" w:cstheme="minorHAnsi"/>
          <w:lang w:val="en-US"/>
        </w:rPr>
      </w:pPr>
    </w:p>
    <w:p w14:paraId="13411A18" w14:textId="15943632" w:rsidR="0064565B" w:rsidRPr="00B845AF" w:rsidRDefault="0064565B">
      <w:pPr>
        <w:pStyle w:val="SCtext"/>
        <w:rPr>
          <w:rFonts w:asciiTheme="minorHAnsi" w:hAnsiTheme="minorHAnsi" w:cstheme="minorHAnsi"/>
          <w:lang w:val="en-US"/>
        </w:rPr>
      </w:pPr>
      <w:r w:rsidRPr="00B845AF">
        <w:rPr>
          <w:rFonts w:asciiTheme="minorHAnsi" w:hAnsiTheme="minorHAnsi" w:cstheme="minorHAnsi"/>
          <w:lang w:val="en-US"/>
        </w:rPr>
        <w:t>Japan thanked the U</w:t>
      </w:r>
      <w:r w:rsidR="00D00411" w:rsidRPr="00B845AF">
        <w:rPr>
          <w:rFonts w:asciiTheme="minorHAnsi" w:hAnsiTheme="minorHAnsi" w:cstheme="minorHAnsi"/>
          <w:lang w:val="en-US"/>
        </w:rPr>
        <w:t>SA</w:t>
      </w:r>
      <w:r w:rsidRPr="00B845AF">
        <w:rPr>
          <w:rFonts w:asciiTheme="minorHAnsi" w:hAnsiTheme="minorHAnsi" w:cstheme="minorHAnsi"/>
          <w:lang w:val="en-US"/>
        </w:rPr>
        <w:t xml:space="preserve"> for the proposal and stated that clarity on the actual requirements is needed before Japan can engage on implementation, since the content will determine what work and authority would be required domestically. Japan wished to further discuss the issues of implementation and coverage at TCC and intersessionally, to ensure any requirements are implementable.</w:t>
      </w:r>
    </w:p>
    <w:p w14:paraId="71EFD7E1" w14:textId="77777777" w:rsidR="00D00411" w:rsidRPr="00B845AF" w:rsidRDefault="00D00411" w:rsidP="00D00411">
      <w:pPr>
        <w:pStyle w:val="SCtext"/>
        <w:numPr>
          <w:ilvl w:val="0"/>
          <w:numId w:val="0"/>
        </w:numPr>
        <w:rPr>
          <w:rFonts w:asciiTheme="minorHAnsi" w:hAnsiTheme="minorHAnsi" w:cstheme="minorHAnsi"/>
          <w:lang w:val="en-US"/>
        </w:rPr>
      </w:pPr>
    </w:p>
    <w:p w14:paraId="0C403093" w14:textId="77866B0D" w:rsidR="00D00411" w:rsidRPr="00B845AF" w:rsidRDefault="00D00411">
      <w:pPr>
        <w:pStyle w:val="SCtext"/>
        <w:rPr>
          <w:rFonts w:asciiTheme="minorHAnsi" w:hAnsiTheme="minorHAnsi" w:cstheme="minorHAnsi"/>
          <w:lang w:val="en-US"/>
        </w:rPr>
      </w:pPr>
      <w:r w:rsidRPr="00B845AF">
        <w:rPr>
          <w:rFonts w:asciiTheme="minorHAnsi" w:hAnsiTheme="minorHAnsi" w:cstheme="minorHAnsi"/>
          <w:lang w:val="en-US"/>
        </w:rPr>
        <w:t xml:space="preserve">Solomon Islands, on behalf of the PNA and Vanuatu, thanked the USA for its commitment to progressing the EM discussion and supported changes narrowing the focus of the draft CMM. The PNA and Vanuatu suggested that any use of EM information for compliance purposes should align with the </w:t>
      </w:r>
      <w:r w:rsidRPr="00B845AF">
        <w:rPr>
          <w:rFonts w:asciiTheme="minorHAnsi" w:hAnsiTheme="minorHAnsi" w:cstheme="minorHAnsi"/>
          <w:lang w:val="en-US"/>
        </w:rPr>
        <w:lastRenderedPageBreak/>
        <w:t>CMM’s objectives. While noting reservations about the extent of coverage and review rate in the draft, the PNA and Vanuatu indicated willingness to progress the discussion, including with respect to the program being developed for the high seas.</w:t>
      </w:r>
    </w:p>
    <w:p w14:paraId="7AC5CE7A" w14:textId="77777777" w:rsidR="00D00411" w:rsidRPr="00B845AF" w:rsidRDefault="00D00411" w:rsidP="00D00411">
      <w:pPr>
        <w:pStyle w:val="SCtext"/>
        <w:numPr>
          <w:ilvl w:val="0"/>
          <w:numId w:val="0"/>
        </w:numPr>
        <w:rPr>
          <w:rFonts w:asciiTheme="minorHAnsi" w:hAnsiTheme="minorHAnsi" w:cstheme="minorHAnsi"/>
          <w:lang w:val="en-US"/>
        </w:rPr>
      </w:pPr>
    </w:p>
    <w:p w14:paraId="105DBF73" w14:textId="6E712244" w:rsidR="00D00411" w:rsidRPr="00B845AF" w:rsidRDefault="00D00411">
      <w:pPr>
        <w:pStyle w:val="SCtext"/>
        <w:rPr>
          <w:rFonts w:asciiTheme="minorHAnsi" w:hAnsiTheme="minorHAnsi" w:cstheme="minorHAnsi"/>
          <w:lang w:val="en-US"/>
        </w:rPr>
      </w:pPr>
      <w:r w:rsidRPr="00B845AF">
        <w:rPr>
          <w:rFonts w:asciiTheme="minorHAnsi" w:hAnsiTheme="minorHAnsi" w:cstheme="minorHAnsi"/>
          <w:lang w:val="en-US"/>
        </w:rPr>
        <w:t>Chinese Taipei stated its view that the coverage rate under discussion is a management matter properly addressed at TCC and the Commission rather than SC.</w:t>
      </w:r>
    </w:p>
    <w:p w14:paraId="053C84C4" w14:textId="77777777" w:rsidR="00D00411" w:rsidRPr="00B845AF" w:rsidRDefault="00D00411" w:rsidP="00D00411">
      <w:pPr>
        <w:pStyle w:val="SCtext"/>
        <w:numPr>
          <w:ilvl w:val="0"/>
          <w:numId w:val="0"/>
        </w:numPr>
        <w:rPr>
          <w:rFonts w:asciiTheme="minorHAnsi" w:hAnsiTheme="minorHAnsi" w:cstheme="minorHAnsi"/>
          <w:lang w:val="en-US"/>
        </w:rPr>
      </w:pPr>
    </w:p>
    <w:p w14:paraId="699AB07A" w14:textId="2A01CE5B" w:rsidR="00D00411" w:rsidRPr="00B845AF" w:rsidRDefault="00D00411">
      <w:pPr>
        <w:pStyle w:val="SCtext"/>
        <w:rPr>
          <w:rFonts w:asciiTheme="minorHAnsi" w:hAnsiTheme="minorHAnsi" w:cstheme="minorHAnsi"/>
          <w:lang w:val="en-US"/>
        </w:rPr>
      </w:pPr>
      <w:r w:rsidRPr="00B845AF">
        <w:rPr>
          <w:rFonts w:asciiTheme="minorHAnsi" w:hAnsiTheme="minorHAnsi" w:cstheme="minorHAnsi"/>
          <w:lang w:val="en-US"/>
        </w:rPr>
        <w:t>The EU thanked the USA for the proposal and agreed that EM should be considered complementary in filling data gaps, but stated the matter requires further discussion at TCC given the practical considerations involved, noting the current draft appears to treat EM coverage as the standard with human observation as an alternative.</w:t>
      </w:r>
    </w:p>
    <w:p w14:paraId="2256415E" w14:textId="77777777" w:rsidR="00D00411" w:rsidRPr="00B845AF" w:rsidRDefault="00D00411" w:rsidP="00D00411">
      <w:pPr>
        <w:pStyle w:val="SCtext"/>
        <w:numPr>
          <w:ilvl w:val="0"/>
          <w:numId w:val="0"/>
        </w:numPr>
        <w:rPr>
          <w:rFonts w:asciiTheme="minorHAnsi" w:hAnsiTheme="minorHAnsi" w:cstheme="minorHAnsi"/>
          <w:lang w:val="en-US"/>
        </w:rPr>
      </w:pPr>
    </w:p>
    <w:p w14:paraId="500D51A4" w14:textId="70CAA06D" w:rsidR="00D00411" w:rsidRPr="00B845AF" w:rsidRDefault="00D00411">
      <w:pPr>
        <w:pStyle w:val="SCtext"/>
        <w:rPr>
          <w:rFonts w:asciiTheme="minorHAnsi" w:hAnsiTheme="minorHAnsi" w:cstheme="minorHAnsi"/>
          <w:lang w:val="en-US"/>
        </w:rPr>
      </w:pPr>
      <w:r w:rsidRPr="00B845AF">
        <w:rPr>
          <w:rFonts w:asciiTheme="minorHAnsi" w:hAnsiTheme="minorHAnsi" w:cstheme="minorHAnsi"/>
          <w:lang w:val="en-US"/>
        </w:rPr>
        <w:t>China noted it is also developing EM for its own tuna longline vessels. China raised outstanding questions about the data submission timeframe under the proposal</w:t>
      </w:r>
      <w:r w:rsidR="00951CF8" w:rsidRPr="00B845AF">
        <w:rPr>
          <w:rFonts w:asciiTheme="minorHAnsi" w:hAnsiTheme="minorHAnsi" w:cstheme="minorHAnsi"/>
          <w:lang w:val="en-US"/>
        </w:rPr>
        <w:t>’</w:t>
      </w:r>
      <w:r w:rsidRPr="00B845AF">
        <w:rPr>
          <w:rFonts w:asciiTheme="minorHAnsi" w:hAnsiTheme="minorHAnsi" w:cstheme="minorHAnsi"/>
          <w:lang w:val="en-US"/>
        </w:rPr>
        <w:t>s scope and indicated it would discuss these further with the U</w:t>
      </w:r>
      <w:r w:rsidR="00951CF8" w:rsidRPr="00B845AF">
        <w:rPr>
          <w:rFonts w:asciiTheme="minorHAnsi" w:hAnsiTheme="minorHAnsi" w:cstheme="minorHAnsi"/>
          <w:lang w:val="en-US"/>
        </w:rPr>
        <w:t xml:space="preserve">SA </w:t>
      </w:r>
      <w:r w:rsidRPr="00B845AF">
        <w:rPr>
          <w:rFonts w:asciiTheme="minorHAnsi" w:hAnsiTheme="minorHAnsi" w:cstheme="minorHAnsi"/>
          <w:lang w:val="en-US"/>
        </w:rPr>
        <w:t>after the session.</w:t>
      </w:r>
    </w:p>
    <w:p w14:paraId="28795702" w14:textId="77777777" w:rsidR="00951CF8" w:rsidRPr="00B845AF" w:rsidRDefault="00951CF8" w:rsidP="00951CF8">
      <w:pPr>
        <w:pStyle w:val="SCtext"/>
        <w:numPr>
          <w:ilvl w:val="0"/>
          <w:numId w:val="0"/>
        </w:numPr>
        <w:rPr>
          <w:rFonts w:asciiTheme="minorHAnsi" w:hAnsiTheme="minorHAnsi" w:cstheme="minorHAnsi"/>
          <w:lang w:val="en-US"/>
        </w:rPr>
      </w:pPr>
    </w:p>
    <w:p w14:paraId="674C2F97" w14:textId="4B6E0287" w:rsidR="00951CF8" w:rsidRPr="00B845AF" w:rsidRDefault="00951CF8">
      <w:pPr>
        <w:pStyle w:val="SCtext"/>
        <w:rPr>
          <w:rFonts w:asciiTheme="minorHAnsi" w:hAnsiTheme="minorHAnsi" w:cstheme="minorHAnsi"/>
          <w:lang w:val="en-US"/>
        </w:rPr>
      </w:pPr>
      <w:r w:rsidRPr="00B845AF">
        <w:rPr>
          <w:rFonts w:asciiTheme="minorHAnsi" w:hAnsiTheme="minorHAnsi" w:cstheme="minorHAnsi"/>
          <w:lang w:val="en-US"/>
        </w:rPr>
        <w:t>Indonesia acknowledged the USA’s proposal and noted its own pilot EM study, including for vessels other than longline, describing EM implementation as challenging given Indonesia’s fleet is dominated by small vessels. Indonesia stated it needed more time to discuss the proposal at the management level and wished to discuss coverage further with the USA, while recognizing the value of increased data and describing the proposal as positive overall, notwithstanding challenges at the management level.</w:t>
      </w:r>
    </w:p>
    <w:p w14:paraId="5663C1EB" w14:textId="77777777" w:rsidR="00951CF8" w:rsidRPr="00B845AF" w:rsidRDefault="00951CF8" w:rsidP="00951CF8">
      <w:pPr>
        <w:pStyle w:val="SCtext"/>
        <w:numPr>
          <w:ilvl w:val="0"/>
          <w:numId w:val="0"/>
        </w:numPr>
        <w:rPr>
          <w:rFonts w:asciiTheme="minorHAnsi" w:hAnsiTheme="minorHAnsi" w:cstheme="minorHAnsi"/>
          <w:lang w:val="en-US"/>
        </w:rPr>
      </w:pPr>
    </w:p>
    <w:p w14:paraId="354FA4B2" w14:textId="615FF1EE" w:rsidR="00951CF8" w:rsidRPr="00B845AF" w:rsidRDefault="00951CF8">
      <w:pPr>
        <w:pStyle w:val="SCtext"/>
        <w:rPr>
          <w:rFonts w:asciiTheme="minorHAnsi" w:hAnsiTheme="minorHAnsi" w:cstheme="minorHAnsi"/>
          <w:lang w:val="en-US"/>
        </w:rPr>
      </w:pPr>
      <w:r w:rsidRPr="00B845AF">
        <w:rPr>
          <w:rFonts w:asciiTheme="minorHAnsi" w:hAnsiTheme="minorHAnsi" w:cstheme="minorHAnsi"/>
          <w:lang w:val="en-US"/>
        </w:rPr>
        <w:t>Canada thanked the USA for the presentation and proposal and expressed support for EM and for efforts to establish an EM program in the Convention Area.</w:t>
      </w:r>
    </w:p>
    <w:p w14:paraId="38D129A7" w14:textId="77777777" w:rsidR="00951CF8" w:rsidRPr="00B845AF" w:rsidRDefault="00951CF8" w:rsidP="00951CF8">
      <w:pPr>
        <w:pStyle w:val="SCtext"/>
        <w:numPr>
          <w:ilvl w:val="0"/>
          <w:numId w:val="0"/>
        </w:numPr>
        <w:rPr>
          <w:rFonts w:asciiTheme="minorHAnsi" w:hAnsiTheme="minorHAnsi" w:cstheme="minorHAnsi"/>
          <w:lang w:val="en-US"/>
        </w:rPr>
      </w:pPr>
    </w:p>
    <w:p w14:paraId="47A35E28" w14:textId="254A2392" w:rsidR="00951CF8" w:rsidRPr="00B845AF" w:rsidRDefault="00951CF8">
      <w:pPr>
        <w:pStyle w:val="SCtext"/>
        <w:rPr>
          <w:rFonts w:asciiTheme="minorHAnsi" w:hAnsiTheme="minorHAnsi" w:cstheme="minorHAnsi"/>
          <w:lang w:val="en-US"/>
        </w:rPr>
      </w:pPr>
      <w:r w:rsidRPr="00B845AF">
        <w:rPr>
          <w:rFonts w:asciiTheme="minorHAnsi" w:hAnsiTheme="minorHAnsi" w:cstheme="minorHAnsi"/>
          <w:lang w:val="en-US"/>
        </w:rPr>
        <w:t>Sharks Pacific welcomed both papers, stating they provide a genuine service to SC by addressing risk and bias associated with partial or stepwise EM implementation, matters Sharks Pacific considered squarely within SC’s scientific remit. Sharks Pacific stated that the papers confirm that anything short of 100% monitoring coverage opens the door to bias, which it noted bears directly on sharks and rays as rare bycatch species. Sharks Pacific urged SC to take the papers’ recommendations seriously, stating that coverage levels the Commission has previously tolerated are no longer defensible given the risk to the credibility of stock assessments, and expressed agreement with FFA and the PNA that priority should be given to addressing this gap. Sharks Pacific commended the papers for being brought forward.</w:t>
      </w:r>
    </w:p>
    <w:p w14:paraId="284370AE" w14:textId="77777777" w:rsidR="00777A8A" w:rsidRPr="00B845AF" w:rsidRDefault="00777A8A" w:rsidP="00777A8A">
      <w:pPr>
        <w:pStyle w:val="SCtext"/>
        <w:numPr>
          <w:ilvl w:val="0"/>
          <w:numId w:val="0"/>
        </w:numPr>
        <w:rPr>
          <w:rFonts w:asciiTheme="minorHAnsi" w:hAnsiTheme="minorHAnsi" w:cstheme="minorHAnsi"/>
          <w:lang w:val="en-US"/>
        </w:rPr>
      </w:pPr>
    </w:p>
    <w:p w14:paraId="69E585C7" w14:textId="787BDDC7" w:rsidR="00777A8A" w:rsidRPr="00B845AF" w:rsidRDefault="00777A8A">
      <w:pPr>
        <w:pStyle w:val="SCtext"/>
        <w:rPr>
          <w:rFonts w:asciiTheme="minorHAnsi" w:hAnsiTheme="minorHAnsi" w:cstheme="minorHAnsi"/>
          <w:lang w:val="en-US"/>
        </w:rPr>
      </w:pPr>
      <w:r w:rsidRPr="00B845AF">
        <w:rPr>
          <w:rFonts w:asciiTheme="minorHAnsi" w:hAnsiTheme="minorHAnsi" w:cstheme="minorHAnsi"/>
          <w:lang w:val="en-US"/>
        </w:rPr>
        <w:t xml:space="preserve">The USA responded that EM implementation is an evolving process wherever it has been introduced, and that programs need to begin </w:t>
      </w:r>
      <w:proofErr w:type="gramStart"/>
      <w:r w:rsidRPr="00B845AF">
        <w:rPr>
          <w:rFonts w:asciiTheme="minorHAnsi" w:hAnsiTheme="minorHAnsi" w:cstheme="minorHAnsi"/>
          <w:lang w:val="en-US"/>
        </w:rPr>
        <w:t>in order to</w:t>
      </w:r>
      <w:proofErr w:type="gramEnd"/>
      <w:r w:rsidRPr="00B845AF">
        <w:rPr>
          <w:rFonts w:asciiTheme="minorHAnsi" w:hAnsiTheme="minorHAnsi" w:cstheme="minorHAnsi"/>
          <w:lang w:val="en-US"/>
        </w:rPr>
        <w:t xml:space="preserve"> evolve; it acknowledged that EM can place burdens on CCMs and reiterated that it is not intended as a replacement for human observers. The USA offered to work with the FFA members and TCC to ensure potential impacts are fully considered and that no undue burden is placed where unnecessary, noting the draft has tried to mirror ROP language and that this alignment can continue to be refined. From a scientific standpoint, the USA suggested SC could develop a recommendation for the Commission</w:t>
      </w:r>
      <w:r w:rsidR="00F51644" w:rsidRPr="00B845AF">
        <w:rPr>
          <w:rFonts w:asciiTheme="minorHAnsi" w:hAnsiTheme="minorHAnsi" w:cstheme="minorHAnsi"/>
          <w:lang w:val="en-US"/>
        </w:rPr>
        <w:t>’</w:t>
      </w:r>
      <w:r w:rsidRPr="00B845AF">
        <w:rPr>
          <w:rFonts w:asciiTheme="minorHAnsi" w:hAnsiTheme="minorHAnsi" w:cstheme="minorHAnsi"/>
          <w:lang w:val="en-US"/>
        </w:rPr>
        <w:t>s consideration on increasing monitoring requirements,</w:t>
      </w:r>
      <w:r w:rsidR="00F51644" w:rsidRPr="00B845AF">
        <w:rPr>
          <w:rFonts w:asciiTheme="minorHAnsi" w:hAnsiTheme="minorHAnsi" w:cstheme="minorHAnsi"/>
          <w:lang w:val="en-US"/>
        </w:rPr>
        <w:t xml:space="preserve"> </w:t>
      </w:r>
      <w:r w:rsidRPr="00B845AF">
        <w:rPr>
          <w:rFonts w:asciiTheme="minorHAnsi" w:hAnsiTheme="minorHAnsi" w:cstheme="minorHAnsi"/>
          <w:lang w:val="en-US"/>
        </w:rPr>
        <w:t>for the purpose of obtaining accurate data for management, noting this would be relevant scientific input for TCC or the Commission.</w:t>
      </w:r>
    </w:p>
    <w:p w14:paraId="42F803F8" w14:textId="77777777" w:rsidR="00F51644" w:rsidRPr="00B845AF" w:rsidRDefault="00F51644" w:rsidP="00F51644">
      <w:pPr>
        <w:pStyle w:val="SCtext"/>
        <w:numPr>
          <w:ilvl w:val="0"/>
          <w:numId w:val="0"/>
        </w:numPr>
        <w:rPr>
          <w:rFonts w:asciiTheme="minorHAnsi" w:hAnsiTheme="minorHAnsi" w:cstheme="minorHAnsi"/>
          <w:lang w:val="en-US"/>
        </w:rPr>
      </w:pPr>
    </w:p>
    <w:p w14:paraId="32E0E347" w14:textId="6AF7A373" w:rsidR="00F51644" w:rsidRPr="00B845AF" w:rsidRDefault="00F51644">
      <w:pPr>
        <w:pStyle w:val="SCtext"/>
        <w:rPr>
          <w:rFonts w:asciiTheme="minorHAnsi" w:hAnsiTheme="minorHAnsi" w:cstheme="minorHAnsi"/>
          <w:lang w:val="en-US"/>
        </w:rPr>
      </w:pPr>
      <w:r w:rsidRPr="00B845AF">
        <w:rPr>
          <w:rFonts w:asciiTheme="minorHAnsi" w:hAnsiTheme="minorHAnsi" w:cstheme="minorHAnsi"/>
          <w:lang w:val="en-US"/>
        </w:rPr>
        <w:t xml:space="preserve">Japan thanked the USA for the suggestion and stated that EM should be considered in conjunction with human observer coverage, including the overall coverage ratio, referring back to the earlier </w:t>
      </w:r>
      <w:r w:rsidRPr="00B845AF">
        <w:rPr>
          <w:rFonts w:asciiTheme="minorHAnsi" w:hAnsiTheme="minorHAnsi" w:cstheme="minorHAnsi"/>
          <w:lang w:val="en-US"/>
        </w:rPr>
        <w:lastRenderedPageBreak/>
        <w:t>discussion on the possibility of wording supporting higher coverage for better data collection, and suggested the USA’s suggestion be considered together with the general coverage issue.</w:t>
      </w:r>
    </w:p>
    <w:p w14:paraId="394663C5" w14:textId="77777777" w:rsidR="005F5A99" w:rsidRPr="00B845AF" w:rsidRDefault="005F5A99" w:rsidP="005F5A99">
      <w:pPr>
        <w:pStyle w:val="SCtext"/>
        <w:numPr>
          <w:ilvl w:val="0"/>
          <w:numId w:val="0"/>
        </w:numPr>
        <w:rPr>
          <w:rFonts w:asciiTheme="minorHAnsi" w:hAnsiTheme="minorHAnsi" w:cstheme="minorHAnsi"/>
          <w:lang w:val="en-US"/>
        </w:rPr>
      </w:pPr>
    </w:p>
    <w:p w14:paraId="5C560481" w14:textId="7C38F96A" w:rsidR="005F5A99" w:rsidRPr="00B845AF" w:rsidRDefault="00B250C7">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USA stated that its proposal had two primary objectives: to establish a Commission-wide framework for the implementation and use of electronic monitoring (EM), and to increase monitoring coverage in longline fisheries to improve scientific data collection. The USA stated there was some urgency to get this framework in place, particularly given the provisions in the current tropical tuna measure (CMM 2025-02), which explicitly allows for the use of EM. The USA recalled previous SC advice that the current 5% longline observer coverage is insufficient to meet the Commission’s scientific and management needs, as well as the conclusions of WCPFC Project 93, which indicated that monitoring gaps are greatest in longline fisheries due to low observer coverage and identified EM as the most effective tool to improve data collection, and stated that its proposal was intended to allow a stepwise approach to increasing data collection in longline fisheries. The USA stated its expectation that the ERandEM-IWG would be in a position to recommend an audit and assurance process for adoption by the Commission in December 2026, with the intention of incorporating all adopted standards, including the technical and data standards and the audit and assurance process, into the proposed framework for adoption at WCPFC23. The USA noted it had been having side discussions during SC22 regarding progress that could be made on this issue, and recalled that SC19 had noted that the adopted level of 5% observer coverage, in place for over a decade, had not provided good estimates of longline bycatch, and had therefore recommended that the Commission explore options to expand observer coverage on longline vessels through both human and electronic approaches in the WCPO so that the SC could provide better estimates of bycatch levels and other metrics from these fleets (SC19 Summary Report, para. 41). The USA further recalled that SC19 had noted that observer coverage of at least 10% of trips would allow for reasonably good estimates of bycatch, with the increase in precision highest for frequently caught species and weakest for rarely caught species, especially sea turtles and cetaceans (SC19 Summary Report, para. 115).</w:t>
      </w:r>
    </w:p>
    <w:p w14:paraId="30C55E28" w14:textId="77777777" w:rsidR="00B250C7" w:rsidRPr="00B845AF" w:rsidRDefault="00B250C7" w:rsidP="00B250C7">
      <w:pPr>
        <w:pStyle w:val="SCtext"/>
        <w:numPr>
          <w:ilvl w:val="0"/>
          <w:numId w:val="0"/>
        </w:numPr>
        <w:rPr>
          <w:rFonts w:asciiTheme="minorHAnsi" w:hAnsiTheme="minorHAnsi" w:cstheme="minorHAnsi"/>
          <w:lang w:val="en-US"/>
        </w:rPr>
      </w:pPr>
    </w:p>
    <w:p w14:paraId="0149494A" w14:textId="579814B0" w:rsidR="00B250C7" w:rsidRPr="00B845AF" w:rsidRDefault="00B250C7">
      <w:pPr>
        <w:pStyle w:val="SCtext"/>
        <w:rPr>
          <w:rFonts w:asciiTheme="minorHAnsi" w:hAnsiTheme="minorHAnsi" w:cstheme="minorHAnsi"/>
          <w:lang w:val="en-US"/>
        </w:rPr>
      </w:pPr>
      <w:r w:rsidRPr="00B845AF">
        <w:rPr>
          <w:rFonts w:asciiTheme="minorHAnsi" w:eastAsia="MS Mincho" w:hAnsiTheme="minorHAnsi" w:cstheme="minorHAnsi"/>
          <w:lang w:val="en-US" w:eastAsia="ja-JP"/>
        </w:rPr>
        <w:t>Based on those previous discussions, the USA proposed recommendation</w:t>
      </w:r>
      <w:r w:rsidR="004B5FFA" w:rsidRPr="00B845AF">
        <w:rPr>
          <w:rFonts w:asciiTheme="minorHAnsi" w:eastAsia="MS Mincho" w:hAnsiTheme="minorHAnsi" w:cstheme="minorHAnsi"/>
          <w:lang w:val="en-US" w:eastAsia="ja-JP"/>
        </w:rPr>
        <w:t>s</w:t>
      </w:r>
      <w:r w:rsidRPr="00B845AF">
        <w:rPr>
          <w:rFonts w:asciiTheme="minorHAnsi" w:eastAsia="MS Mincho" w:hAnsiTheme="minorHAnsi" w:cstheme="minorHAnsi"/>
          <w:lang w:val="en-US" w:eastAsia="ja-JP"/>
        </w:rPr>
        <w:t xml:space="preserve"> from SC22 for consideration</w:t>
      </w:r>
      <w:r w:rsidR="004B5FFA" w:rsidRPr="00B845AF">
        <w:rPr>
          <w:rFonts w:asciiTheme="minorHAnsi" w:eastAsia="MS Mincho" w:hAnsiTheme="minorHAnsi" w:cstheme="minorHAnsi"/>
          <w:lang w:val="en-US" w:eastAsia="ja-JP"/>
        </w:rPr>
        <w:t xml:space="preserve">. </w:t>
      </w:r>
      <w:r w:rsidRPr="00B845AF">
        <w:rPr>
          <w:rFonts w:asciiTheme="minorHAnsi" w:hAnsiTheme="minorHAnsi" w:cstheme="minorHAnsi"/>
          <w:lang w:val="en-US"/>
        </w:rPr>
        <w:t>The USA stated that the other primary objective of its proposal was the adoption of a framework to implement a WCPFC EM program, noting urgency given that the current tropical tuna measure (CMM 2025-02) explicitly allows for the use of EM, and that a number of CCMs may already be using, or have begun using, EM as a way to increase bigeye tuna (BET) quota, without any current framework in place requiring that EM data be submitted to the Secretariat. The USA stated that its proposed CMM would establish a framework for a WCPFC EM Program and would require that EM data be submitted to the Commission</w:t>
      </w:r>
      <w:r w:rsidR="004B5FFA" w:rsidRPr="00B845AF">
        <w:rPr>
          <w:rFonts w:asciiTheme="minorHAnsi" w:hAnsiTheme="minorHAnsi" w:cstheme="minorHAnsi"/>
          <w:lang w:val="en-US"/>
        </w:rPr>
        <w:t>.</w:t>
      </w:r>
    </w:p>
    <w:p w14:paraId="07A237D0" w14:textId="77777777" w:rsidR="00B250C7" w:rsidRPr="00B845AF" w:rsidRDefault="00B250C7" w:rsidP="00B250C7">
      <w:pPr>
        <w:pStyle w:val="SCtext"/>
        <w:numPr>
          <w:ilvl w:val="0"/>
          <w:numId w:val="0"/>
        </w:numPr>
        <w:rPr>
          <w:rFonts w:asciiTheme="minorHAnsi" w:hAnsiTheme="minorHAnsi" w:cstheme="minorHAnsi"/>
          <w:lang w:val="en-US"/>
        </w:rPr>
      </w:pPr>
    </w:p>
    <w:p w14:paraId="19E9B643" w14:textId="024AE37A" w:rsidR="00B250C7" w:rsidRPr="00B845AF" w:rsidRDefault="007059BF">
      <w:pPr>
        <w:pStyle w:val="SCtext"/>
        <w:rPr>
          <w:rFonts w:asciiTheme="minorHAnsi" w:hAnsiTheme="minorHAnsi" w:cstheme="minorHAnsi"/>
          <w:lang w:val="en-US"/>
        </w:rPr>
      </w:pPr>
      <w:r w:rsidRPr="00B845AF">
        <w:rPr>
          <w:rFonts w:asciiTheme="minorHAnsi" w:hAnsiTheme="minorHAnsi" w:cstheme="minorHAnsi"/>
          <w:lang w:val="en-US"/>
        </w:rPr>
        <w:t>Japan stated that the SC has already provided relevant information to the Commission, and that Japan was open to reiterating positions it had previously stated to the Commission. Japan noted that the issue of EM involves coverage, implementation schedule, and monitoring content, which, while related, are also separate issues, and cautioned that making significant progress on both coverage and content simultaneously raises practical difficulties for some CCMs.</w:t>
      </w:r>
    </w:p>
    <w:p w14:paraId="1220F6D5" w14:textId="77777777" w:rsidR="007059BF" w:rsidRPr="00B845AF" w:rsidRDefault="007059BF" w:rsidP="007059BF">
      <w:pPr>
        <w:pStyle w:val="SCtext"/>
        <w:numPr>
          <w:ilvl w:val="0"/>
          <w:numId w:val="0"/>
        </w:numPr>
        <w:rPr>
          <w:rFonts w:asciiTheme="minorHAnsi" w:hAnsiTheme="minorHAnsi" w:cstheme="minorHAnsi"/>
          <w:lang w:val="en-US"/>
        </w:rPr>
      </w:pPr>
    </w:p>
    <w:p w14:paraId="6CCC1D84" w14:textId="02204423" w:rsidR="007059BF" w:rsidRPr="00B845AF" w:rsidRDefault="007059BF">
      <w:pPr>
        <w:pStyle w:val="SCtext"/>
        <w:rPr>
          <w:rFonts w:asciiTheme="minorHAnsi" w:hAnsiTheme="minorHAnsi" w:cstheme="minorHAnsi"/>
          <w:lang w:val="en-US"/>
        </w:rPr>
      </w:pPr>
      <w:r w:rsidRPr="00B845AF">
        <w:rPr>
          <w:rFonts w:asciiTheme="minorHAnsi" w:hAnsiTheme="minorHAnsi" w:cstheme="minorHAnsi"/>
          <w:lang w:val="en-US"/>
        </w:rPr>
        <w:t>New Zealand, on behalf of the FFA members, thanked the USA for the suggestion and agreed that drafting a CMM on this issue is important, but reiterated its previous views raised at the Commission last year regarding sequencing and timing, and the need to take into account other priorities and the capacity of Small Island Developing States and territories to effectively engage across different workstreams.</w:t>
      </w:r>
    </w:p>
    <w:p w14:paraId="77B85118" w14:textId="77777777" w:rsidR="007059BF" w:rsidRPr="00B845AF" w:rsidRDefault="007059BF" w:rsidP="007059BF">
      <w:pPr>
        <w:pStyle w:val="SCtext"/>
        <w:numPr>
          <w:ilvl w:val="0"/>
          <w:numId w:val="0"/>
        </w:numPr>
        <w:rPr>
          <w:rFonts w:asciiTheme="minorHAnsi" w:hAnsiTheme="minorHAnsi" w:cstheme="minorHAnsi"/>
          <w:lang w:val="en-US"/>
        </w:rPr>
      </w:pPr>
    </w:p>
    <w:p w14:paraId="04809386" w14:textId="6BC9F438" w:rsidR="007059BF" w:rsidRPr="00B845AF" w:rsidRDefault="007059BF">
      <w:pPr>
        <w:pStyle w:val="SCtext"/>
        <w:rPr>
          <w:rFonts w:asciiTheme="minorHAnsi" w:hAnsiTheme="minorHAnsi" w:cstheme="minorHAnsi"/>
          <w:lang w:val="en-US"/>
        </w:rPr>
      </w:pPr>
      <w:r w:rsidRPr="00B845AF">
        <w:rPr>
          <w:rFonts w:asciiTheme="minorHAnsi" w:hAnsiTheme="minorHAnsi" w:cstheme="minorHAnsi"/>
          <w:lang w:val="en-US"/>
        </w:rPr>
        <w:t xml:space="preserve">China thanked the USA for its efforts in developing proposed recommendations for </w:t>
      </w:r>
      <w:r w:rsidR="00924305" w:rsidRPr="00B845AF">
        <w:rPr>
          <w:rFonts w:asciiTheme="minorHAnsi" w:hAnsiTheme="minorHAnsi" w:cstheme="minorHAnsi"/>
          <w:lang w:val="en-US"/>
        </w:rPr>
        <w:t>SC22 but</w:t>
      </w:r>
      <w:r w:rsidRPr="00B845AF">
        <w:rPr>
          <w:rFonts w:asciiTheme="minorHAnsi" w:hAnsiTheme="minorHAnsi" w:cstheme="minorHAnsi"/>
          <w:lang w:val="en-US"/>
        </w:rPr>
        <w:t xml:space="preserve"> agreed with Japan that there are </w:t>
      </w:r>
      <w:proofErr w:type="gramStart"/>
      <w:r w:rsidRPr="00B845AF">
        <w:rPr>
          <w:rFonts w:asciiTheme="minorHAnsi" w:hAnsiTheme="minorHAnsi" w:cstheme="minorHAnsi"/>
          <w:lang w:val="en-US"/>
        </w:rPr>
        <w:t>a number of</w:t>
      </w:r>
      <w:proofErr w:type="gramEnd"/>
      <w:r w:rsidRPr="00B845AF">
        <w:rPr>
          <w:rFonts w:asciiTheme="minorHAnsi" w:hAnsiTheme="minorHAnsi" w:cstheme="minorHAnsi"/>
          <w:lang w:val="en-US"/>
        </w:rPr>
        <w:t xml:space="preserve"> practical issues still to be considered.</w:t>
      </w:r>
    </w:p>
    <w:p w14:paraId="3E806B18" w14:textId="77777777" w:rsidR="004E3DA4" w:rsidRPr="00B845AF" w:rsidRDefault="004E3DA4" w:rsidP="004E3DA4">
      <w:pPr>
        <w:pStyle w:val="SCtext"/>
        <w:numPr>
          <w:ilvl w:val="0"/>
          <w:numId w:val="0"/>
        </w:numPr>
        <w:rPr>
          <w:rFonts w:asciiTheme="minorHAnsi" w:hAnsiTheme="minorHAnsi" w:cstheme="minorHAnsi"/>
          <w:lang w:val="en-US"/>
        </w:rPr>
      </w:pPr>
    </w:p>
    <w:p w14:paraId="2E55EC01" w14:textId="336AE84C" w:rsidR="004E3DA4" w:rsidRPr="00B845AF" w:rsidRDefault="004E3DA4">
      <w:pPr>
        <w:pStyle w:val="SCtext"/>
        <w:rPr>
          <w:rFonts w:asciiTheme="minorHAnsi" w:hAnsiTheme="minorHAnsi" w:cstheme="minorHAnsi"/>
          <w:lang w:val="en-US"/>
        </w:rPr>
      </w:pPr>
      <w:r w:rsidRPr="00B845AF">
        <w:rPr>
          <w:rFonts w:asciiTheme="minorHAnsi" w:hAnsiTheme="minorHAnsi" w:cstheme="minorHAnsi"/>
          <w:lang w:val="en-US"/>
        </w:rPr>
        <w:t xml:space="preserve">The Nature Conservancy (TNC) revisited the results of a study it had presented earlier in the week illustrating that, when monitoring coverage across a fleet is less than 100%, there is increased variability and uncertainty in fisheries data, particularly for species of ecological, threatened, or protected (ETP) concern. TNC stated this was an important consideration for the SC to weigh in on, given the ERandEM-IWG’s ongoing discussions on the EM program, and, while supporting use of the ROP as a framework for developing the EM program, noted that EM coverage and review occur at different times, unlike observer data captured in real time, a distinction TNC said had not been thoroughly discussed by the group. TNC suggested that coverage and review be considered as separate </w:t>
      </w:r>
      <w:proofErr w:type="gramStart"/>
      <w:r w:rsidRPr="00B845AF">
        <w:rPr>
          <w:rFonts w:asciiTheme="minorHAnsi" w:hAnsiTheme="minorHAnsi" w:cstheme="minorHAnsi"/>
          <w:lang w:val="en-US"/>
        </w:rPr>
        <w:t>steps, and</w:t>
      </w:r>
      <w:proofErr w:type="gramEnd"/>
      <w:r w:rsidRPr="00B845AF">
        <w:rPr>
          <w:rFonts w:asciiTheme="minorHAnsi" w:hAnsiTheme="minorHAnsi" w:cstheme="minorHAnsi"/>
          <w:lang w:val="en-US"/>
        </w:rPr>
        <w:t xml:space="preserve"> recommended that the SC and the USA consider the results of the study presented in providing advice on recommended review rates for development of the WCPFC EM program.</w:t>
      </w:r>
    </w:p>
    <w:p w14:paraId="1E61FAE8" w14:textId="77777777" w:rsidR="00346C4A" w:rsidRPr="00B845AF" w:rsidRDefault="00346C4A" w:rsidP="00346C4A">
      <w:pPr>
        <w:pStyle w:val="SCtext"/>
        <w:numPr>
          <w:ilvl w:val="0"/>
          <w:numId w:val="0"/>
        </w:numPr>
        <w:rPr>
          <w:rFonts w:asciiTheme="minorHAnsi" w:hAnsiTheme="minorHAnsi" w:cstheme="minorHAnsi"/>
          <w:lang w:val="en-US"/>
        </w:rPr>
      </w:pPr>
    </w:p>
    <w:p w14:paraId="7B8E5E7E" w14:textId="1966A431" w:rsidR="00961140" w:rsidRPr="00B845AF" w:rsidRDefault="00346C4A" w:rsidP="00E15775">
      <w:pPr>
        <w:pStyle w:val="SCDR"/>
        <w:rPr>
          <w:rFonts w:asciiTheme="minorHAnsi" w:hAnsiTheme="minorHAnsi" w:cstheme="minorHAnsi"/>
        </w:rPr>
      </w:pPr>
      <w:r w:rsidRPr="00B845AF">
        <w:rPr>
          <w:rFonts w:asciiTheme="minorHAnsi" w:hAnsiTheme="minorHAnsi" w:cstheme="minorHAnsi"/>
        </w:rPr>
        <w:t>Outcomes</w:t>
      </w:r>
    </w:p>
    <w:p w14:paraId="6EDAE78E" w14:textId="7B2AC76C" w:rsidR="00996D4D" w:rsidRPr="00B845AF" w:rsidRDefault="001931E6">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SC22 recommended that the TCC and Commission consider options to expand monitoring coverage on longline vessels through human and electronic approaches in the WCPO to improve reporting and so that SC can provide better estimates of bycatch levels and other metrics from these fleets. SC22 noted that coverage of at least 10% of effort would allow for reasonably good estimates of bycatch for frequently caught species, and that higher levels would be necessary for reasonably good estimates for less frequently caught species, especially sea turtles and cetaceans.</w:t>
      </w:r>
    </w:p>
    <w:p w14:paraId="46889A36" w14:textId="77777777" w:rsidR="004B5FFA" w:rsidRPr="00B845AF" w:rsidRDefault="004B5FFA" w:rsidP="004B5FFA">
      <w:pPr>
        <w:pStyle w:val="SCtext"/>
        <w:numPr>
          <w:ilvl w:val="0"/>
          <w:numId w:val="0"/>
        </w:numPr>
        <w:rPr>
          <w:rFonts w:asciiTheme="minorHAnsi" w:hAnsiTheme="minorHAnsi" w:cstheme="minorHAnsi"/>
          <w:b/>
          <w:bCs/>
          <w:lang w:val="en-US"/>
        </w:rPr>
      </w:pPr>
    </w:p>
    <w:p w14:paraId="25406ECA" w14:textId="6965F477" w:rsidR="004B5FFA" w:rsidRPr="00B845AF" w:rsidRDefault="001931E6">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 xml:space="preserve">SC22 recommends that TCC and the Commission progress the work on electronic monitoring, including a draft CMM for the development of a WCPFC Electronic Monitoring Program, noting that a number of CCMs may choose to implement EM as a way of meeting the increased coverage requirements associated with increased longline bigeye tuna limit under the current CMM 2025-02. This work shall </w:t>
      </w:r>
      <w:proofErr w:type="gramStart"/>
      <w:r w:rsidRPr="00B845AF">
        <w:rPr>
          <w:rFonts w:asciiTheme="minorHAnsi" w:eastAsia="MS Mincho" w:hAnsiTheme="minorHAnsi" w:cstheme="minorHAnsi"/>
          <w:b/>
          <w:bCs/>
          <w:lang w:val="en-US" w:eastAsia="ja-JP"/>
        </w:rPr>
        <w:t>take into account</w:t>
      </w:r>
      <w:proofErr w:type="gramEnd"/>
      <w:r w:rsidRPr="00B845AF">
        <w:rPr>
          <w:rFonts w:asciiTheme="minorHAnsi" w:eastAsia="MS Mincho" w:hAnsiTheme="minorHAnsi" w:cstheme="minorHAnsi"/>
          <w:b/>
          <w:bCs/>
          <w:lang w:val="en-US" w:eastAsia="ja-JP"/>
        </w:rPr>
        <w:t xml:space="preserve"> the priorities identified in the ER&amp;EM IWG adopted workplan.</w:t>
      </w:r>
    </w:p>
    <w:p w14:paraId="4FCDB05F" w14:textId="77777777" w:rsidR="003E5C1F" w:rsidRPr="00B845AF" w:rsidRDefault="003E5C1F" w:rsidP="0035342F">
      <w:pPr>
        <w:pStyle w:val="ListParagraph"/>
        <w:widowControl w:val="0"/>
        <w:kinsoku w:val="0"/>
        <w:overflowPunct w:val="0"/>
        <w:autoSpaceDE w:val="0"/>
        <w:autoSpaceDN w:val="0"/>
        <w:adjustRightInd w:val="0"/>
        <w:snapToGrid w:val="0"/>
        <w:ind w:left="1440"/>
        <w:jc w:val="both"/>
        <w:rPr>
          <w:rFonts w:asciiTheme="minorHAnsi" w:hAnsiTheme="minorHAnsi" w:cstheme="minorHAnsi"/>
          <w:szCs w:val="22"/>
        </w:rPr>
      </w:pPr>
    </w:p>
    <w:p w14:paraId="2F1EEB40" w14:textId="27BF9426" w:rsidR="0035342F" w:rsidRPr="00B845AF" w:rsidRDefault="00D53CBF">
      <w:pPr>
        <w:pStyle w:val="SC2"/>
        <w:rPr>
          <w:rFonts w:asciiTheme="minorHAnsi" w:hAnsiTheme="minorHAnsi" w:cstheme="minorHAnsi"/>
        </w:rPr>
      </w:pPr>
      <w:r w:rsidRPr="00B845AF">
        <w:rPr>
          <w:rFonts w:asciiTheme="minorHAnsi" w:hAnsiTheme="minorHAnsi" w:cstheme="minorHAnsi"/>
        </w:rPr>
        <w:t>Other ST Theme issues</w:t>
      </w:r>
    </w:p>
    <w:p w14:paraId="21EE85EE" w14:textId="4B2956BE" w:rsidR="00F9579F" w:rsidRPr="00B845AF" w:rsidRDefault="00B40D5E">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p>
    <w:p w14:paraId="0BF18567" w14:textId="77777777" w:rsidR="007E43E8" w:rsidRPr="00B845AF" w:rsidRDefault="007E43E8" w:rsidP="007E43E8">
      <w:pPr>
        <w:pStyle w:val="SCtext"/>
        <w:numPr>
          <w:ilvl w:val="0"/>
          <w:numId w:val="0"/>
        </w:numPr>
        <w:rPr>
          <w:rFonts w:asciiTheme="minorHAnsi" w:hAnsiTheme="minorHAnsi" w:cstheme="minorHAnsi"/>
          <w:lang w:val="en-US"/>
        </w:rPr>
      </w:pPr>
    </w:p>
    <w:p w14:paraId="592495C0" w14:textId="77777777" w:rsidR="00DF22D1" w:rsidRPr="00B845AF" w:rsidRDefault="00DF22D1">
      <w:pPr>
        <w:rPr>
          <w:rFonts w:asciiTheme="minorHAnsi" w:eastAsiaTheme="minorEastAsia" w:hAnsiTheme="minorHAnsi" w:cstheme="minorHAnsi"/>
          <w:szCs w:val="22"/>
          <w:lang w:eastAsia="ko-KR"/>
        </w:rPr>
      </w:pPr>
    </w:p>
    <w:bookmarkEnd w:id="15"/>
    <w:p w14:paraId="5A960D09" w14:textId="0912E4CF" w:rsidR="008A47BB" w:rsidRPr="00B845AF" w:rsidRDefault="002E39E9" w:rsidP="00F532DA">
      <w:pPr>
        <w:pStyle w:val="Heading1"/>
        <w:numPr>
          <w:ilvl w:val="0"/>
          <w:numId w:val="0"/>
        </w:numPr>
        <w:adjustRightInd w:val="0"/>
        <w:snapToGrid w:val="0"/>
        <w:spacing w:after="0"/>
        <w:ind w:left="720"/>
        <w:rPr>
          <w:rFonts w:asciiTheme="minorHAnsi" w:hAnsiTheme="minorHAnsi" w:cstheme="minorHAnsi"/>
        </w:rPr>
      </w:pPr>
      <w:r w:rsidRPr="00B845AF">
        <w:rPr>
          <w:rFonts w:asciiTheme="minorHAnsi" w:hAnsiTheme="minorHAnsi" w:cstheme="minorHAnsi"/>
        </w:rPr>
        <w:t xml:space="preserve">AGENDA ITEM </w:t>
      </w:r>
      <w:r w:rsidR="00AD332D" w:rsidRPr="00B845AF">
        <w:rPr>
          <w:rFonts w:asciiTheme="minorHAnsi" w:hAnsiTheme="minorHAnsi" w:cstheme="minorHAnsi"/>
        </w:rPr>
        <w:t>4</w:t>
      </w:r>
      <w:r w:rsidR="00174FEF" w:rsidRPr="00B845AF">
        <w:rPr>
          <w:rFonts w:asciiTheme="minorHAnsi" w:hAnsiTheme="minorHAnsi" w:cstheme="minorHAnsi"/>
        </w:rPr>
        <w:t xml:space="preserve"> — </w:t>
      </w:r>
      <w:r w:rsidR="00A326AE" w:rsidRPr="00B845AF">
        <w:rPr>
          <w:rFonts w:asciiTheme="minorHAnsi" w:hAnsiTheme="minorHAnsi" w:cstheme="minorHAnsi"/>
        </w:rPr>
        <w:t xml:space="preserve">STOCK ASSESSMENT </w:t>
      </w:r>
      <w:r w:rsidR="008A47BB" w:rsidRPr="00B845AF">
        <w:rPr>
          <w:rFonts w:asciiTheme="minorHAnsi" w:hAnsiTheme="minorHAnsi" w:cstheme="minorHAnsi"/>
        </w:rPr>
        <w:t>THEME</w:t>
      </w:r>
      <w:r w:rsidR="00472973"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28" w:name="_Toc522810366"/>
      <w:bookmarkStart w:id="29" w:name="_Toc239261426"/>
      <w:r w:rsidRPr="00B845AF">
        <w:rPr>
          <w:rFonts w:asciiTheme="minorHAnsi" w:hAnsiTheme="minorHAnsi" w:cstheme="minorHAnsi"/>
        </w:rPr>
        <w:instrText xml:space="preserve">AGENDA ITEM </w:instrText>
      </w:r>
      <w:r w:rsidR="00F5218F" w:rsidRPr="00B845AF">
        <w:rPr>
          <w:rFonts w:asciiTheme="minorHAnsi" w:hAnsiTheme="minorHAnsi" w:cstheme="minorHAnsi"/>
        </w:rPr>
        <w:instrText>4</w:instrText>
      </w:r>
      <w:r w:rsidRPr="00B845AF">
        <w:rPr>
          <w:rFonts w:asciiTheme="minorHAnsi" w:hAnsiTheme="minorHAnsi" w:cstheme="minorHAnsi"/>
        </w:rPr>
        <w:instrText xml:space="preserve"> — </w:instrText>
      </w:r>
      <w:r w:rsidR="00334B8C" w:rsidRPr="00B845AF">
        <w:rPr>
          <w:rFonts w:asciiTheme="minorHAnsi" w:hAnsiTheme="minorHAnsi" w:cstheme="minorHAnsi"/>
        </w:rPr>
        <w:instrText>STOCK ASSESSMENT THEME</w:instrText>
      </w:r>
      <w:bookmarkEnd w:id="28"/>
      <w:bookmarkEnd w:id="29"/>
      <w:r w:rsidRPr="00B845AF">
        <w:rPr>
          <w:rFonts w:asciiTheme="minorHAnsi" w:hAnsiTheme="minorHAnsi" w:cstheme="minorHAnsi"/>
        </w:rPr>
        <w:instrText xml:space="preserve">" \f C \l "1" </w:instrText>
      </w:r>
      <w:r w:rsidR="00472973" w:rsidRPr="00B845AF">
        <w:rPr>
          <w:rFonts w:asciiTheme="minorHAnsi" w:hAnsiTheme="minorHAnsi" w:cstheme="minorHAnsi"/>
        </w:rPr>
        <w:fldChar w:fldCharType="end"/>
      </w:r>
    </w:p>
    <w:p w14:paraId="2B7D432D" w14:textId="77777777" w:rsidR="00D649E0" w:rsidRPr="00B845AF" w:rsidRDefault="00D649E0" w:rsidP="00CE4055">
      <w:pPr>
        <w:widowControl w:val="0"/>
        <w:kinsoku w:val="0"/>
        <w:overflowPunct w:val="0"/>
        <w:autoSpaceDE w:val="0"/>
        <w:autoSpaceDN w:val="0"/>
        <w:adjustRightInd w:val="0"/>
        <w:snapToGrid w:val="0"/>
        <w:jc w:val="both"/>
        <w:rPr>
          <w:rFonts w:asciiTheme="minorHAnsi" w:eastAsia="Batang" w:hAnsiTheme="minorHAnsi" w:cstheme="minorHAnsi"/>
          <w:szCs w:val="22"/>
          <w:lang w:eastAsia="ko-KR"/>
        </w:rPr>
      </w:pPr>
    </w:p>
    <w:p w14:paraId="7F86D016" w14:textId="77777777" w:rsidR="00D649E0" w:rsidRPr="00B845AF" w:rsidRDefault="00D649E0" w:rsidP="00793EF7">
      <w:pPr>
        <w:pStyle w:val="ListParagraph"/>
        <w:widowControl w:val="0"/>
        <w:kinsoku w:val="0"/>
        <w:overflowPunct w:val="0"/>
        <w:autoSpaceDE w:val="0"/>
        <w:autoSpaceDN w:val="0"/>
        <w:adjustRightInd w:val="0"/>
        <w:snapToGrid w:val="0"/>
        <w:ind w:left="360"/>
        <w:jc w:val="both"/>
        <w:rPr>
          <w:rFonts w:asciiTheme="minorHAnsi" w:eastAsia="Batang" w:hAnsiTheme="minorHAnsi" w:cstheme="minorHAnsi"/>
          <w:b/>
          <w:bCs/>
          <w:vanish/>
          <w:szCs w:val="22"/>
          <w:lang w:eastAsia="ko-KR"/>
        </w:rPr>
      </w:pPr>
    </w:p>
    <w:p w14:paraId="0DA83EF3" w14:textId="77777777" w:rsidR="00793EF7" w:rsidRPr="00B845AF" w:rsidRDefault="00793EF7">
      <w:pPr>
        <w:pStyle w:val="ListParagraph"/>
        <w:keepNext/>
        <w:numPr>
          <w:ilvl w:val="0"/>
          <w:numId w:val="7"/>
        </w:numPr>
        <w:suppressLineNumbers/>
        <w:adjustRightInd w:val="0"/>
        <w:snapToGrid w:val="0"/>
        <w:spacing w:after="220"/>
        <w:jc w:val="both"/>
        <w:outlineLvl w:val="1"/>
        <w:rPr>
          <w:rFonts w:asciiTheme="minorHAnsi" w:eastAsia="Batang" w:hAnsiTheme="minorHAnsi" w:cstheme="minorHAnsi"/>
          <w:b/>
          <w:vanish/>
          <w:szCs w:val="22"/>
          <w:lang w:eastAsia="ko-KR"/>
        </w:rPr>
      </w:pPr>
    </w:p>
    <w:p w14:paraId="36072103" w14:textId="64253766" w:rsidR="00D649E0" w:rsidRPr="00B845AF" w:rsidRDefault="00D649E0">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Improvement</w:t>
      </w:r>
      <w:r w:rsidRPr="00B845AF">
        <w:rPr>
          <w:rFonts w:asciiTheme="minorHAnsi" w:eastAsia="Malgun Gothic" w:hAnsiTheme="minorHAnsi" w:cstheme="minorHAnsi"/>
          <w:lang w:eastAsia="ko-KR"/>
        </w:rPr>
        <w:t xml:space="preserve"> of MULTIFAN-CL software </w:t>
      </w:r>
    </w:p>
    <w:p w14:paraId="35460C84" w14:textId="72154509" w:rsidR="00D649E0" w:rsidRPr="00B845AF" w:rsidRDefault="00D649E0">
      <w:pPr>
        <w:pStyle w:val="SC3"/>
        <w:rPr>
          <w:rFonts w:asciiTheme="minorHAnsi" w:hAnsiTheme="minorHAnsi" w:cstheme="minorHAnsi"/>
        </w:rPr>
      </w:pPr>
      <w:r w:rsidRPr="00B845AF">
        <w:rPr>
          <w:rFonts w:asciiTheme="minorHAnsi" w:hAnsiTheme="minorHAnsi" w:cstheme="minorHAnsi"/>
        </w:rPr>
        <w:t>Update of MULTIFAN-CL software</w:t>
      </w:r>
    </w:p>
    <w:p w14:paraId="6BB53EB2" w14:textId="4EE5A9C5" w:rsidR="00D649E0" w:rsidRPr="00B845AF" w:rsidRDefault="0039293E">
      <w:pPr>
        <w:pStyle w:val="SCtext"/>
        <w:rPr>
          <w:rFonts w:asciiTheme="minorHAnsi" w:hAnsiTheme="minorHAnsi" w:cstheme="minorHAnsi"/>
          <w:lang w:val="en-US"/>
        </w:rPr>
      </w:pPr>
      <w:r w:rsidRPr="00B845AF">
        <w:rPr>
          <w:rFonts w:asciiTheme="minorHAnsi" w:hAnsiTheme="minorHAnsi" w:cstheme="minorHAnsi"/>
          <w:lang w:val="en-US"/>
        </w:rPr>
        <w:t>There was no presentation</w:t>
      </w:r>
      <w:r w:rsidR="00FF622D" w:rsidRPr="00B845AF">
        <w:rPr>
          <w:rFonts w:asciiTheme="minorHAnsi" w:hAnsiTheme="minorHAnsi" w:cstheme="minorHAnsi"/>
          <w:lang w:val="en-US"/>
        </w:rPr>
        <w:t>,</w:t>
      </w:r>
      <w:r w:rsidRPr="00B845AF">
        <w:rPr>
          <w:rFonts w:asciiTheme="minorHAnsi" w:hAnsiTheme="minorHAnsi" w:cstheme="minorHAnsi"/>
          <w:lang w:val="en-US"/>
        </w:rPr>
        <w:t xml:space="preserve"> and </w:t>
      </w:r>
      <w:hyperlink r:id="rId35" w:history="1">
        <w:r w:rsidR="00637381" w:rsidRPr="00B845AF">
          <w:rPr>
            <w:rStyle w:val="Hyperlink"/>
            <w:rFonts w:asciiTheme="minorHAnsi" w:hAnsiTheme="minorHAnsi" w:cstheme="minorHAnsi"/>
            <w:lang w:val="en-US"/>
          </w:rPr>
          <w:t>WCPFC-</w:t>
        </w:r>
        <w:r w:rsidRPr="00B845AF">
          <w:rPr>
            <w:rStyle w:val="Hyperlink"/>
            <w:rFonts w:asciiTheme="minorHAnsi" w:hAnsiTheme="minorHAnsi" w:cstheme="minorHAnsi"/>
            <w:lang w:val="en-US"/>
          </w:rPr>
          <w:t>SC2</w:t>
        </w:r>
        <w:r w:rsidR="00637381" w:rsidRPr="00B845AF">
          <w:rPr>
            <w:rStyle w:val="Hyperlink"/>
            <w:rFonts w:asciiTheme="minorHAnsi" w:hAnsiTheme="minorHAnsi" w:cstheme="minorHAnsi"/>
            <w:lang w:val="en-US"/>
          </w:rPr>
          <w:t>2</w:t>
        </w:r>
        <w:r w:rsidRPr="00B845AF">
          <w:rPr>
            <w:rStyle w:val="Hyperlink"/>
            <w:rFonts w:asciiTheme="minorHAnsi" w:hAnsiTheme="minorHAnsi" w:cstheme="minorHAnsi"/>
            <w:lang w:val="en-US"/>
          </w:rPr>
          <w:t>-</w:t>
        </w:r>
        <w:r w:rsidR="00637381" w:rsidRPr="00B845AF">
          <w:rPr>
            <w:rStyle w:val="Hyperlink"/>
            <w:rFonts w:asciiTheme="minorHAnsi" w:hAnsiTheme="minorHAnsi" w:cstheme="minorHAnsi"/>
            <w:lang w:val="en-US"/>
          </w:rPr>
          <w:t>2026-</w:t>
        </w:r>
        <w:r w:rsidRPr="00B845AF">
          <w:rPr>
            <w:rStyle w:val="Hyperlink"/>
            <w:rFonts w:asciiTheme="minorHAnsi" w:hAnsiTheme="minorHAnsi" w:cstheme="minorHAnsi"/>
            <w:lang w:val="en-US"/>
          </w:rPr>
          <w:t>SA-IP02</w:t>
        </w:r>
      </w:hyperlink>
      <w:r w:rsidRPr="00B845AF">
        <w:rPr>
          <w:rFonts w:asciiTheme="minorHAnsi" w:hAnsiTheme="minorHAnsi" w:cstheme="minorHAnsi"/>
          <w:lang w:val="en-US"/>
        </w:rPr>
        <w:t xml:space="preserve"> (</w:t>
      </w:r>
      <w:r w:rsidRPr="00B845AF">
        <w:rPr>
          <w:rFonts w:asciiTheme="minorHAnsi" w:hAnsiTheme="minorHAnsi" w:cstheme="minorHAnsi"/>
          <w:i/>
          <w:iCs/>
          <w:lang w:val="en-US"/>
        </w:rPr>
        <w:t>Developments in the MULTIFAN-CL Software 202</w:t>
      </w:r>
      <w:r w:rsidR="00637381" w:rsidRPr="00B845AF">
        <w:rPr>
          <w:rFonts w:asciiTheme="minorHAnsi" w:hAnsiTheme="minorHAnsi" w:cstheme="minorHAnsi"/>
          <w:i/>
          <w:iCs/>
          <w:lang w:val="en-US"/>
        </w:rPr>
        <w:t>5</w:t>
      </w:r>
      <w:r w:rsidRPr="00B845AF">
        <w:rPr>
          <w:rFonts w:asciiTheme="minorHAnsi" w:hAnsiTheme="minorHAnsi" w:cstheme="minorHAnsi"/>
          <w:i/>
          <w:iCs/>
          <w:lang w:val="en-US"/>
        </w:rPr>
        <w:t>-2</w:t>
      </w:r>
      <w:r w:rsidR="00637381" w:rsidRPr="00B845AF">
        <w:rPr>
          <w:rFonts w:asciiTheme="minorHAnsi" w:hAnsiTheme="minorHAnsi" w:cstheme="minorHAnsi"/>
          <w:i/>
          <w:iCs/>
          <w:lang w:val="en-US"/>
        </w:rPr>
        <w:t>6</w:t>
      </w:r>
      <w:r w:rsidRPr="00B845AF">
        <w:rPr>
          <w:rFonts w:asciiTheme="minorHAnsi" w:hAnsiTheme="minorHAnsi" w:cstheme="minorHAnsi"/>
          <w:lang w:val="en-US"/>
        </w:rPr>
        <w:t>) was taken as read. There were no questions or comments raised from the floor.</w:t>
      </w:r>
    </w:p>
    <w:p w14:paraId="320CD491" w14:textId="77777777" w:rsidR="0039293E" w:rsidRPr="00B845AF" w:rsidRDefault="0039293E" w:rsidP="001F776D">
      <w:pPr>
        <w:widowControl w:val="0"/>
        <w:kinsoku w:val="0"/>
        <w:overflowPunct w:val="0"/>
        <w:autoSpaceDE w:val="0"/>
        <w:autoSpaceDN w:val="0"/>
        <w:adjustRightInd w:val="0"/>
        <w:snapToGrid w:val="0"/>
        <w:jc w:val="both"/>
        <w:rPr>
          <w:rFonts w:asciiTheme="minorHAnsi" w:eastAsia="Batang" w:hAnsiTheme="minorHAnsi" w:cstheme="minorHAnsi"/>
          <w:b/>
          <w:bCs/>
          <w:szCs w:val="22"/>
          <w:lang w:eastAsia="ko-KR"/>
        </w:rPr>
      </w:pPr>
    </w:p>
    <w:p w14:paraId="233314E6" w14:textId="77777777" w:rsidR="00D649E0" w:rsidRPr="00B845AF" w:rsidRDefault="00D649E0">
      <w:pPr>
        <w:pStyle w:val="SC3"/>
        <w:rPr>
          <w:rFonts w:asciiTheme="minorHAnsi" w:hAnsiTheme="minorHAnsi" w:cstheme="minorHAnsi"/>
          <w:bCs/>
        </w:rPr>
      </w:pPr>
      <w:r w:rsidRPr="00B845AF">
        <w:rPr>
          <w:rFonts w:asciiTheme="minorHAnsi" w:hAnsiTheme="minorHAnsi" w:cstheme="minorHAnsi"/>
          <w:bCs/>
        </w:rPr>
        <w:t>Scoping</w:t>
      </w:r>
      <w:r w:rsidRPr="00B845AF">
        <w:rPr>
          <w:rFonts w:asciiTheme="minorHAnsi" w:hAnsiTheme="minorHAnsi" w:cstheme="minorHAnsi"/>
        </w:rPr>
        <w:t xml:space="preserve"> the next generation of tuna stock assessment software (</w:t>
      </w:r>
      <w:r w:rsidRPr="00B845AF">
        <w:rPr>
          <w:rFonts w:asciiTheme="minorHAnsi" w:hAnsiTheme="minorHAnsi" w:cstheme="minorHAnsi"/>
          <w:bCs/>
        </w:rPr>
        <w:t>Project 123)</w:t>
      </w:r>
    </w:p>
    <w:p w14:paraId="6E3659F9" w14:textId="77777777" w:rsidR="006D11F1" w:rsidRPr="00B845AF" w:rsidRDefault="00520FD3">
      <w:pPr>
        <w:pStyle w:val="SCtext"/>
        <w:rPr>
          <w:rFonts w:asciiTheme="minorHAnsi" w:hAnsiTheme="minorHAnsi" w:cstheme="minorHAnsi"/>
          <w:lang w:val="en-US"/>
        </w:rPr>
      </w:pPr>
      <w:r w:rsidRPr="00B845AF">
        <w:rPr>
          <w:rFonts w:asciiTheme="minorHAnsi" w:hAnsiTheme="minorHAnsi" w:cstheme="minorHAnsi"/>
          <w:color w:val="000000"/>
          <w:lang w:val="en-US"/>
        </w:rPr>
        <w:t xml:space="preserve">P. Hamer (SPC-OFP) presented </w:t>
      </w:r>
      <w:hyperlink r:id="rId36" w:history="1">
        <w:r w:rsidRPr="00B845AF">
          <w:rPr>
            <w:rStyle w:val="Hyperlink"/>
            <w:rFonts w:asciiTheme="minorHAnsi" w:hAnsiTheme="minorHAnsi" w:cstheme="minorHAnsi"/>
            <w:lang w:val="en-US"/>
          </w:rPr>
          <w:t>WCPFC-SC22-2026-SA-WP01</w:t>
        </w:r>
      </w:hyperlink>
      <w:r w:rsidRPr="00B845AF">
        <w:rPr>
          <w:rFonts w:asciiTheme="minorHAnsi" w:hAnsiTheme="minorHAnsi" w:cstheme="minorHAnsi"/>
          <w:color w:val="000000"/>
          <w:lang w:val="en-US"/>
        </w:rPr>
        <w:t xml:space="preserve">, a progress report on Project 123 (Scoping the Next Generation of Tuna Stock Assessment Software). </w:t>
      </w:r>
    </w:p>
    <w:p w14:paraId="03E7938F" w14:textId="77777777" w:rsidR="006D11F1" w:rsidRPr="00B845AF" w:rsidRDefault="006D11F1" w:rsidP="006D11F1">
      <w:pPr>
        <w:pStyle w:val="SCtext"/>
        <w:numPr>
          <w:ilvl w:val="0"/>
          <w:numId w:val="0"/>
        </w:numPr>
        <w:rPr>
          <w:rFonts w:asciiTheme="minorHAnsi" w:hAnsiTheme="minorHAnsi" w:cstheme="minorHAnsi"/>
          <w:color w:val="000000"/>
          <w:lang w:val="en-US"/>
        </w:rPr>
      </w:pPr>
    </w:p>
    <w:p w14:paraId="53DA9DA8" w14:textId="77777777" w:rsidR="006D11F1" w:rsidRPr="00B845AF" w:rsidRDefault="00520FD3" w:rsidP="006D11F1">
      <w:pPr>
        <w:pStyle w:val="SCtext"/>
        <w:numPr>
          <w:ilvl w:val="0"/>
          <w:numId w:val="0"/>
        </w:numPr>
        <w:ind w:left="720"/>
        <w:rPr>
          <w:rFonts w:asciiTheme="minorHAnsi" w:hAnsiTheme="minorHAnsi" w:cstheme="minorHAnsi"/>
          <w:color w:val="000000"/>
          <w:lang w:val="en-US"/>
        </w:rPr>
      </w:pPr>
      <w:r w:rsidRPr="00B845AF">
        <w:rPr>
          <w:rFonts w:asciiTheme="minorHAnsi" w:hAnsiTheme="minorHAnsi" w:cstheme="minorHAnsi"/>
          <w:color w:val="000000"/>
          <w:lang w:val="en-US"/>
        </w:rPr>
        <w:t xml:space="preserve">The paper explains that MULTIFAN-CL (MFCL) and Stock Synthesis 3 (SS3) are reaching the end of their innovative development cycles, creating a need for a state-of-the-art successor to keep WCPFC tuna, billfish, and shark assessments robust and grounded in the best available science. </w:t>
      </w:r>
      <w:r w:rsidRPr="00B845AF">
        <w:rPr>
          <w:rFonts w:asciiTheme="minorHAnsi" w:hAnsiTheme="minorHAnsi" w:cstheme="minorHAnsi"/>
          <w:color w:val="000000"/>
          <w:lang w:val="en-US"/>
        </w:rPr>
        <w:lastRenderedPageBreak/>
        <w:t xml:space="preserve">Year 3 of the project delivered core prototype components of opal (Open Population Assessment Library), an R/RTMB-based, modular, open-source framework, which demonstrated proof of concept on two datasets, WCPO bigeye tuna and Hawai’i ‘opakapaka. In parallel, a collaboration with the Technical University of Denmark (DTU) used the </w:t>
      </w:r>
      <w:proofErr w:type="spellStart"/>
      <w:r w:rsidRPr="00B845AF">
        <w:rPr>
          <w:rFonts w:asciiTheme="minorHAnsi" w:hAnsiTheme="minorHAnsi" w:cstheme="minorHAnsi"/>
          <w:color w:val="000000"/>
          <w:lang w:val="en-US"/>
        </w:rPr>
        <w:t>admove</w:t>
      </w:r>
      <w:proofErr w:type="spellEnd"/>
      <w:r w:rsidRPr="00B845AF">
        <w:rPr>
          <w:rFonts w:asciiTheme="minorHAnsi" w:hAnsiTheme="minorHAnsi" w:cstheme="minorHAnsi"/>
          <w:color w:val="000000"/>
          <w:lang w:val="en-US"/>
        </w:rPr>
        <w:t xml:space="preserve"> fine-scale spatio-temporal model to analyze skipjack tagging data externally, in a phased approach moving from movement and mortality, to relative abundance, to absolute biomass, with the paper noting that reporting rates, tagging effects, and mixing assumptions still need to be addressed and are not fully removed. </w:t>
      </w:r>
    </w:p>
    <w:p w14:paraId="7F171129" w14:textId="77777777" w:rsidR="006D11F1" w:rsidRPr="00B845AF" w:rsidRDefault="006D11F1" w:rsidP="006D11F1">
      <w:pPr>
        <w:pStyle w:val="SCtext"/>
        <w:numPr>
          <w:ilvl w:val="0"/>
          <w:numId w:val="0"/>
        </w:numPr>
        <w:ind w:left="720"/>
        <w:rPr>
          <w:rFonts w:asciiTheme="minorHAnsi" w:hAnsiTheme="minorHAnsi" w:cstheme="minorHAnsi"/>
          <w:color w:val="000000"/>
          <w:lang w:val="en-US"/>
        </w:rPr>
      </w:pPr>
    </w:p>
    <w:p w14:paraId="5D1F132D" w14:textId="5E3BF532" w:rsidR="00AA3233" w:rsidRPr="00B845AF" w:rsidRDefault="00520FD3"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color w:val="000000"/>
          <w:lang w:val="en-US"/>
        </w:rPr>
        <w:t xml:space="preserve">The paper argues for a Pacific-led, collaborative approach built entirely in R/RTMB, rather than joining external initiatives such as NOAA’s FIMS, to retain WCPFC and IATTC influence over development priorities and timelines, and proposes a governance framework comprising a Steering Committee, an SPC-based Technical Coordinator and administrative support, a core development team, and an external collaborator R&amp;D space, alongside an indicative three-year (2027-2029) workplan and budget of approximately $1,030,000 USD for core software development and $220,000 USD for the DTU tagging collaboration, noting these figures require refinement after SC22 for WCPFC23 consideration. The paper requests that SC22 note the proof-of-concept achievements, review and provide feedback on the Pacific-led approach and the proposed governance framework and </w:t>
      </w:r>
      <w:r w:rsidR="00E93D42" w:rsidRPr="00B845AF">
        <w:rPr>
          <w:rFonts w:asciiTheme="minorHAnsi" w:hAnsiTheme="minorHAnsi" w:cstheme="minorHAnsi"/>
          <w:color w:val="000000"/>
          <w:lang w:val="en-US"/>
        </w:rPr>
        <w:t>workplan and</w:t>
      </w:r>
      <w:r w:rsidRPr="00B845AF">
        <w:rPr>
          <w:rFonts w:asciiTheme="minorHAnsi" w:hAnsiTheme="minorHAnsi" w:cstheme="minorHAnsi"/>
          <w:color w:val="000000"/>
          <w:lang w:val="en-US"/>
        </w:rPr>
        <w:t xml:space="preserve"> </w:t>
      </w:r>
      <w:proofErr w:type="gramStart"/>
      <w:r w:rsidRPr="00B845AF">
        <w:rPr>
          <w:rFonts w:asciiTheme="minorHAnsi" w:hAnsiTheme="minorHAnsi" w:cstheme="minorHAnsi"/>
          <w:color w:val="000000"/>
          <w:lang w:val="en-US"/>
        </w:rPr>
        <w:t>convene</w:t>
      </w:r>
      <w:proofErr w:type="gramEnd"/>
      <w:r w:rsidRPr="00B845AF">
        <w:rPr>
          <w:rFonts w:asciiTheme="minorHAnsi" w:hAnsiTheme="minorHAnsi" w:cstheme="minorHAnsi"/>
          <w:color w:val="000000"/>
          <w:lang w:val="en-US"/>
        </w:rPr>
        <w:t xml:space="preserve"> an Informal Small Group at SC22 to discuss the proposed approaches and funding structures.</w:t>
      </w:r>
    </w:p>
    <w:p w14:paraId="201D68F3" w14:textId="77777777" w:rsidR="00456E2C" w:rsidRPr="00B845AF" w:rsidRDefault="00456E2C" w:rsidP="00456E2C">
      <w:pPr>
        <w:pStyle w:val="SCtext"/>
        <w:numPr>
          <w:ilvl w:val="0"/>
          <w:numId w:val="0"/>
        </w:numPr>
        <w:rPr>
          <w:rFonts w:asciiTheme="minorHAnsi" w:hAnsiTheme="minorHAnsi" w:cstheme="minorHAnsi"/>
          <w:lang w:val="en-US"/>
        </w:rPr>
      </w:pPr>
    </w:p>
    <w:p w14:paraId="4615B2E2" w14:textId="06AFCAA6" w:rsidR="006D11F1" w:rsidRPr="00B845AF" w:rsidRDefault="00456E2C">
      <w:pPr>
        <w:pStyle w:val="SCtext"/>
        <w:rPr>
          <w:rFonts w:asciiTheme="minorHAnsi" w:hAnsiTheme="minorHAnsi" w:cstheme="minorHAnsi"/>
          <w:lang w:val="en-US"/>
        </w:rPr>
      </w:pPr>
      <w:r w:rsidRPr="00B845AF">
        <w:rPr>
          <w:rFonts w:asciiTheme="minorHAnsi" w:hAnsiTheme="minorHAnsi" w:cstheme="minorHAnsi"/>
          <w:lang w:val="en-US"/>
        </w:rPr>
        <w:t xml:space="preserve">N. Ducharme-Barth </w:t>
      </w:r>
      <w:r w:rsidR="00144B72" w:rsidRPr="00B845AF">
        <w:rPr>
          <w:rFonts w:asciiTheme="minorHAnsi" w:hAnsiTheme="minorHAnsi" w:cstheme="minorHAnsi"/>
          <w:lang w:val="en-US"/>
        </w:rPr>
        <w:t xml:space="preserve">(USA) </w:t>
      </w:r>
      <w:r w:rsidRPr="00B845AF">
        <w:rPr>
          <w:rFonts w:asciiTheme="minorHAnsi" w:hAnsiTheme="minorHAnsi" w:cstheme="minorHAnsi"/>
          <w:lang w:val="en-US"/>
        </w:rPr>
        <w:t xml:space="preserve">presented </w:t>
      </w:r>
      <w:hyperlink r:id="rId37" w:history="1">
        <w:r w:rsidRPr="00B845AF">
          <w:rPr>
            <w:rStyle w:val="Hyperlink"/>
            <w:rFonts w:asciiTheme="minorHAnsi" w:hAnsiTheme="minorHAnsi" w:cstheme="minorHAnsi"/>
            <w:lang w:val="en-US"/>
          </w:rPr>
          <w:t>WCPFC-SC22-2026</w:t>
        </w:r>
        <w:r w:rsidR="008A6910" w:rsidRPr="00B845AF">
          <w:rPr>
            <w:rStyle w:val="Hyperlink"/>
            <w:rFonts w:asciiTheme="minorHAnsi" w:hAnsiTheme="minorHAnsi" w:cstheme="minorHAnsi"/>
            <w:lang w:val="en-US"/>
          </w:rPr>
          <w:t>-</w:t>
        </w:r>
        <w:r w:rsidRPr="00B845AF">
          <w:rPr>
            <w:rStyle w:val="Hyperlink"/>
            <w:rFonts w:asciiTheme="minorHAnsi" w:hAnsiTheme="minorHAnsi" w:cstheme="minorHAnsi"/>
            <w:lang w:val="en-US"/>
          </w:rPr>
          <w:t>SA-WP02</w:t>
        </w:r>
      </w:hyperlink>
      <w:r w:rsidRPr="00B845AF">
        <w:rPr>
          <w:rFonts w:asciiTheme="minorHAnsi" w:hAnsiTheme="minorHAnsi" w:cstheme="minorHAnsi"/>
          <w:lang w:val="en-US"/>
        </w:rPr>
        <w:t xml:space="preserve">, describing opal (the open population assessment library), an open-source, modular R package for stock assessment built on RTMB for automatic differentiation, random-effects estimation, and Bayesian inference, developed under Project 123 and drawing on the design of </w:t>
      </w:r>
      <w:proofErr w:type="spellStart"/>
      <w:r w:rsidRPr="00B845AF">
        <w:rPr>
          <w:rFonts w:asciiTheme="minorHAnsi" w:hAnsiTheme="minorHAnsi" w:cstheme="minorHAnsi"/>
          <w:lang w:val="en-US"/>
        </w:rPr>
        <w:t>Quantifish</w:t>
      </w:r>
      <w:r w:rsidR="008A6910" w:rsidRPr="00B845AF">
        <w:rPr>
          <w:rFonts w:asciiTheme="minorHAnsi" w:hAnsiTheme="minorHAnsi" w:cstheme="minorHAnsi"/>
          <w:lang w:val="en-US"/>
        </w:rPr>
        <w:t>’</w:t>
      </w:r>
      <w:r w:rsidRPr="00B845AF">
        <w:rPr>
          <w:rFonts w:asciiTheme="minorHAnsi" w:hAnsiTheme="minorHAnsi" w:cstheme="minorHAnsi"/>
          <w:lang w:val="en-US"/>
        </w:rPr>
        <w:t>s</w:t>
      </w:r>
      <w:proofErr w:type="spellEnd"/>
      <w:r w:rsidRPr="00B845AF">
        <w:rPr>
          <w:rFonts w:asciiTheme="minorHAnsi" w:hAnsiTheme="minorHAnsi" w:cstheme="minorHAnsi"/>
          <w:lang w:val="en-US"/>
        </w:rPr>
        <w:t xml:space="preserve"> </w:t>
      </w:r>
      <w:r w:rsidR="00E93D42" w:rsidRPr="00B845AF">
        <w:rPr>
          <w:rFonts w:asciiTheme="minorHAnsi" w:hAnsiTheme="minorHAnsi" w:cstheme="minorHAnsi"/>
          <w:lang w:val="en-US"/>
        </w:rPr>
        <w:t>southern bluefin tuna</w:t>
      </w:r>
      <w:r w:rsidRPr="00B845AF">
        <w:rPr>
          <w:rFonts w:asciiTheme="minorHAnsi" w:hAnsiTheme="minorHAnsi" w:cstheme="minorHAnsi"/>
          <w:lang w:val="en-US"/>
        </w:rPr>
        <w:t xml:space="preserve"> package for CCSBT southern bluefin tuna as well as influences from </w:t>
      </w:r>
      <w:proofErr w:type="spellStart"/>
      <w:r w:rsidRPr="00B845AF">
        <w:rPr>
          <w:rFonts w:asciiTheme="minorHAnsi" w:hAnsiTheme="minorHAnsi" w:cstheme="minorHAnsi"/>
          <w:lang w:val="en-US"/>
        </w:rPr>
        <w:t>SPoRC</w:t>
      </w:r>
      <w:proofErr w:type="spellEnd"/>
      <w:r w:rsidRPr="00B845AF">
        <w:rPr>
          <w:rFonts w:asciiTheme="minorHAnsi" w:hAnsiTheme="minorHAnsi" w:cstheme="minorHAnsi"/>
          <w:lang w:val="en-US"/>
        </w:rPr>
        <w:t xml:space="preserve">, WHAM, SS3, CASAL2, and MULTIFAN-CL. </w:t>
      </w:r>
    </w:p>
    <w:p w14:paraId="44A38244" w14:textId="77777777" w:rsidR="006D11F1" w:rsidRPr="00B845AF" w:rsidRDefault="006D11F1" w:rsidP="006D11F1">
      <w:pPr>
        <w:pStyle w:val="SCtext"/>
        <w:numPr>
          <w:ilvl w:val="0"/>
          <w:numId w:val="0"/>
        </w:numPr>
        <w:rPr>
          <w:rFonts w:asciiTheme="minorHAnsi" w:hAnsiTheme="minorHAnsi" w:cstheme="minorHAnsi"/>
          <w:lang w:val="en-US"/>
        </w:rPr>
      </w:pPr>
    </w:p>
    <w:p w14:paraId="55C9A0BA" w14:textId="77777777" w:rsidR="006D11F1" w:rsidRPr="00B845AF" w:rsidRDefault="00456E2C"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explains that opal is structured around a single objective function orchestrating standalone, individually documented modules for growth, selectivity, recruitment, initial conditions, dynamics, catch, likelihoods, and priors, with continuous-integration testing on every commit, and that it can currently estimate age-structured, length-based population dynamics, fit CPUE alongside length and weight composition data under multinomial, Dirichlet, or Dirichlet-multinomial likelihoods, and support random effects, catch-based projections, and Bayesian inference via </w:t>
      </w:r>
      <w:proofErr w:type="spellStart"/>
      <w:r w:rsidRPr="00B845AF">
        <w:rPr>
          <w:rFonts w:asciiTheme="minorHAnsi" w:hAnsiTheme="minorHAnsi" w:cstheme="minorHAnsi"/>
          <w:lang w:val="en-US"/>
        </w:rPr>
        <w:t>SparseNUTS</w:t>
      </w:r>
      <w:proofErr w:type="spellEnd"/>
      <w:r w:rsidRPr="00B845AF">
        <w:rPr>
          <w:rFonts w:asciiTheme="minorHAnsi" w:hAnsiTheme="minorHAnsi" w:cstheme="minorHAnsi"/>
          <w:lang w:val="en-US"/>
        </w:rPr>
        <w:t xml:space="preserve">. </w:t>
      </w:r>
    </w:p>
    <w:p w14:paraId="19FA8C43" w14:textId="77777777" w:rsidR="006D11F1" w:rsidRPr="00B845AF" w:rsidRDefault="006D11F1" w:rsidP="006D11F1">
      <w:pPr>
        <w:pStyle w:val="SCtext"/>
        <w:numPr>
          <w:ilvl w:val="0"/>
          <w:numId w:val="0"/>
        </w:numPr>
        <w:ind w:left="720"/>
        <w:rPr>
          <w:rFonts w:asciiTheme="minorHAnsi" w:hAnsiTheme="minorHAnsi" w:cstheme="minorHAnsi"/>
          <w:lang w:val="en-US"/>
        </w:rPr>
      </w:pPr>
    </w:p>
    <w:p w14:paraId="2496A3DA" w14:textId="77777777" w:rsidR="006D11F1" w:rsidRPr="00B845AF" w:rsidRDefault="00456E2C"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Two case studies were presented: a simulated Hawai</w:t>
      </w:r>
      <w:r w:rsidR="008A6910" w:rsidRPr="00B845AF">
        <w:rPr>
          <w:rFonts w:asciiTheme="minorHAnsi" w:hAnsiTheme="minorHAnsi" w:cstheme="minorHAnsi"/>
          <w:lang w:val="en-US"/>
        </w:rPr>
        <w:t>’</w:t>
      </w:r>
      <w:r w:rsidRPr="00B845AF">
        <w:rPr>
          <w:rFonts w:asciiTheme="minorHAnsi" w:hAnsiTheme="minorHAnsi" w:cstheme="minorHAnsi"/>
          <w:lang w:val="en-US"/>
        </w:rPr>
        <w:t xml:space="preserve">i </w:t>
      </w:r>
      <w:r w:rsidR="008A6910" w:rsidRPr="00B845AF">
        <w:rPr>
          <w:rFonts w:asciiTheme="minorHAnsi" w:hAnsiTheme="minorHAnsi" w:cstheme="minorHAnsi"/>
          <w:lang w:val="en-US"/>
        </w:rPr>
        <w:t>‘</w:t>
      </w:r>
      <w:r w:rsidRPr="00B845AF">
        <w:rPr>
          <w:rFonts w:asciiTheme="minorHAnsi" w:hAnsiTheme="minorHAnsi" w:cstheme="minorHAnsi"/>
          <w:lang w:val="en-US"/>
        </w:rPr>
        <w:t>opakapaka (</w:t>
      </w:r>
      <w:proofErr w:type="spellStart"/>
      <w:r w:rsidRPr="00B845AF">
        <w:rPr>
          <w:rFonts w:asciiTheme="minorHAnsi" w:hAnsiTheme="minorHAnsi" w:cstheme="minorHAnsi"/>
          <w:lang w:val="en-US"/>
        </w:rPr>
        <w:t>Pristipomoides</w:t>
      </w:r>
      <w:proofErr w:type="spellEnd"/>
      <w:r w:rsidRPr="00B845AF">
        <w:rPr>
          <w:rFonts w:asciiTheme="minorHAnsi" w:hAnsiTheme="minorHAnsi" w:cstheme="minorHAnsi"/>
          <w:lang w:val="en-US"/>
        </w:rPr>
        <w:t xml:space="preserve"> </w:t>
      </w:r>
      <w:proofErr w:type="spellStart"/>
      <w:r w:rsidRPr="00B845AF">
        <w:rPr>
          <w:rFonts w:asciiTheme="minorHAnsi" w:hAnsiTheme="minorHAnsi" w:cstheme="minorHAnsi"/>
          <w:lang w:val="en-US"/>
        </w:rPr>
        <w:t>filamentosus</w:t>
      </w:r>
      <w:proofErr w:type="spellEnd"/>
      <w:r w:rsidRPr="00B845AF">
        <w:rPr>
          <w:rFonts w:asciiTheme="minorHAnsi" w:hAnsiTheme="minorHAnsi" w:cstheme="minorHAnsi"/>
          <w:lang w:val="en-US"/>
        </w:rPr>
        <w:t xml:space="preserve">) assessment (1949-2023, three fleets), in which both a fixed-effects and a random-effects opal model converged with all parameters identifiable and fit faster than a comparable SS3 model (fixed-effects approximately 2 seconds, random-effects approximately 2 minutes, versus approximately 6 minutes for SS3), and a real-data application to the fleets-as-areas 2020 WCPO bigeye tuna (Thunnus obesus) assessment (15 fisheries, 268 time-steps, 40 quarterly age-classes), where the full 15-fishery opal model converged with a near-zero gradient but several selectivity parameters were found to be weakly identifiable and were fixed to obtain stable Hessian-based uncertainty estimates, while a simplified 6-fishery configuration converged with all parameters identifiable; the paper reports that both opal bigeye models produced better fits to the CPUE indices than the MFCL or SS3 models, likely reflecting down-weighting of the composition likelihoods relative to those models, and produced spawning biomass and relative biomass trajectories comparable to MFCL and SS3. </w:t>
      </w:r>
    </w:p>
    <w:p w14:paraId="461E430B" w14:textId="77777777" w:rsidR="006D11F1" w:rsidRPr="00B845AF" w:rsidRDefault="006D11F1" w:rsidP="006D11F1">
      <w:pPr>
        <w:pStyle w:val="SCtext"/>
        <w:numPr>
          <w:ilvl w:val="0"/>
          <w:numId w:val="0"/>
        </w:numPr>
        <w:ind w:left="720"/>
        <w:rPr>
          <w:rFonts w:asciiTheme="minorHAnsi" w:hAnsiTheme="minorHAnsi" w:cstheme="minorHAnsi"/>
          <w:lang w:val="en-US"/>
        </w:rPr>
      </w:pPr>
    </w:p>
    <w:p w14:paraId="7FCFD1F7" w14:textId="39AF8DAF" w:rsidR="00456E2C" w:rsidRPr="00B845AF" w:rsidRDefault="008A6910"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w:t>
      </w:r>
      <w:r w:rsidR="00456E2C" w:rsidRPr="00B845AF">
        <w:rPr>
          <w:rFonts w:asciiTheme="minorHAnsi" w:hAnsiTheme="minorHAnsi" w:cstheme="minorHAnsi"/>
          <w:lang w:val="en-US"/>
        </w:rPr>
        <w:t xml:space="preserve">pal reproduces known simulated truth, matches SS3 and MFCL results, and handles the data volume and dimensionality of a real tuna assessment, while flagging outstanding challenges around optimization robustness to starting values, scaling random effects to higher-dimensional models, and ongoing code optimization, and set out next steps including user-interface refinement, reference points, additional likelihoods (age, tag, close-kin), alternative selectivity forms, added population dimensionality (space, sex, length), and implementation trials for </w:t>
      </w:r>
      <w:r w:rsidR="009A3BBD" w:rsidRPr="00B845AF">
        <w:rPr>
          <w:rFonts w:asciiTheme="minorHAnsi" w:hAnsiTheme="minorHAnsi" w:cstheme="minorHAnsi"/>
          <w:lang w:val="en-US"/>
        </w:rPr>
        <w:t>North Pacific</w:t>
      </w:r>
      <w:r w:rsidR="00456E2C" w:rsidRPr="00B845AF">
        <w:rPr>
          <w:rFonts w:asciiTheme="minorHAnsi" w:hAnsiTheme="minorHAnsi" w:cstheme="minorHAnsi"/>
          <w:lang w:val="en-US"/>
        </w:rPr>
        <w:t xml:space="preserve"> blue shark or South Pacific albacore in a research capacity; SC22</w:t>
      </w:r>
      <w:r w:rsidR="00D810CE" w:rsidRPr="00B845AF">
        <w:rPr>
          <w:rFonts w:asciiTheme="minorHAnsi" w:hAnsiTheme="minorHAnsi" w:cstheme="minorHAnsi"/>
          <w:lang w:val="en-US"/>
        </w:rPr>
        <w:t xml:space="preserve"> was requested</w:t>
      </w:r>
      <w:r w:rsidR="00456E2C" w:rsidRPr="00B845AF">
        <w:rPr>
          <w:rFonts w:asciiTheme="minorHAnsi" w:hAnsiTheme="minorHAnsi" w:cstheme="minorHAnsi"/>
          <w:lang w:val="en-US"/>
        </w:rPr>
        <w:t xml:space="preserve"> to note opal</w:t>
      </w:r>
      <w:r w:rsidRPr="00B845AF">
        <w:rPr>
          <w:rFonts w:asciiTheme="minorHAnsi" w:hAnsiTheme="minorHAnsi" w:cstheme="minorHAnsi"/>
          <w:lang w:val="en-US"/>
        </w:rPr>
        <w:t>’</w:t>
      </w:r>
      <w:r w:rsidR="00456E2C" w:rsidRPr="00B845AF">
        <w:rPr>
          <w:rFonts w:asciiTheme="minorHAnsi" w:hAnsiTheme="minorHAnsi" w:cstheme="minorHAnsi"/>
          <w:lang w:val="en-US"/>
        </w:rPr>
        <w:t>s development and case studies, comment on its suitability for tuna, shark, and billfish assessments, and endorse continued development as a core stream for next-generation tuna assessment software.</w:t>
      </w:r>
    </w:p>
    <w:p w14:paraId="7B35FFC4" w14:textId="77777777" w:rsidR="004B66CD" w:rsidRPr="00B845AF" w:rsidRDefault="004B66CD" w:rsidP="004B66CD">
      <w:pPr>
        <w:pStyle w:val="SCtext"/>
        <w:numPr>
          <w:ilvl w:val="0"/>
          <w:numId w:val="0"/>
        </w:numPr>
        <w:rPr>
          <w:rFonts w:asciiTheme="minorHAnsi" w:hAnsiTheme="minorHAnsi" w:cstheme="minorHAnsi"/>
          <w:lang w:val="en-US"/>
        </w:rPr>
      </w:pPr>
    </w:p>
    <w:p w14:paraId="5206835C" w14:textId="764B8A2B" w:rsidR="006D11F1" w:rsidRPr="00B845AF" w:rsidRDefault="004B66CD">
      <w:pPr>
        <w:pStyle w:val="SCtext"/>
        <w:rPr>
          <w:rFonts w:asciiTheme="minorHAnsi" w:hAnsiTheme="minorHAnsi" w:cstheme="minorHAnsi"/>
          <w:lang w:val="en-US"/>
        </w:rPr>
      </w:pPr>
      <w:r w:rsidRPr="00B845AF">
        <w:rPr>
          <w:rFonts w:asciiTheme="minorHAnsi" w:hAnsiTheme="minorHAnsi" w:cstheme="minorHAnsi"/>
          <w:lang w:val="en-US"/>
        </w:rPr>
        <w:t xml:space="preserve">T. Mildenberger </w:t>
      </w:r>
      <w:r w:rsidR="006D11F1" w:rsidRPr="00B845AF">
        <w:rPr>
          <w:rFonts w:asciiTheme="minorHAnsi" w:hAnsiTheme="minorHAnsi" w:cstheme="minorHAnsi"/>
          <w:lang w:val="en-US"/>
        </w:rPr>
        <w:t xml:space="preserve">(DTU Aqua) </w:t>
      </w:r>
      <w:r w:rsidRPr="00B845AF">
        <w:rPr>
          <w:rFonts w:asciiTheme="minorHAnsi" w:hAnsiTheme="minorHAnsi" w:cstheme="minorHAnsi"/>
          <w:lang w:val="en-US"/>
        </w:rPr>
        <w:t xml:space="preserve">presented </w:t>
      </w:r>
      <w:hyperlink r:id="rId38">
        <w:r w:rsidRPr="00B845AF">
          <w:rPr>
            <w:rStyle w:val="Hyperlink"/>
            <w:rFonts w:asciiTheme="minorHAnsi" w:hAnsiTheme="minorHAnsi" w:cstheme="minorHAnsi"/>
            <w:lang w:val="en-US"/>
          </w:rPr>
          <w:t>WCPFC-SC22-2026-SA-WP03</w:t>
        </w:r>
      </w:hyperlink>
      <w:r w:rsidRPr="00B845AF">
        <w:rPr>
          <w:rFonts w:asciiTheme="minorHAnsi" w:hAnsiTheme="minorHAnsi" w:cstheme="minorHAnsi"/>
          <w:lang w:val="en-US"/>
        </w:rPr>
        <w:t xml:space="preserve">, a proof-of-concept study conducted under Project 123 to analyze WCPO skipjack </w:t>
      </w:r>
      <w:proofErr w:type="gramStart"/>
      <w:r w:rsidRPr="00B845AF">
        <w:rPr>
          <w:rFonts w:asciiTheme="minorHAnsi" w:hAnsiTheme="minorHAnsi" w:cstheme="minorHAnsi"/>
          <w:lang w:val="en-US"/>
        </w:rPr>
        <w:t>tuna  tagging</w:t>
      </w:r>
      <w:proofErr w:type="gramEnd"/>
      <w:r w:rsidRPr="00B845AF">
        <w:rPr>
          <w:rFonts w:asciiTheme="minorHAnsi" w:hAnsiTheme="minorHAnsi" w:cstheme="minorHAnsi"/>
          <w:lang w:val="en-US"/>
        </w:rPr>
        <w:t xml:space="preserve"> data externally to the stock assessment using the fine-scale movement model </w:t>
      </w:r>
      <w:proofErr w:type="spellStart"/>
      <w:r w:rsidRPr="00B845AF">
        <w:rPr>
          <w:rFonts w:asciiTheme="minorHAnsi" w:hAnsiTheme="minorHAnsi" w:cstheme="minorHAnsi"/>
          <w:lang w:val="en-US"/>
        </w:rPr>
        <w:t>admove</w:t>
      </w:r>
      <w:proofErr w:type="spellEnd"/>
      <w:r w:rsidRPr="00B845AF">
        <w:rPr>
          <w:rFonts w:asciiTheme="minorHAnsi" w:hAnsiTheme="minorHAnsi" w:cstheme="minorHAnsi"/>
          <w:lang w:val="en-US"/>
        </w:rPr>
        <w:t xml:space="preserve">, in response to a WCPFC request following promising related work in the EPO. </w:t>
      </w:r>
    </w:p>
    <w:p w14:paraId="5DEEC9CD" w14:textId="77777777" w:rsidR="006D11F1" w:rsidRPr="00B845AF" w:rsidRDefault="006D11F1" w:rsidP="006D11F1">
      <w:pPr>
        <w:pStyle w:val="SCtext"/>
        <w:numPr>
          <w:ilvl w:val="0"/>
          <w:numId w:val="0"/>
        </w:numPr>
        <w:rPr>
          <w:rFonts w:asciiTheme="minorHAnsi" w:hAnsiTheme="minorHAnsi" w:cstheme="minorHAnsi"/>
          <w:lang w:val="en-US"/>
        </w:rPr>
      </w:pPr>
    </w:p>
    <w:p w14:paraId="16399432" w14:textId="77777777" w:rsidR="006D11F1" w:rsidRPr="00B845AF" w:rsidRDefault="004B66CD"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explains that current WCPO SKJ assessments fit tagging data within an integrated model that assumes tagged fish are well mixed across broad regions, an assumption that is difficult to meet and to which the assessment is sensitive, and that the </w:t>
      </w:r>
      <w:proofErr w:type="spellStart"/>
      <w:r w:rsidRPr="00B845AF">
        <w:rPr>
          <w:rFonts w:asciiTheme="minorHAnsi" w:hAnsiTheme="minorHAnsi" w:cstheme="minorHAnsi"/>
          <w:lang w:val="en-US"/>
        </w:rPr>
        <w:t>admove</w:t>
      </w:r>
      <w:proofErr w:type="spellEnd"/>
      <w:r w:rsidRPr="00B845AF">
        <w:rPr>
          <w:rFonts w:asciiTheme="minorHAnsi" w:hAnsiTheme="minorHAnsi" w:cstheme="minorHAnsi"/>
          <w:lang w:val="en-US"/>
        </w:rPr>
        <w:t xml:space="preserve"> approach relaxes this assumption by modeling the redistribution of tagged fish in continuous space or on a fine grid, with the full framework capable of providing movement, mortality, and biomass estimates, although this first-phase study applied only the movement component. Preliminary analysis of almost 20,000 Pacific Tuna Tagging Programme tags, of which 10,495 remained after cleaning and omitting tags recaptured within 14 days, found that fine-scale movement estimation for WCPO SKJ is generally feasible and estimated a habitat preference for warmer water, though more complex models proved unstable, mainly due to the narrow thermal and spatial range of recaptures and the absence of effort data; the paper notes that effort and catch data were not available at the time of the study, so the mortality and biomass modules could not yet be applied. </w:t>
      </w:r>
    </w:p>
    <w:p w14:paraId="533D1A9C" w14:textId="77777777" w:rsidR="006D11F1" w:rsidRPr="00B845AF" w:rsidRDefault="006D11F1" w:rsidP="006D11F1">
      <w:pPr>
        <w:pStyle w:val="SCtext"/>
        <w:numPr>
          <w:ilvl w:val="0"/>
          <w:numId w:val="0"/>
        </w:numPr>
        <w:ind w:left="720"/>
        <w:rPr>
          <w:rFonts w:asciiTheme="minorHAnsi" w:hAnsiTheme="minorHAnsi" w:cstheme="minorHAnsi"/>
          <w:lang w:val="en-US"/>
        </w:rPr>
      </w:pPr>
    </w:p>
    <w:p w14:paraId="224AEB5D" w14:textId="39F6FC62" w:rsidR="004B66CD" w:rsidRPr="00B845AF" w:rsidRDefault="004B66CD"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paper recommends a three-phase programme comprising robust movement estimation jointly with effort-dependent mortality and evaluation of recapture-probability assumptions (Phase 1), estimation of a relative biomass index using the Baranov catch equation with spatially explicit catch and effort data and movement rates, likely yielding a continuous index for approximately 2000-2025 (Phase 2), and estimation of absolute biomass using a Petersen-type model based on estimated movement rates and spatially explicit catch data, likely yielding only a limited number of estimates for well-sampled periods but potentially extending further back in time than the effort-based index (Phase 3), and states that reliable estimates will require a broader tagging database with wider coverage and length information, and critically, fine-scale spatial effort and catch data, noting that under the outlined timeline mortality and biomass indices could be available in time for the next SKJ assessment in 2028.</w:t>
      </w:r>
    </w:p>
    <w:p w14:paraId="0D0179C6" w14:textId="77777777" w:rsidR="008C6582" w:rsidRPr="00B845AF" w:rsidRDefault="008C6582" w:rsidP="008C6582">
      <w:pPr>
        <w:pStyle w:val="SCtext"/>
        <w:numPr>
          <w:ilvl w:val="0"/>
          <w:numId w:val="0"/>
        </w:numPr>
        <w:rPr>
          <w:rFonts w:asciiTheme="minorHAnsi" w:eastAsia="Batang" w:hAnsiTheme="minorHAnsi" w:cstheme="minorHAnsi"/>
          <w:lang w:val="en-US"/>
        </w:rPr>
      </w:pPr>
    </w:p>
    <w:p w14:paraId="5C05D372" w14:textId="50674523" w:rsidR="00D15B6D" w:rsidRPr="00B845AF" w:rsidRDefault="00D15B6D" w:rsidP="00D15B6D">
      <w:pPr>
        <w:pStyle w:val="SCDR"/>
        <w:rPr>
          <w:rFonts w:asciiTheme="minorHAnsi" w:hAnsiTheme="minorHAnsi" w:cstheme="minorHAnsi"/>
        </w:rPr>
      </w:pPr>
      <w:r w:rsidRPr="00B845AF">
        <w:rPr>
          <w:rFonts w:asciiTheme="minorHAnsi" w:hAnsiTheme="minorHAnsi" w:cstheme="minorHAnsi"/>
        </w:rPr>
        <w:t>Discussion</w:t>
      </w:r>
    </w:p>
    <w:p w14:paraId="76A5736B" w14:textId="3177BA85" w:rsidR="00BC79E0" w:rsidRPr="00B845AF" w:rsidRDefault="00144B72">
      <w:pPr>
        <w:pStyle w:val="SCtext"/>
        <w:rPr>
          <w:rFonts w:asciiTheme="minorHAnsi" w:eastAsia="Batang" w:hAnsiTheme="minorHAnsi" w:cstheme="minorHAnsi"/>
          <w:lang w:val="en-US"/>
        </w:rPr>
      </w:pPr>
      <w:r w:rsidRPr="00B845AF">
        <w:rPr>
          <w:rFonts w:asciiTheme="minorHAnsi" w:hAnsiTheme="minorHAnsi" w:cstheme="minorHAnsi"/>
          <w:lang w:val="en-US"/>
        </w:rPr>
        <w:t xml:space="preserve">Japan strongly supported continued development, welcoming the human-readable design </w:t>
      </w:r>
      <w:proofErr w:type="gramStart"/>
      <w:r w:rsidRPr="00B845AF">
        <w:rPr>
          <w:rFonts w:asciiTheme="minorHAnsi" w:hAnsiTheme="minorHAnsi" w:cstheme="minorHAnsi"/>
          <w:lang w:val="en-US"/>
        </w:rPr>
        <w:t>as a way to</w:t>
      </w:r>
      <w:proofErr w:type="gramEnd"/>
      <w:r w:rsidRPr="00B845AF">
        <w:rPr>
          <w:rFonts w:asciiTheme="minorHAnsi" w:hAnsiTheme="minorHAnsi" w:cstheme="minorHAnsi"/>
          <w:lang w:val="en-US"/>
        </w:rPr>
        <w:t xml:space="preserve"> avoid a repeat of this year’s bigeye situation, and did not oppose an in-house build. Japan raised concern about the financial feasibility of the proposed $1,030,000 USD budget over three years, questioning how this could be found from its national budget, hoping IATTC might contribute, and noting </w:t>
      </w:r>
      <w:r w:rsidRPr="00B845AF">
        <w:rPr>
          <w:rFonts w:asciiTheme="minorHAnsi" w:hAnsiTheme="minorHAnsi" w:cstheme="minorHAnsi"/>
          <w:lang w:val="en-US"/>
        </w:rPr>
        <w:lastRenderedPageBreak/>
        <w:t>it was unclear how the cost fit within the Commission’s overall program for coming years. Japan was generally supportive but flagged this financial concern.</w:t>
      </w:r>
      <w:r w:rsidR="00313106" w:rsidRPr="00B845AF">
        <w:rPr>
          <w:rFonts w:asciiTheme="minorHAnsi" w:hAnsiTheme="minorHAnsi" w:cstheme="minorHAnsi"/>
          <w:lang w:val="en-US"/>
        </w:rPr>
        <w:t xml:space="preserve">  </w:t>
      </w:r>
    </w:p>
    <w:p w14:paraId="520BB91D" w14:textId="77777777" w:rsidR="00D263D4" w:rsidRPr="00B845AF" w:rsidRDefault="00D263D4" w:rsidP="00D263D4">
      <w:pPr>
        <w:pStyle w:val="SCtext"/>
        <w:numPr>
          <w:ilvl w:val="0"/>
          <w:numId w:val="0"/>
        </w:numPr>
        <w:rPr>
          <w:rFonts w:asciiTheme="minorHAnsi" w:eastAsia="Batang" w:hAnsiTheme="minorHAnsi" w:cstheme="minorHAnsi"/>
          <w:lang w:val="en-US"/>
        </w:rPr>
      </w:pPr>
    </w:p>
    <w:p w14:paraId="0E857480" w14:textId="00F4E052" w:rsidR="00A55DD2" w:rsidRPr="00B845AF" w:rsidRDefault="00144B72" w:rsidP="00A46E81">
      <w:pPr>
        <w:pStyle w:val="SCtext"/>
        <w:spacing w:line="259" w:lineRule="auto"/>
        <w:rPr>
          <w:rFonts w:asciiTheme="minorHAnsi" w:eastAsia="Batang" w:hAnsiTheme="minorHAnsi" w:cstheme="minorHAnsi"/>
          <w:lang w:val="en-US"/>
        </w:rPr>
      </w:pPr>
      <w:r w:rsidRPr="00B845AF">
        <w:rPr>
          <w:rFonts w:asciiTheme="minorHAnsi" w:hAnsiTheme="minorHAnsi" w:cstheme="minorHAnsi"/>
          <w:lang w:val="en-US"/>
        </w:rPr>
        <w:t xml:space="preserve">The SSP responded that the budget looked large as a single figure but </w:t>
      </w:r>
      <w:r w:rsidR="0F98A7BB" w:rsidRPr="00B845AF">
        <w:rPr>
          <w:rFonts w:asciiTheme="minorHAnsi" w:hAnsiTheme="minorHAnsi" w:cstheme="minorHAnsi"/>
          <w:lang w:val="en-US"/>
        </w:rPr>
        <w:t>is</w:t>
      </w:r>
      <w:r w:rsidRPr="00B845AF">
        <w:rPr>
          <w:rFonts w:asciiTheme="minorHAnsi" w:hAnsiTheme="minorHAnsi" w:cstheme="minorHAnsi"/>
          <w:lang w:val="en-US"/>
        </w:rPr>
        <w:t xml:space="preserve"> staged over a longer period, </w:t>
      </w:r>
      <w:r w:rsidR="191B7239" w:rsidRPr="00B845AF">
        <w:rPr>
          <w:rFonts w:asciiTheme="minorHAnsi" w:hAnsiTheme="minorHAnsi" w:cstheme="minorHAnsi"/>
          <w:lang w:val="en-US"/>
        </w:rPr>
        <w:t xml:space="preserve">and </w:t>
      </w:r>
      <w:r w:rsidRPr="00B845AF">
        <w:rPr>
          <w:rFonts w:asciiTheme="minorHAnsi" w:hAnsiTheme="minorHAnsi" w:cstheme="minorHAnsi"/>
          <w:lang w:val="en-US"/>
        </w:rPr>
        <w:t xml:space="preserve">that WCPFC had </w:t>
      </w:r>
      <w:r w:rsidR="1309735A" w:rsidRPr="00B845AF">
        <w:rPr>
          <w:rFonts w:asciiTheme="minorHAnsi" w:hAnsiTheme="minorHAnsi" w:cstheme="minorHAnsi"/>
          <w:lang w:val="en-US"/>
        </w:rPr>
        <w:t>not</w:t>
      </w:r>
      <w:r w:rsidRPr="00B845AF">
        <w:rPr>
          <w:rFonts w:asciiTheme="minorHAnsi" w:hAnsiTheme="minorHAnsi" w:cstheme="minorHAnsi"/>
          <w:lang w:val="en-US"/>
        </w:rPr>
        <w:t xml:space="preserve"> been expected to fund the full amount</w:t>
      </w:r>
      <w:r w:rsidR="3443DE10" w:rsidRPr="00B845AF">
        <w:rPr>
          <w:rFonts w:asciiTheme="minorHAnsi" w:hAnsiTheme="minorHAnsi" w:cstheme="minorHAnsi"/>
          <w:lang w:val="en-US"/>
        </w:rPr>
        <w:t>.</w:t>
      </w:r>
      <w:r w:rsidR="395395D3" w:rsidRPr="00B845AF">
        <w:rPr>
          <w:rFonts w:asciiTheme="minorHAnsi" w:hAnsiTheme="minorHAnsi" w:cstheme="minorHAnsi"/>
          <w:lang w:val="en-US"/>
        </w:rPr>
        <w:t xml:space="preserve"> </w:t>
      </w:r>
      <w:r w:rsidR="5FC219C3" w:rsidRPr="00B845AF">
        <w:rPr>
          <w:rFonts w:asciiTheme="minorHAnsi" w:hAnsiTheme="minorHAnsi" w:cstheme="minorHAnsi"/>
          <w:lang w:val="en-US"/>
        </w:rPr>
        <w:t>F</w:t>
      </w:r>
      <w:r w:rsidRPr="00B845AF">
        <w:rPr>
          <w:rFonts w:asciiTheme="minorHAnsi" w:hAnsiTheme="minorHAnsi" w:cstheme="minorHAnsi"/>
          <w:lang w:val="en-US"/>
        </w:rPr>
        <w:t>undraising and alternative funding sources would be pursued, with a Commission funding commitment providing a base for that effort.</w:t>
      </w:r>
    </w:p>
    <w:p w14:paraId="7E08CFB1" w14:textId="77777777" w:rsidR="0094004F" w:rsidRPr="00B845AF" w:rsidRDefault="0094004F" w:rsidP="0094004F">
      <w:pPr>
        <w:pStyle w:val="SCtext"/>
        <w:numPr>
          <w:ilvl w:val="0"/>
          <w:numId w:val="0"/>
        </w:numPr>
        <w:rPr>
          <w:rFonts w:asciiTheme="minorHAnsi" w:eastAsia="Batang" w:hAnsiTheme="minorHAnsi" w:cstheme="minorHAnsi"/>
          <w:lang w:val="en-US"/>
        </w:rPr>
      </w:pPr>
    </w:p>
    <w:p w14:paraId="0D10FBAD" w14:textId="5A210430" w:rsidR="00D96FDA" w:rsidRPr="00B845AF" w:rsidRDefault="00144B72">
      <w:pPr>
        <w:pStyle w:val="SCtext"/>
        <w:rPr>
          <w:rFonts w:asciiTheme="minorHAnsi" w:eastAsia="Batang" w:hAnsiTheme="minorHAnsi" w:cstheme="minorHAnsi"/>
          <w:lang w:val="en-US"/>
        </w:rPr>
      </w:pPr>
      <w:r w:rsidRPr="00B845AF">
        <w:rPr>
          <w:rFonts w:asciiTheme="minorHAnsi" w:hAnsiTheme="minorHAnsi" w:cstheme="minorHAnsi"/>
          <w:lang w:val="en-US"/>
        </w:rPr>
        <w:t>The USA viewed Project 123 as integral to maintaining SPC’s scientific advice to the Commission, noted opal had quickly become the platform under development, and stated it was invested in continued development under SPC’s proposed governance framework</w:t>
      </w:r>
      <w:r w:rsidR="00A55DD2" w:rsidRPr="00B845AF">
        <w:rPr>
          <w:rFonts w:asciiTheme="minorHAnsi" w:hAnsiTheme="minorHAnsi" w:cstheme="minorHAnsi"/>
          <w:lang w:val="en-US"/>
        </w:rPr>
        <w:t>.</w:t>
      </w:r>
    </w:p>
    <w:p w14:paraId="4936055D" w14:textId="77777777" w:rsidR="00C62372" w:rsidRPr="00B845AF" w:rsidRDefault="00C62372" w:rsidP="00C62372">
      <w:pPr>
        <w:pStyle w:val="SCtext"/>
        <w:numPr>
          <w:ilvl w:val="0"/>
          <w:numId w:val="0"/>
        </w:numPr>
        <w:rPr>
          <w:rFonts w:asciiTheme="minorHAnsi" w:eastAsia="Batang" w:hAnsiTheme="minorHAnsi" w:cstheme="minorHAnsi"/>
          <w:lang w:val="en-US"/>
        </w:rPr>
      </w:pPr>
    </w:p>
    <w:p w14:paraId="6EB379D3" w14:textId="51536FDF" w:rsidR="00205B36" w:rsidRPr="00B845AF" w:rsidRDefault="00144B72">
      <w:pPr>
        <w:pStyle w:val="SCtext"/>
        <w:rPr>
          <w:rFonts w:asciiTheme="minorHAnsi" w:eastAsia="Batang" w:hAnsiTheme="minorHAnsi" w:cstheme="minorHAnsi"/>
          <w:lang w:val="en-US"/>
        </w:rPr>
      </w:pPr>
      <w:r w:rsidRPr="00B845AF">
        <w:rPr>
          <w:rFonts w:asciiTheme="minorHAnsi" w:hAnsiTheme="minorHAnsi" w:cstheme="minorHAnsi"/>
          <w:lang w:val="en-US"/>
        </w:rPr>
        <w:t>Chinese Taipei congratulated the project team and fully supported the vision, raising three questions: (1) what protocol would apply, and whether it would constitute exceptional circumstances, if a parallel run against opal produced discrepancies in stock status advice or catch estimates; (2) how a software transition would affect the estimation methods embedded in the adopted skipjack and South Pacific albacore MPs, and whether it would require reconditioning the operating model or updating the MP framework; and (3) what capacity-building or technical workshops are planned for CCM scientists in 2027-2028 so they can independently run, test, and audit opal modules. Chinese Taipei separately encouraged greater emphasis on documentation to make opal more accessible</w:t>
      </w:r>
      <w:r w:rsidR="009B3C31" w:rsidRPr="00B845AF">
        <w:rPr>
          <w:rFonts w:asciiTheme="minorHAnsi" w:hAnsiTheme="minorHAnsi" w:cstheme="minorHAnsi"/>
          <w:lang w:val="en-US"/>
        </w:rPr>
        <w:t>.</w:t>
      </w:r>
    </w:p>
    <w:p w14:paraId="5B10CEA1" w14:textId="77777777" w:rsidR="00C62372" w:rsidRPr="00B845AF" w:rsidRDefault="00C62372" w:rsidP="00C62372">
      <w:pPr>
        <w:pStyle w:val="SCtext"/>
        <w:numPr>
          <w:ilvl w:val="0"/>
          <w:numId w:val="0"/>
        </w:numPr>
        <w:rPr>
          <w:rFonts w:asciiTheme="minorHAnsi" w:eastAsia="Batang" w:hAnsiTheme="minorHAnsi" w:cstheme="minorHAnsi"/>
          <w:lang w:val="en-US"/>
        </w:rPr>
      </w:pPr>
    </w:p>
    <w:p w14:paraId="4359AFF0" w14:textId="08593F16" w:rsidR="00E66335" w:rsidRPr="00B845AF" w:rsidRDefault="00144B72">
      <w:pPr>
        <w:pStyle w:val="SCtext"/>
        <w:rPr>
          <w:rFonts w:asciiTheme="minorHAnsi" w:eastAsia="Batang" w:hAnsiTheme="minorHAnsi" w:cstheme="minorHAnsi"/>
          <w:lang w:val="en-US"/>
        </w:rPr>
      </w:pPr>
      <w:r w:rsidRPr="00B845AF">
        <w:rPr>
          <w:rFonts w:asciiTheme="minorHAnsi" w:hAnsiTheme="minorHAnsi" w:cstheme="minorHAnsi"/>
          <w:lang w:val="en-US"/>
        </w:rPr>
        <w:t>The SSP restated the first question as concerning the response required if testing against opal revealed differences from current results, noting the priority would be to first replicate existing results before assessing whether the new approach offers genuine improvement, and questioned whether formal simulation testing should be a required step in transition</w:t>
      </w:r>
      <w:r w:rsidR="0000416C" w:rsidRPr="00B845AF">
        <w:rPr>
          <w:rFonts w:asciiTheme="minorHAnsi" w:hAnsiTheme="minorHAnsi" w:cstheme="minorHAnsi"/>
          <w:lang w:val="en-US"/>
        </w:rPr>
        <w:t>.</w:t>
      </w:r>
      <w:r w:rsidRPr="00B845AF">
        <w:rPr>
          <w:rFonts w:asciiTheme="minorHAnsi" w:hAnsiTheme="minorHAnsi" w:cstheme="minorHAnsi"/>
          <w:lang w:val="en-US"/>
        </w:rPr>
        <w:t xml:space="preserve"> N. Ducharme-Barth </w:t>
      </w:r>
      <w:r w:rsidRPr="00B845AF">
        <w:rPr>
          <w:rFonts w:asciiTheme="minorHAnsi" w:eastAsia="Batang" w:hAnsiTheme="minorHAnsi" w:cstheme="minorHAnsi"/>
          <w:lang w:val="en-US"/>
        </w:rPr>
        <w:t>stated that continual testing against established software within case studies, diagnostics confirming reliable parameter estimation and good fit, rapid simulation self-tests for parameter identifiability, and continuous integration testing are all used during development, with the ‘opakapaka case study already demonstrating recovery from a mismatched operating model; some external simulation testing would likely still be needed. On the second question, the SSP noted MP operating models need not be based on opal, that a simpler system taking estimated parameters from a more complex model is already being explored, that stock assessment and MP purposes should not be conflated, and that consideration of exceptional circumstances arising from a software change was premature at this stage. On the third question, the SSP confirmed that CCM-accessible technical workshops on development, use, and implementation would be needed regardless of pathway.</w:t>
      </w:r>
    </w:p>
    <w:p w14:paraId="636D3237" w14:textId="77777777" w:rsidR="00E66335" w:rsidRPr="00B845AF" w:rsidRDefault="00E66335" w:rsidP="00E66335">
      <w:pPr>
        <w:pStyle w:val="SCtext"/>
        <w:numPr>
          <w:ilvl w:val="0"/>
          <w:numId w:val="0"/>
        </w:numPr>
        <w:rPr>
          <w:rFonts w:asciiTheme="minorHAnsi" w:eastAsia="Batang" w:hAnsiTheme="minorHAnsi" w:cstheme="minorHAnsi"/>
          <w:lang w:val="en-US"/>
        </w:rPr>
      </w:pPr>
    </w:p>
    <w:p w14:paraId="75552854" w14:textId="78DD013C" w:rsidR="0024341F" w:rsidRPr="00B845AF" w:rsidRDefault="00144B72" w:rsidP="009A4F45">
      <w:pPr>
        <w:pStyle w:val="SCtext"/>
        <w:spacing w:line="259" w:lineRule="auto"/>
        <w:rPr>
          <w:rFonts w:asciiTheme="minorHAnsi" w:eastAsia="Batang" w:hAnsiTheme="minorHAnsi" w:cstheme="minorHAnsi"/>
          <w:lang w:val="en-US"/>
        </w:rPr>
      </w:pPr>
      <w:r w:rsidRPr="00B845AF">
        <w:rPr>
          <w:rFonts w:asciiTheme="minorHAnsi" w:hAnsiTheme="minorHAnsi" w:cstheme="minorHAnsi"/>
          <w:lang w:val="en-US"/>
        </w:rPr>
        <w:t>Indonesia asked what the project team considered opal's most significant limitations relative to MULTIFAN-CL and SS3, and which areas should be prioritized for near-term improvement. N. Ducharme-Barth replied that opal currently offers far less flexibility than MULTIFAN-CL and SS3, lacking sex or spatial dimensionality and supporting only a limited set of likelihood components</w:t>
      </w:r>
      <w:r w:rsidR="376E5A13" w:rsidRPr="00B845AF">
        <w:rPr>
          <w:rFonts w:asciiTheme="minorHAnsi" w:hAnsiTheme="minorHAnsi" w:cstheme="minorHAnsi"/>
          <w:lang w:val="en-US"/>
        </w:rPr>
        <w:t xml:space="preserve">. </w:t>
      </w:r>
      <w:r w:rsidR="09E25C51" w:rsidRPr="00B845AF">
        <w:rPr>
          <w:rFonts w:asciiTheme="minorHAnsi" w:hAnsiTheme="minorHAnsi" w:cstheme="minorHAnsi"/>
          <w:lang w:val="en-US"/>
        </w:rPr>
        <w:t>A</w:t>
      </w:r>
      <w:r w:rsidRPr="00B845AF">
        <w:rPr>
          <w:rFonts w:asciiTheme="minorHAnsi" w:hAnsiTheme="minorHAnsi" w:cstheme="minorHAnsi"/>
          <w:lang w:val="en-US"/>
        </w:rPr>
        <w:t xml:space="preserve"> workplan setting out how this would be addressed</w:t>
      </w:r>
      <w:r w:rsidR="5C5C198A" w:rsidRPr="00B845AF">
        <w:rPr>
          <w:rFonts w:asciiTheme="minorHAnsi" w:hAnsiTheme="minorHAnsi" w:cstheme="minorHAnsi"/>
          <w:lang w:val="en-US"/>
        </w:rPr>
        <w:t xml:space="preserve"> under guidance from a steering group</w:t>
      </w:r>
      <w:r w:rsidR="00310EE1" w:rsidRPr="00B845AF">
        <w:rPr>
          <w:rFonts w:asciiTheme="minorHAnsi" w:hAnsiTheme="minorHAnsi" w:cstheme="minorHAnsi"/>
          <w:lang w:val="en-US"/>
        </w:rPr>
        <w:t xml:space="preserve"> </w:t>
      </w:r>
      <w:r w:rsidR="71B65FB2" w:rsidRPr="00B845AF">
        <w:rPr>
          <w:rFonts w:asciiTheme="minorHAnsi" w:hAnsiTheme="minorHAnsi" w:cstheme="minorHAnsi"/>
          <w:lang w:val="en-US"/>
        </w:rPr>
        <w:t xml:space="preserve">is </w:t>
      </w:r>
      <w:r w:rsidRPr="00B845AF">
        <w:rPr>
          <w:rFonts w:asciiTheme="minorHAnsi" w:hAnsiTheme="minorHAnsi" w:cstheme="minorHAnsi"/>
          <w:lang w:val="en-US"/>
        </w:rPr>
        <w:t>an area for further development.</w:t>
      </w:r>
    </w:p>
    <w:p w14:paraId="4426F926" w14:textId="77777777" w:rsidR="00E66335" w:rsidRPr="00B845AF" w:rsidRDefault="00E66335" w:rsidP="00E66335">
      <w:pPr>
        <w:pStyle w:val="SCtext"/>
        <w:numPr>
          <w:ilvl w:val="0"/>
          <w:numId w:val="0"/>
        </w:numPr>
        <w:rPr>
          <w:rFonts w:asciiTheme="minorHAnsi" w:eastAsia="Batang" w:hAnsiTheme="minorHAnsi" w:cstheme="minorHAnsi"/>
          <w:lang w:val="en-US"/>
        </w:rPr>
      </w:pPr>
    </w:p>
    <w:p w14:paraId="68616AF4" w14:textId="74426FBB" w:rsidR="00E15BA5" w:rsidRPr="00B845AF" w:rsidRDefault="00144B72">
      <w:pPr>
        <w:pStyle w:val="SCtext"/>
        <w:rPr>
          <w:rFonts w:asciiTheme="minorHAnsi" w:eastAsia="Batang" w:hAnsiTheme="minorHAnsi" w:cstheme="minorHAnsi"/>
          <w:lang w:val="en-US"/>
        </w:rPr>
      </w:pPr>
      <w:r w:rsidRPr="00B845AF">
        <w:rPr>
          <w:rFonts w:asciiTheme="minorHAnsi" w:hAnsiTheme="minorHAnsi" w:cstheme="minorHAnsi"/>
          <w:lang w:val="en-US"/>
        </w:rPr>
        <w:t>Canada thanked the SSP and the USA for the presentation, viewed next-generation software development as essential, and supported the collaborative approach, the governance framework, and the workplan.</w:t>
      </w:r>
    </w:p>
    <w:p w14:paraId="640AD710" w14:textId="77777777" w:rsidR="007F6E5B" w:rsidRPr="00B845AF" w:rsidRDefault="007F6E5B" w:rsidP="007F6E5B">
      <w:pPr>
        <w:pStyle w:val="SCtext"/>
        <w:numPr>
          <w:ilvl w:val="0"/>
          <w:numId w:val="0"/>
        </w:numPr>
        <w:rPr>
          <w:rFonts w:asciiTheme="minorHAnsi" w:eastAsia="Batang" w:hAnsiTheme="minorHAnsi" w:cstheme="minorHAnsi"/>
          <w:lang w:val="en-US"/>
        </w:rPr>
      </w:pPr>
    </w:p>
    <w:p w14:paraId="509A38A5" w14:textId="0D17EE5F" w:rsidR="00E95F4A" w:rsidRPr="00B845AF" w:rsidRDefault="004B66CD">
      <w:pPr>
        <w:pStyle w:val="SCtext"/>
        <w:rPr>
          <w:rFonts w:asciiTheme="minorHAnsi" w:eastAsia="Batang" w:hAnsiTheme="minorHAnsi" w:cstheme="minorHAnsi"/>
          <w:lang w:val="en-US"/>
        </w:rPr>
      </w:pPr>
      <w:r w:rsidRPr="00B845AF">
        <w:rPr>
          <w:rFonts w:asciiTheme="minorHAnsi" w:hAnsiTheme="minorHAnsi" w:cstheme="minorHAnsi"/>
          <w:lang w:val="en-US"/>
        </w:rPr>
        <w:lastRenderedPageBreak/>
        <w:t xml:space="preserve">In response to the presentation on WP03, </w:t>
      </w:r>
      <w:r w:rsidR="00990741" w:rsidRPr="00B845AF">
        <w:rPr>
          <w:rFonts w:asciiTheme="minorHAnsi" w:hAnsiTheme="minorHAnsi" w:cstheme="minorHAnsi"/>
          <w:lang w:val="en-US"/>
        </w:rPr>
        <w:t>Chinese Taipei welcomed the study as a promising way to make better use of tagging data and reduce problems associated with mixing assumptions, and raised three questions: how well the analysis could distinguish true habitat preference from the effect of concentrated fishing effort, given that 99% of recaptures came from a high-effort, warm-water area, and what effort data would be sufficient to address this convincingly; whether real changes in skipjack movement could be distinguished from changes in tag reporting or fishing depth across different periods, given that habitat preference appeared to vary temporally and results differed among some temporal subsets; and what validation would be needed before movement, mortality, and biomass estimates derived externally could be used in the stock assessment.</w:t>
      </w:r>
    </w:p>
    <w:p w14:paraId="79E5B43F" w14:textId="77777777" w:rsidR="00E95F4A" w:rsidRPr="00B845AF" w:rsidRDefault="00E95F4A" w:rsidP="00E95F4A">
      <w:pPr>
        <w:pStyle w:val="SCtext"/>
        <w:numPr>
          <w:ilvl w:val="0"/>
          <w:numId w:val="0"/>
        </w:numPr>
        <w:rPr>
          <w:rFonts w:asciiTheme="minorHAnsi" w:eastAsia="Batang" w:hAnsiTheme="minorHAnsi" w:cstheme="minorHAnsi"/>
          <w:lang w:val="en-US"/>
        </w:rPr>
      </w:pPr>
    </w:p>
    <w:p w14:paraId="74FCC63F" w14:textId="2445B55C" w:rsidR="00A046BE" w:rsidRPr="00B845AF" w:rsidRDefault="7B1A5A1C" w:rsidP="009A4F45">
      <w:pPr>
        <w:pStyle w:val="SCtext"/>
        <w:spacing w:line="259" w:lineRule="auto"/>
        <w:rPr>
          <w:rFonts w:asciiTheme="minorHAnsi" w:eastAsia="Batang" w:hAnsiTheme="minorHAnsi" w:cstheme="minorHAnsi"/>
          <w:lang w:val="en-US"/>
        </w:rPr>
      </w:pPr>
      <w:r w:rsidRPr="00B845AF">
        <w:rPr>
          <w:rFonts w:asciiTheme="minorHAnsi" w:eastAsia="Batang" w:hAnsiTheme="minorHAnsi" w:cstheme="minorHAnsi"/>
          <w:lang w:val="en-US"/>
        </w:rPr>
        <w:t>T. Mildenberger</w:t>
      </w:r>
      <w:r w:rsidR="00990741" w:rsidRPr="00B845AF">
        <w:rPr>
          <w:rFonts w:asciiTheme="minorHAnsi" w:eastAsia="Batang" w:hAnsiTheme="minorHAnsi" w:cstheme="minorHAnsi"/>
          <w:lang w:val="en-US"/>
        </w:rPr>
        <w:t xml:space="preserve"> responded that the tags cover a limited environmental and spatial range that coincides with high fishing effort, which is suspected to be a main factor contributing to instability in more complex model settings, and that an effort measure for purse seiners and other fleets, such as number of sets, could help test this. On habitat preference, </w:t>
      </w:r>
      <w:r w:rsidR="673A8E69" w:rsidRPr="00B845AF">
        <w:rPr>
          <w:rFonts w:asciiTheme="minorHAnsi" w:eastAsia="Batang" w:hAnsiTheme="minorHAnsi" w:cstheme="minorHAnsi"/>
          <w:lang w:val="en-US"/>
        </w:rPr>
        <w:t xml:space="preserve">T. </w:t>
      </w:r>
      <w:proofErr w:type="spellStart"/>
      <w:r w:rsidR="673A8E69" w:rsidRPr="00B845AF">
        <w:rPr>
          <w:rFonts w:asciiTheme="minorHAnsi" w:eastAsia="Batang" w:hAnsiTheme="minorHAnsi" w:cstheme="minorHAnsi"/>
          <w:lang w:val="en-US"/>
        </w:rPr>
        <w:t>Mildeberger</w:t>
      </w:r>
      <w:proofErr w:type="spellEnd"/>
      <w:r w:rsidR="00990741" w:rsidRPr="00B845AF">
        <w:rPr>
          <w:rFonts w:asciiTheme="minorHAnsi" w:eastAsia="Batang" w:hAnsiTheme="minorHAnsi" w:cstheme="minorHAnsi"/>
          <w:lang w:val="en-US"/>
        </w:rPr>
        <w:t xml:space="preserve"> clarified that a single habitat preference is currently estimated, but that this could be made dependent on season or on the age or length of the fish, as is done in SEAPODYM, and that temporally varying habitat preference functions had not yet been explored. On validation, the SSP stated that further work with tagging experts, ideally with access to other tagging programs beyond the Pacific Tuna Tagging Programme (PTTP), and implementation of the mortality and biomass modules (currently only the movement module is implemented in RTMB) would be needed, along with diagnostics work, and offered to share the full list of steps required before the results could be used reliably in a stock assessment. The SSP added that a key step in moving from Phase 1 to Phase 2 is comparing the </w:t>
      </w:r>
      <w:proofErr w:type="spellStart"/>
      <w:r w:rsidR="00990741" w:rsidRPr="00B845AF">
        <w:rPr>
          <w:rFonts w:asciiTheme="minorHAnsi" w:eastAsia="Batang" w:hAnsiTheme="minorHAnsi" w:cstheme="minorHAnsi"/>
          <w:lang w:val="en-US"/>
        </w:rPr>
        <w:t>admove</w:t>
      </w:r>
      <w:proofErr w:type="spellEnd"/>
      <w:r w:rsidR="00990741" w:rsidRPr="00B845AF">
        <w:rPr>
          <w:rFonts w:asciiTheme="minorHAnsi" w:eastAsia="Batang" w:hAnsiTheme="minorHAnsi" w:cstheme="minorHAnsi"/>
          <w:lang w:val="en-US"/>
        </w:rPr>
        <w:t xml:space="preserve"> movement estimates against SEAPODYM, which also estimates movement and bulk transfer rates between regions, and noted that this comparison is already planned.</w:t>
      </w:r>
    </w:p>
    <w:p w14:paraId="3430C2C3" w14:textId="77777777" w:rsidR="00E95F4A" w:rsidRPr="00B845AF" w:rsidRDefault="00E95F4A" w:rsidP="00E95F4A">
      <w:pPr>
        <w:pStyle w:val="SCtext"/>
        <w:numPr>
          <w:ilvl w:val="0"/>
          <w:numId w:val="0"/>
        </w:numPr>
        <w:rPr>
          <w:rFonts w:asciiTheme="minorHAnsi" w:eastAsia="Batang" w:hAnsiTheme="minorHAnsi" w:cstheme="minorHAnsi"/>
          <w:lang w:val="en-US"/>
        </w:rPr>
      </w:pPr>
    </w:p>
    <w:p w14:paraId="2E2E610D" w14:textId="7EE6F5CB" w:rsidR="00E164FD" w:rsidRPr="00B845AF" w:rsidRDefault="00990741">
      <w:pPr>
        <w:pStyle w:val="SCtext"/>
        <w:rPr>
          <w:rFonts w:asciiTheme="minorHAnsi" w:eastAsia="Batang" w:hAnsiTheme="minorHAnsi" w:cstheme="minorHAnsi"/>
          <w:lang w:val="en-US"/>
        </w:rPr>
      </w:pPr>
      <w:r w:rsidRPr="00B845AF">
        <w:rPr>
          <w:rFonts w:asciiTheme="minorHAnsi" w:eastAsia="Batang" w:hAnsiTheme="minorHAnsi" w:cstheme="minorHAnsi"/>
          <w:lang w:val="en-US"/>
        </w:rPr>
        <w:t>Japan asked how results would be incorporated into the stock assessment if Phase 3 succeeds, specifically whether a resulting biomass estimate would be used as an index separate from the current CPUE index, or whether the CPUE index would continue to be used with the tag-based estimate serving instead as a cross-check.</w:t>
      </w:r>
    </w:p>
    <w:p w14:paraId="29F4D7ED" w14:textId="77777777" w:rsidR="00310EE1" w:rsidRPr="00B845AF" w:rsidRDefault="00310EE1" w:rsidP="00310EE1">
      <w:pPr>
        <w:pStyle w:val="ListParagraph"/>
        <w:rPr>
          <w:rFonts w:asciiTheme="minorHAnsi" w:eastAsia="Batang" w:hAnsiTheme="minorHAnsi" w:cstheme="minorHAnsi"/>
        </w:rPr>
      </w:pPr>
    </w:p>
    <w:p w14:paraId="69FD340F" w14:textId="38CC29DA" w:rsidR="00623630" w:rsidRPr="00B845AF" w:rsidRDefault="00927545" w:rsidP="00310EE1">
      <w:pPr>
        <w:pStyle w:val="SCtext"/>
        <w:spacing w:line="259" w:lineRule="auto"/>
        <w:rPr>
          <w:rFonts w:asciiTheme="minorHAnsi" w:eastAsia="Batang" w:hAnsiTheme="minorHAnsi" w:cstheme="minorHAnsi"/>
          <w:lang w:val="en-US"/>
        </w:rPr>
      </w:pPr>
      <w:r w:rsidRPr="00B845AF">
        <w:rPr>
          <w:rFonts w:asciiTheme="minorHAnsi" w:hAnsiTheme="minorHAnsi" w:cstheme="minorHAnsi"/>
          <w:lang w:val="en-US"/>
        </w:rPr>
        <w:t xml:space="preserve"> </w:t>
      </w:r>
      <w:r w:rsidR="62FAFA7D" w:rsidRPr="00B845AF">
        <w:rPr>
          <w:rFonts w:asciiTheme="minorHAnsi" w:eastAsia="Batang" w:hAnsiTheme="minorHAnsi" w:cstheme="minorHAnsi"/>
          <w:lang w:val="en-US"/>
        </w:rPr>
        <w:t>T. Mildenberger</w:t>
      </w:r>
      <w:r w:rsidR="00990741" w:rsidRPr="00B845AF">
        <w:rPr>
          <w:rFonts w:asciiTheme="minorHAnsi" w:eastAsia="Batang" w:hAnsiTheme="minorHAnsi" w:cstheme="minorHAnsi"/>
          <w:lang w:val="en-US"/>
        </w:rPr>
        <w:t xml:space="preserve"> responded, drawing on experience from the EPO skipjack work with IATTC, that two biomass indices had resulted there: a relative abundance index for exploitable biomass from Phase 2, covering 25 years by quarter, and a single absolute biomass estimate from Phase 3 for one of five quarters identified as having sufficiently reliable estimates (CVs between 0.3 and 0.5), with both types of estimate used as observations fitted within the model, while noting some uncertainty in this recollection.</w:t>
      </w:r>
    </w:p>
    <w:p w14:paraId="0F78B156" w14:textId="77777777" w:rsidR="00990741" w:rsidRPr="00B845AF" w:rsidRDefault="00990741" w:rsidP="00990741">
      <w:pPr>
        <w:pStyle w:val="SCtext"/>
        <w:numPr>
          <w:ilvl w:val="0"/>
          <w:numId w:val="0"/>
        </w:numPr>
        <w:rPr>
          <w:rFonts w:asciiTheme="minorHAnsi" w:eastAsia="Batang" w:hAnsiTheme="minorHAnsi" w:cstheme="minorHAnsi"/>
          <w:lang w:val="en-US"/>
        </w:rPr>
      </w:pPr>
    </w:p>
    <w:p w14:paraId="62A0FB07" w14:textId="00B8DF28" w:rsidR="00990741" w:rsidRPr="00B845AF" w:rsidRDefault="00990741">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Korea considered </w:t>
      </w:r>
      <w:r w:rsidR="30379627" w:rsidRPr="00B845AF">
        <w:rPr>
          <w:rFonts w:asciiTheme="minorHAnsi" w:eastAsia="Batang" w:hAnsiTheme="minorHAnsi" w:cstheme="minorHAnsi"/>
          <w:lang w:val="en-US"/>
        </w:rPr>
        <w:t>t</w:t>
      </w:r>
      <w:r w:rsidR="4AA77378" w:rsidRPr="00B845AF">
        <w:rPr>
          <w:rFonts w:asciiTheme="minorHAnsi" w:eastAsia="Batang" w:hAnsiTheme="minorHAnsi" w:cstheme="minorHAnsi"/>
          <w:lang w:val="en-US"/>
        </w:rPr>
        <w:t xml:space="preserve">hat </w:t>
      </w:r>
      <w:r w:rsidRPr="00B845AF">
        <w:rPr>
          <w:rFonts w:asciiTheme="minorHAnsi" w:eastAsia="Batang" w:hAnsiTheme="minorHAnsi" w:cstheme="minorHAnsi"/>
          <w:lang w:val="en-US"/>
        </w:rPr>
        <w:t>the external fine-scale tagging analysis</w:t>
      </w:r>
      <w:r w:rsidR="30379627" w:rsidRPr="00B845AF">
        <w:rPr>
          <w:rFonts w:asciiTheme="minorHAnsi" w:eastAsia="Batang" w:hAnsiTheme="minorHAnsi" w:cstheme="minorHAnsi"/>
          <w:lang w:val="en-US"/>
        </w:rPr>
        <w:t xml:space="preserve"> </w:t>
      </w:r>
      <w:r w:rsidR="684C9515" w:rsidRPr="00B845AF">
        <w:rPr>
          <w:rFonts w:asciiTheme="minorHAnsi" w:eastAsia="Batang" w:hAnsiTheme="minorHAnsi" w:cstheme="minorHAnsi"/>
          <w:lang w:val="en-US"/>
        </w:rPr>
        <w:t>is</w:t>
      </w:r>
      <w:r w:rsidRPr="00B845AF">
        <w:rPr>
          <w:rFonts w:asciiTheme="minorHAnsi" w:eastAsia="Batang" w:hAnsiTheme="minorHAnsi" w:cstheme="minorHAnsi"/>
          <w:lang w:val="en-US"/>
        </w:rPr>
        <w:t xml:space="preserve"> a promising approach to addressing the mixing assumption in the current WCPO skipjack assessment, noting that assumptions about the mixing period can substantially influence management quantities and that previous refinements have not fully resolved this sensitivity. Korea noted this work is increasingly important given strong interannual environmental variability, including climate-related changes, that may affect habitat preference and distribution across tropical tuna species, but cautioned that the preliminary results should be interpreted carefully given that most recaptures were concentrated in a specific high-effort, warm-water area northeast of Papua New Guinea and fine-scale spatial effort data were not yet included, making it difficult to separate habitat preference from spatially concentrated recapture probability. Korea supported further development of the analysis, including incorporation of fine-scale effort data, biological </w:t>
      </w:r>
      <w:r w:rsidRPr="00B845AF">
        <w:rPr>
          <w:rFonts w:asciiTheme="minorHAnsi" w:eastAsia="Batang" w:hAnsiTheme="minorHAnsi" w:cstheme="minorHAnsi"/>
          <w:lang w:val="en-US"/>
        </w:rPr>
        <w:lastRenderedPageBreak/>
        <w:t>information, and tagging data from a broader spatial and temporal range to better validate the movement estimates.</w:t>
      </w:r>
    </w:p>
    <w:p w14:paraId="602A41D1" w14:textId="77777777" w:rsidR="00990741" w:rsidRPr="00B845AF" w:rsidRDefault="00990741" w:rsidP="00990741">
      <w:pPr>
        <w:pStyle w:val="SCtext"/>
        <w:numPr>
          <w:ilvl w:val="0"/>
          <w:numId w:val="0"/>
        </w:numPr>
        <w:rPr>
          <w:rFonts w:asciiTheme="minorHAnsi" w:eastAsia="Batang" w:hAnsiTheme="minorHAnsi" w:cstheme="minorHAnsi"/>
          <w:lang w:val="en-US"/>
        </w:rPr>
      </w:pPr>
    </w:p>
    <w:p w14:paraId="3074D846" w14:textId="5193CA75" w:rsidR="00990741" w:rsidRPr="00B845AF" w:rsidRDefault="00990741">
      <w:pPr>
        <w:pStyle w:val="SCtext"/>
        <w:rPr>
          <w:rFonts w:asciiTheme="minorHAnsi" w:eastAsia="Batang" w:hAnsiTheme="minorHAnsi" w:cstheme="minorHAnsi"/>
          <w:lang w:val="en-US"/>
        </w:rPr>
      </w:pPr>
      <w:r w:rsidRPr="00B845AF">
        <w:rPr>
          <w:rFonts w:asciiTheme="minorHAnsi" w:eastAsia="Batang" w:hAnsiTheme="minorHAnsi" w:cstheme="minorHAnsi"/>
          <w:lang w:val="en-US"/>
        </w:rPr>
        <w:t>New Zealand, on behalf of the FFA members, delivered a statement covering all three working papers under this agenda item. FFA members supported the continued development and validation of next-generation stock assessment software under Project 123 while recognizing the importance of maintaining MULTIFAN-CL as the Commission's operational platform during the transition, welcomed progress since SC21 including both the next-generation assessment framework and the external tagging program reaching working proof-of-concept stage, and supported the proposed second phase of Project 123, including the Pacific-led development program, governance arrangements, workplan, and phased testing approach. FFA members saw clear value in the external tagging program as a means of addressing the regional mixing assumption, welcomed progress with opal including its initial comparisons against SS3 and MULTIFAN-CL using the WCPO bigeye case study, and noted that its open-source, modular, well-documented design makes assessments easier to understand, scrutinize, reproduce, test, and extend. FFA members recognized that both the external tagging program and opal require further testing, validation, data development, and sustained funding before operational adoption, and encouraged continued collaboration and funding support from WCPFC, IATTC, and technical partners given the strategic importance of Project 123.</w:t>
      </w:r>
    </w:p>
    <w:p w14:paraId="2DCAC060" w14:textId="77777777" w:rsidR="00990741" w:rsidRPr="00B845AF" w:rsidRDefault="00990741" w:rsidP="00990741">
      <w:pPr>
        <w:pStyle w:val="SCtext"/>
        <w:numPr>
          <w:ilvl w:val="0"/>
          <w:numId w:val="0"/>
        </w:numPr>
        <w:rPr>
          <w:rFonts w:asciiTheme="minorHAnsi" w:eastAsia="Batang" w:hAnsiTheme="minorHAnsi" w:cstheme="minorHAnsi"/>
          <w:lang w:val="en-US"/>
        </w:rPr>
      </w:pPr>
    </w:p>
    <w:p w14:paraId="12E7617E" w14:textId="001732AA" w:rsidR="00990741" w:rsidRPr="00B845AF" w:rsidRDefault="00990741">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The EU stated that the three papers made a strong case for advancing opal as the core development pathway alongside the external tagging analysis as an additional </w:t>
      </w:r>
      <w:r w:rsidR="00E93D42" w:rsidRPr="00B845AF">
        <w:rPr>
          <w:rFonts w:asciiTheme="minorHAnsi" w:eastAsia="Batang" w:hAnsiTheme="minorHAnsi" w:cstheme="minorHAnsi"/>
          <w:lang w:val="en-US"/>
        </w:rPr>
        <w:t>workstream and</w:t>
      </w:r>
      <w:r w:rsidRPr="00B845AF">
        <w:rPr>
          <w:rFonts w:asciiTheme="minorHAnsi" w:eastAsia="Batang" w:hAnsiTheme="minorHAnsi" w:cstheme="minorHAnsi"/>
          <w:lang w:val="en-US"/>
        </w:rPr>
        <w:t xml:space="preserve"> asked whether the external tagging analysis could help address the challenge of scaling random-effects estimation in </w:t>
      </w:r>
      <w:r w:rsidR="00A46E81" w:rsidRPr="00B845AF">
        <w:rPr>
          <w:rFonts w:asciiTheme="minorHAnsi" w:eastAsia="Batang" w:hAnsiTheme="minorHAnsi" w:cstheme="minorHAnsi"/>
          <w:lang w:val="en-US"/>
        </w:rPr>
        <w:t>high-dimensional</w:t>
      </w:r>
      <w:r w:rsidRPr="00B845AF">
        <w:rPr>
          <w:rFonts w:asciiTheme="minorHAnsi" w:eastAsia="Batang" w:hAnsiTheme="minorHAnsi" w:cstheme="minorHAnsi"/>
          <w:lang w:val="en-US"/>
        </w:rPr>
        <w:t xml:space="preserve"> tuna assessments by decoupling the tag likelihood component, and what this might mean for runtime and model complexity.</w:t>
      </w:r>
    </w:p>
    <w:p w14:paraId="3D3A86FE" w14:textId="77777777" w:rsidR="00990741" w:rsidRPr="00B845AF" w:rsidRDefault="00990741" w:rsidP="00990741">
      <w:pPr>
        <w:pStyle w:val="SCtext"/>
        <w:numPr>
          <w:ilvl w:val="0"/>
          <w:numId w:val="0"/>
        </w:numPr>
        <w:rPr>
          <w:rFonts w:asciiTheme="minorHAnsi" w:eastAsia="Batang" w:hAnsiTheme="minorHAnsi" w:cstheme="minorHAnsi"/>
          <w:lang w:val="en-US"/>
        </w:rPr>
      </w:pPr>
    </w:p>
    <w:p w14:paraId="17191947" w14:textId="3EE71C71" w:rsidR="00990741" w:rsidRPr="00B845AF" w:rsidRDefault="00990741">
      <w:pPr>
        <w:pStyle w:val="SCtext"/>
        <w:rPr>
          <w:rFonts w:asciiTheme="minorHAnsi" w:eastAsia="Batang" w:hAnsiTheme="minorHAnsi" w:cstheme="minorHAnsi"/>
          <w:lang w:val="en-US"/>
        </w:rPr>
      </w:pPr>
      <w:r w:rsidRPr="00B845AF">
        <w:rPr>
          <w:rFonts w:asciiTheme="minorHAnsi" w:eastAsia="Batang" w:hAnsiTheme="minorHAnsi" w:cstheme="minorHAnsi"/>
          <w:lang w:val="en-US"/>
        </w:rPr>
        <w:t>The SSP responded that it was difficult to anticipate the runtime implications of incorporating tagging data into a model such as opal, noting that the external analysis alone took substantial time even for one tagging program, and deferred further comment to colleagues. N. Ducharme-Barth sought clarification on whether the EU</w:t>
      </w:r>
      <w:r w:rsidR="00E84C14" w:rsidRPr="00B845AF">
        <w:rPr>
          <w:rFonts w:asciiTheme="minorHAnsi" w:eastAsia="Batang" w:hAnsiTheme="minorHAnsi" w:cstheme="minorHAnsi"/>
          <w:lang w:val="en-US"/>
        </w:rPr>
        <w:t>’</w:t>
      </w:r>
      <w:r w:rsidRPr="00B845AF">
        <w:rPr>
          <w:rFonts w:asciiTheme="minorHAnsi" w:eastAsia="Batang" w:hAnsiTheme="minorHAnsi" w:cstheme="minorHAnsi"/>
          <w:lang w:val="en-US"/>
        </w:rPr>
        <w:t>s question concerned incorporating tagging data in general or the spatially resolved analysis just presented; the EU clarified it was asking whether the external analysis might help simplify the models run in opal by separating out this component. N. Ducharme-Barth replied that opal is being built from simple to complex, and that in the near term opal could remain relatively simple and take the external analysis as an additional likelihood component if it produces an index comparable to that from IATTC</w:t>
      </w:r>
      <w:r w:rsidR="00E84C14" w:rsidRPr="00B845AF">
        <w:rPr>
          <w:rFonts w:asciiTheme="minorHAnsi" w:eastAsia="Batang" w:hAnsiTheme="minorHAnsi" w:cstheme="minorHAnsi"/>
          <w:lang w:val="en-US"/>
        </w:rPr>
        <w:t>’</w:t>
      </w:r>
      <w:r w:rsidRPr="00B845AF">
        <w:rPr>
          <w:rFonts w:asciiTheme="minorHAnsi" w:eastAsia="Batang" w:hAnsiTheme="minorHAnsi" w:cstheme="minorHAnsi"/>
          <w:lang w:val="en-US"/>
        </w:rPr>
        <w:t>s work, while increasing opal</w:t>
      </w:r>
      <w:r w:rsidR="00E84C14" w:rsidRPr="00B845AF">
        <w:rPr>
          <w:rFonts w:asciiTheme="minorHAnsi" w:eastAsia="Batang" w:hAnsiTheme="minorHAnsi" w:cstheme="minorHAnsi"/>
          <w:lang w:val="en-US"/>
        </w:rPr>
        <w:t>’</w:t>
      </w:r>
      <w:r w:rsidRPr="00B845AF">
        <w:rPr>
          <w:rFonts w:asciiTheme="minorHAnsi" w:eastAsia="Batang" w:hAnsiTheme="minorHAnsi" w:cstheme="minorHAnsi"/>
          <w:lang w:val="en-US"/>
        </w:rPr>
        <w:t>s dimensionality to potentially incorporate space or tagging data directly is scheduled as a later milestone, a matter of both model development and assessment philosophy on which the governance structure and future workshops could provide input; the SSP characterized this as unlikely in the near term but possible in the longer term.</w:t>
      </w:r>
    </w:p>
    <w:p w14:paraId="433AFF01" w14:textId="77777777" w:rsidR="00E84C14" w:rsidRPr="00B845AF" w:rsidRDefault="00E84C14" w:rsidP="00E84C14">
      <w:pPr>
        <w:pStyle w:val="SCtext"/>
        <w:numPr>
          <w:ilvl w:val="0"/>
          <w:numId w:val="0"/>
        </w:numPr>
        <w:rPr>
          <w:rFonts w:asciiTheme="minorHAnsi" w:eastAsia="Batang" w:hAnsiTheme="minorHAnsi" w:cstheme="minorHAnsi"/>
          <w:lang w:val="en-US"/>
        </w:rPr>
      </w:pPr>
    </w:p>
    <w:p w14:paraId="36B45329" w14:textId="52C051CF" w:rsidR="00E84C14" w:rsidRPr="00B845AF" w:rsidRDefault="00E84C14">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The USA thanked the presenters, stated that it views tagging releases under </w:t>
      </w:r>
      <w:proofErr w:type="gramStart"/>
      <w:r w:rsidRPr="00B845AF">
        <w:rPr>
          <w:rFonts w:asciiTheme="minorHAnsi" w:eastAsia="Batang" w:hAnsiTheme="minorHAnsi" w:cstheme="minorHAnsi"/>
          <w:lang w:val="en-US"/>
        </w:rPr>
        <w:t>PTTP as</w:t>
      </w:r>
      <w:proofErr w:type="gramEnd"/>
      <w:r w:rsidRPr="00B845AF">
        <w:rPr>
          <w:rFonts w:asciiTheme="minorHAnsi" w:eastAsia="Batang" w:hAnsiTheme="minorHAnsi" w:cstheme="minorHAnsi"/>
          <w:lang w:val="en-US"/>
        </w:rPr>
        <w:t xml:space="preserve"> containing valuable scientific information and considers appropriate modeling of tag data critical to maximizing the return on investment, agreed the approach is promising but needs further resourcing, and expressed support for the approach generally. The USA asked whether the workplan includes simulation testing to ensure the sampling procedure is robust enough to generate the data needed for reliable estimates.</w:t>
      </w:r>
    </w:p>
    <w:p w14:paraId="370F5DCC" w14:textId="77777777" w:rsidR="00E84C14" w:rsidRPr="00B845AF" w:rsidRDefault="00E84C14" w:rsidP="00E84C14">
      <w:pPr>
        <w:pStyle w:val="SCtext"/>
        <w:numPr>
          <w:ilvl w:val="0"/>
          <w:numId w:val="0"/>
        </w:numPr>
        <w:rPr>
          <w:rFonts w:asciiTheme="minorHAnsi" w:eastAsia="Batang" w:hAnsiTheme="minorHAnsi" w:cstheme="minorHAnsi"/>
          <w:lang w:val="en-US"/>
        </w:rPr>
      </w:pPr>
    </w:p>
    <w:p w14:paraId="1CFA8B57" w14:textId="78C5DB1A" w:rsidR="00E84C14" w:rsidRPr="00B845AF" w:rsidRDefault="00E84C14">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The SSP confirmed that simulation testing is a significant part of model development, is included in the workplan, and is straightforward to implement using RTMB. The SSP separately returned to the EU’s question on computational time, noting that internal tag analysis within MULTIFAN-CL substantially increases computation time in current assessments, such that results take a day rather than being </w:t>
      </w:r>
      <w:r w:rsidRPr="00B845AF">
        <w:rPr>
          <w:rFonts w:asciiTheme="minorHAnsi" w:eastAsia="Batang" w:hAnsiTheme="minorHAnsi" w:cstheme="minorHAnsi"/>
          <w:lang w:val="en-US"/>
        </w:rPr>
        <w:lastRenderedPageBreak/>
        <w:t xml:space="preserve">available the same day, and that decoupling tag analysis from the stock assessment would have logistical benefits given the iterative work seen this year on the bigeye and yellowfin assessments. The SSP added that analyzing tags internally has the advantage of propagating uncertainty arising from the tagging data within the integrated </w:t>
      </w:r>
      <w:r w:rsidR="00E93D42" w:rsidRPr="00B845AF">
        <w:rPr>
          <w:rFonts w:asciiTheme="minorHAnsi" w:eastAsia="Batang" w:hAnsiTheme="minorHAnsi" w:cstheme="minorHAnsi"/>
          <w:lang w:val="en-US"/>
        </w:rPr>
        <w:t>model and</w:t>
      </w:r>
      <w:r w:rsidRPr="00B845AF">
        <w:rPr>
          <w:rFonts w:asciiTheme="minorHAnsi" w:eastAsia="Batang" w:hAnsiTheme="minorHAnsi" w:cstheme="minorHAnsi"/>
          <w:lang w:val="en-US"/>
        </w:rPr>
        <w:t xml:space="preserve"> noted that terms of reference are being developed for a tagging workshop, to be discussed further at the Tuna Assessment Research Plan (TARP) small working group.</w:t>
      </w:r>
    </w:p>
    <w:p w14:paraId="18AF957B" w14:textId="77777777" w:rsidR="00E84C14" w:rsidRPr="00B845AF" w:rsidRDefault="00E84C14" w:rsidP="00E84C14">
      <w:pPr>
        <w:pStyle w:val="SCtext"/>
        <w:numPr>
          <w:ilvl w:val="0"/>
          <w:numId w:val="0"/>
        </w:numPr>
        <w:rPr>
          <w:rFonts w:asciiTheme="minorHAnsi" w:eastAsia="Batang" w:hAnsiTheme="minorHAnsi" w:cstheme="minorHAnsi"/>
          <w:lang w:val="en-US"/>
        </w:rPr>
      </w:pPr>
    </w:p>
    <w:p w14:paraId="7AC21D6B" w14:textId="3249F0BF" w:rsidR="00E84C14" w:rsidRPr="00B845AF" w:rsidRDefault="00E84C14">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China agreed that tagging data may improve understanding of skipjack movement and provide useful information for estimating mortality and </w:t>
      </w:r>
      <w:r w:rsidR="00E93D42" w:rsidRPr="00B845AF">
        <w:rPr>
          <w:rFonts w:asciiTheme="minorHAnsi" w:eastAsia="Batang" w:hAnsiTheme="minorHAnsi" w:cstheme="minorHAnsi"/>
          <w:lang w:val="en-US"/>
        </w:rPr>
        <w:t>biomass but</w:t>
      </w:r>
      <w:r w:rsidRPr="00B845AF">
        <w:rPr>
          <w:rFonts w:asciiTheme="minorHAnsi" w:eastAsia="Batang" w:hAnsiTheme="minorHAnsi" w:cstheme="minorHAnsi"/>
          <w:lang w:val="en-US"/>
        </w:rPr>
        <w:t xml:space="preserve"> asked the authors to clarify how post-release mortality, tag loss, and unreported recaptures are treated in the current model, noting these are strong assumptions that directly affect mortality and biomass estimates. China noted that prior information for the WCPO appears limited, that values from other regions may not be directly applicable, and that reporting rates may differ across fleets and fishing </w:t>
      </w:r>
      <w:r w:rsidR="00E93D42" w:rsidRPr="00B845AF">
        <w:rPr>
          <w:rFonts w:asciiTheme="minorHAnsi" w:eastAsia="Batang" w:hAnsiTheme="minorHAnsi" w:cstheme="minorHAnsi"/>
          <w:lang w:val="en-US"/>
        </w:rPr>
        <w:t>methods and</w:t>
      </w:r>
      <w:r w:rsidRPr="00B845AF">
        <w:rPr>
          <w:rFonts w:asciiTheme="minorHAnsi" w:eastAsia="Batang" w:hAnsiTheme="minorHAnsi" w:cstheme="minorHAnsi"/>
          <w:lang w:val="en-US"/>
        </w:rPr>
        <w:t xml:space="preserve"> expressed hope for a small working group or testing ahead of the next skipjack assessment in 2028. The SSP agreed that tag loss, reporting and non-reporting rates, and tagging-related mortality are important parameters affecting estimated fishing and natural mortality and biomass estimates, and confirmed that such rates, whether instantaneous at the time of tagging or continuous over time, or both, would be needed for the external analysis, noting that the same rates are also important for the internal MULTIFAN-CL analysis.</w:t>
      </w:r>
    </w:p>
    <w:p w14:paraId="5FC59C09" w14:textId="77777777" w:rsidR="00F876A9" w:rsidRPr="00B845AF" w:rsidRDefault="00F876A9" w:rsidP="00F876A9">
      <w:pPr>
        <w:pStyle w:val="SCtext"/>
        <w:numPr>
          <w:ilvl w:val="0"/>
          <w:numId w:val="0"/>
        </w:numPr>
        <w:rPr>
          <w:rFonts w:asciiTheme="minorHAnsi" w:eastAsia="Batang" w:hAnsiTheme="minorHAnsi" w:cstheme="minorHAnsi"/>
          <w:lang w:val="en-US"/>
        </w:rPr>
      </w:pPr>
    </w:p>
    <w:p w14:paraId="47928BAF" w14:textId="718F4520" w:rsidR="00F876A9" w:rsidRPr="00B845AF" w:rsidRDefault="00F876A9">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ISG03 met on Wednesday, 12 August 2026, to discuss the budget and governance approach for Project 123, scoping the next generation of tuna stock assessment software. The full report for ISG03 can be found in </w:t>
      </w:r>
      <w:r w:rsidRPr="00B845AF">
        <w:rPr>
          <w:rFonts w:asciiTheme="minorHAnsi" w:eastAsia="Batang" w:hAnsiTheme="minorHAnsi" w:cstheme="minorHAnsi"/>
          <w:b/>
          <w:bCs/>
          <w:lang w:val="en-US"/>
        </w:rPr>
        <w:t xml:space="preserve">Attachment </w:t>
      </w:r>
      <w:r w:rsidR="00D13E52" w:rsidRPr="00B845AF">
        <w:rPr>
          <w:rFonts w:asciiTheme="minorHAnsi" w:eastAsia="MS Mincho" w:hAnsiTheme="minorHAnsi" w:cstheme="minorHAnsi"/>
          <w:b/>
          <w:bCs/>
          <w:lang w:val="en-US" w:eastAsia="ja-JP"/>
        </w:rPr>
        <w:t>H</w:t>
      </w:r>
      <w:r w:rsidRPr="00B845AF">
        <w:rPr>
          <w:rFonts w:asciiTheme="minorHAnsi" w:eastAsia="Batang" w:hAnsiTheme="minorHAnsi" w:cstheme="minorHAnsi"/>
          <w:lang w:val="en-US"/>
        </w:rPr>
        <w:t>.</w:t>
      </w:r>
    </w:p>
    <w:p w14:paraId="4E87D794" w14:textId="77777777" w:rsidR="004A1947" w:rsidRPr="00B845AF" w:rsidRDefault="004A1947" w:rsidP="004A1947">
      <w:pPr>
        <w:pStyle w:val="SCDR"/>
        <w:keepNext w:val="0"/>
        <w:widowControl w:val="0"/>
        <w:adjustRightInd w:val="0"/>
        <w:snapToGrid w:val="0"/>
        <w:spacing w:after="0"/>
        <w:rPr>
          <w:rFonts w:asciiTheme="minorHAnsi" w:hAnsiTheme="minorHAnsi" w:cstheme="minorHAnsi"/>
        </w:rPr>
      </w:pPr>
    </w:p>
    <w:p w14:paraId="03D1D6ED" w14:textId="690E6C16" w:rsidR="004A1947" w:rsidRPr="00B845AF" w:rsidRDefault="00346C4A" w:rsidP="005A2F26">
      <w:pPr>
        <w:pStyle w:val="SCDR"/>
        <w:rPr>
          <w:rFonts w:asciiTheme="minorHAnsi" w:eastAsia="MS Mincho" w:hAnsiTheme="minorHAnsi" w:cstheme="minorHAnsi"/>
          <w:lang w:eastAsia="ja-JP"/>
        </w:rPr>
      </w:pPr>
      <w:r w:rsidRPr="00B845AF">
        <w:rPr>
          <w:rFonts w:asciiTheme="minorHAnsi" w:hAnsiTheme="minorHAnsi" w:cstheme="minorHAnsi"/>
        </w:rPr>
        <w:t>Out</w:t>
      </w:r>
      <w:r w:rsidR="00D15B6D" w:rsidRPr="00B845AF">
        <w:rPr>
          <w:rFonts w:asciiTheme="minorHAnsi" w:hAnsiTheme="minorHAnsi" w:cstheme="minorHAnsi"/>
        </w:rPr>
        <w:t>c</w:t>
      </w:r>
      <w:r w:rsidRPr="00B845AF">
        <w:rPr>
          <w:rFonts w:asciiTheme="minorHAnsi" w:hAnsiTheme="minorHAnsi" w:cstheme="minorHAnsi"/>
        </w:rPr>
        <w:t>ome</w:t>
      </w:r>
    </w:p>
    <w:p w14:paraId="7CBB15BB" w14:textId="1BD284CC" w:rsidR="003A01B4" w:rsidRPr="00B845AF" w:rsidRDefault="00D27BDD">
      <w:pPr>
        <w:pStyle w:val="SCtext"/>
        <w:widowControl w:val="0"/>
        <w:rPr>
          <w:rFonts w:asciiTheme="minorHAnsi" w:hAnsiTheme="minorHAnsi" w:cstheme="minorHAnsi"/>
          <w:b/>
          <w:bCs/>
          <w:lang w:val="en-US"/>
        </w:rPr>
      </w:pPr>
      <w:bookmarkStart w:id="30" w:name="_Hlk237922145"/>
      <w:r w:rsidRPr="00B845AF">
        <w:rPr>
          <w:rFonts w:asciiTheme="minorHAnsi" w:eastAsia="MS Mincho" w:hAnsiTheme="minorHAnsi" w:cstheme="minorHAnsi"/>
          <w:b/>
          <w:bCs/>
          <w:lang w:val="en-US" w:eastAsia="ja-JP"/>
        </w:rPr>
        <w:t>SC22 recognizes that the scale of this strategic project requires dedicated multi-year funding beyond what can reasonably be accommodated within the existing SC science project budget, and recommends that WCPFC, IATTC, SPC and interested CCMs work collaboratively to identify financial, external and in-kind support, including through CCM governments and relevant agencies, with the aim of developing a coordinated funding approach for consideration at WCPFC23. SC22 further recognizes Project 123 would be applicable for science providers to address needs common to all tuna RFMOs.</w:t>
      </w:r>
    </w:p>
    <w:bookmarkEnd w:id="30"/>
    <w:p w14:paraId="75773B37" w14:textId="7A27A90F" w:rsidR="00CF16BD" w:rsidRPr="00B845AF" w:rsidRDefault="00CF16BD" w:rsidP="00CF16BD">
      <w:pPr>
        <w:pStyle w:val="SCtext"/>
        <w:numPr>
          <w:ilvl w:val="0"/>
          <w:numId w:val="0"/>
        </w:numPr>
        <w:rPr>
          <w:rFonts w:asciiTheme="minorHAnsi" w:hAnsiTheme="minorHAnsi" w:cstheme="minorHAnsi"/>
          <w:lang w:val="en-US"/>
        </w:rPr>
      </w:pPr>
    </w:p>
    <w:p w14:paraId="749AFA3C" w14:textId="762C2122" w:rsidR="00CF16BD" w:rsidRPr="00B845AF" w:rsidRDefault="00CF16BD">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Tagging data and research for stock assessment</w:t>
      </w:r>
    </w:p>
    <w:p w14:paraId="36E85A0E" w14:textId="77777777" w:rsidR="006D11F1" w:rsidRPr="00B845AF" w:rsidRDefault="007B653A">
      <w:pPr>
        <w:pStyle w:val="SCtext"/>
        <w:rPr>
          <w:rFonts w:asciiTheme="minorHAnsi" w:hAnsiTheme="minorHAnsi" w:cstheme="minorHAnsi"/>
          <w:lang w:val="en-US"/>
        </w:rPr>
      </w:pPr>
      <w:r w:rsidRPr="00B845AF">
        <w:rPr>
          <w:rFonts w:asciiTheme="minorHAnsi" w:hAnsiTheme="minorHAnsi" w:cstheme="minorHAnsi"/>
          <w:lang w:val="en-US"/>
        </w:rPr>
        <w:t xml:space="preserve">J. Scutt Phillips (SPC-OFP) presented </w:t>
      </w:r>
      <w:hyperlink r:id="rId39" w:history="1">
        <w:r w:rsidRPr="00B845AF">
          <w:rPr>
            <w:rStyle w:val="Hyperlink"/>
            <w:rFonts w:asciiTheme="minorHAnsi" w:hAnsiTheme="minorHAnsi" w:cstheme="minorHAnsi"/>
            <w:lang w:val="en-US"/>
          </w:rPr>
          <w:t>WCPFC-SC22-2026-SA-WP04</w:t>
        </w:r>
      </w:hyperlink>
      <w:r w:rsidRPr="00B845AF">
        <w:rPr>
          <w:rFonts w:asciiTheme="minorHAnsi" w:hAnsiTheme="minorHAnsi" w:cstheme="minorHAnsi"/>
          <w:lang w:val="en-US"/>
        </w:rPr>
        <w:t xml:space="preserve"> on scientific outputs from the Pacific Tuna Tagging Project (PTTP, Project 42). </w:t>
      </w:r>
    </w:p>
    <w:p w14:paraId="70CD5369" w14:textId="77777777" w:rsidR="006D11F1" w:rsidRPr="00B845AF" w:rsidRDefault="006D11F1" w:rsidP="006D11F1">
      <w:pPr>
        <w:pStyle w:val="SCtext"/>
        <w:numPr>
          <w:ilvl w:val="0"/>
          <w:numId w:val="0"/>
        </w:numPr>
        <w:rPr>
          <w:rFonts w:asciiTheme="minorHAnsi" w:hAnsiTheme="minorHAnsi" w:cstheme="minorHAnsi"/>
          <w:lang w:val="en-US"/>
        </w:rPr>
      </w:pPr>
    </w:p>
    <w:p w14:paraId="79663762" w14:textId="77777777" w:rsidR="006D11F1" w:rsidRPr="00B845AF" w:rsidRDefault="007B653A"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described the PTTP’s core activities (field operations, the tag recovery network, and analysis for stock assessments, harvest strategies, and SEAPODYM climate projections) alongside its secondary role as a multi-purpose scientific sampling platform supporting tissue collection for age and growth, connectivity, pollutant and toxicology, trophic ecology, reproductive biology, and stock structure work. It reported that non-WCPFC sources met approximately 63% of the cost of core activities in the recent period (approximately 77% over the project’s lifetime), with the Republic of Korea identified as the most consistent cash contributor, against a current WCPFC cash contribution of USD 950,000 per year (37% of the project budget). The paper found that reducing charter days was the only viable cost-reduction option, since recovery network, seeding, training, data validation, and analysis costs are fixed, and warned that reduced charter would degrade tagging data quality and secondary tissue collection, with flow-on financial impacts estimated at approximately USD 1.5 million per year across stock assessment, harvest strategy, </w:t>
      </w:r>
      <w:r w:rsidRPr="00B845AF">
        <w:rPr>
          <w:rFonts w:asciiTheme="minorHAnsi" w:hAnsiTheme="minorHAnsi" w:cstheme="minorHAnsi"/>
          <w:lang w:val="en-US"/>
        </w:rPr>
        <w:lastRenderedPageBreak/>
        <w:t xml:space="preserve">climate projection, and at least seven other projects reliant on the Pacific Marine Specimen Bank (Project 35b), including Projects 100d, 120, 121, 123, 125, 128a, and 129. </w:t>
      </w:r>
    </w:p>
    <w:p w14:paraId="5DF71646" w14:textId="77777777" w:rsidR="006D11F1" w:rsidRPr="00B845AF" w:rsidRDefault="006D11F1" w:rsidP="006D11F1">
      <w:pPr>
        <w:pStyle w:val="SCtext"/>
        <w:numPr>
          <w:ilvl w:val="0"/>
          <w:numId w:val="0"/>
        </w:numPr>
        <w:ind w:left="720"/>
        <w:rPr>
          <w:rFonts w:asciiTheme="minorHAnsi" w:hAnsiTheme="minorHAnsi" w:cstheme="minorHAnsi"/>
          <w:lang w:val="en-US"/>
        </w:rPr>
      </w:pPr>
    </w:p>
    <w:p w14:paraId="066B7A43" w14:textId="6167961F" w:rsidR="00CF16BD" w:rsidRPr="00B845AF" w:rsidRDefault="007B653A" w:rsidP="006D11F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paper also proposed an updated Terms of Reference, stated to reflect current delivery rather than change scope or increase budget, with increased focus on WCPO skipjack tuna tagging, and invited SC22 to note the PTTP’s technical value, respond to FAC19 by noting that the program represents an integrated body of work not offered as a scalable menu of activities, endorse the updated Terms of Reference, and forward the paper with any commentary to FAC20 and WCPFC23.</w:t>
      </w:r>
    </w:p>
    <w:p w14:paraId="4B641E9C" w14:textId="1F17DB40" w:rsidR="00D22413" w:rsidRPr="00B845AF" w:rsidRDefault="00D22413" w:rsidP="00D22413">
      <w:pPr>
        <w:pStyle w:val="SCtext"/>
        <w:numPr>
          <w:ilvl w:val="0"/>
          <w:numId w:val="0"/>
        </w:numPr>
        <w:rPr>
          <w:rFonts w:asciiTheme="minorHAnsi" w:hAnsiTheme="minorHAnsi" w:cstheme="minorHAnsi"/>
          <w:b/>
          <w:bCs/>
          <w:lang w:val="en-US"/>
        </w:rPr>
      </w:pPr>
    </w:p>
    <w:p w14:paraId="003B98FA" w14:textId="0F808538" w:rsidR="007B653A" w:rsidRPr="00B845AF" w:rsidRDefault="006D59F8" w:rsidP="006D59F8">
      <w:pPr>
        <w:pStyle w:val="SCDR"/>
        <w:rPr>
          <w:rFonts w:asciiTheme="minorHAnsi" w:hAnsiTheme="minorHAnsi" w:cstheme="minorHAnsi"/>
        </w:rPr>
      </w:pPr>
      <w:r w:rsidRPr="00B845AF">
        <w:rPr>
          <w:rFonts w:asciiTheme="minorHAnsi" w:hAnsiTheme="minorHAnsi" w:cstheme="minorHAnsi"/>
        </w:rPr>
        <w:t>Discussion</w:t>
      </w:r>
    </w:p>
    <w:p w14:paraId="5CFE83A6" w14:textId="3F68F523" w:rsidR="00556B4A" w:rsidRPr="00B845AF" w:rsidRDefault="00C42C9B">
      <w:pPr>
        <w:pStyle w:val="SCtext"/>
        <w:rPr>
          <w:rFonts w:asciiTheme="minorHAnsi" w:hAnsiTheme="minorHAnsi" w:cstheme="minorHAnsi"/>
          <w:lang w:val="en-US"/>
        </w:rPr>
      </w:pPr>
      <w:r w:rsidRPr="00B845AF">
        <w:rPr>
          <w:rFonts w:asciiTheme="minorHAnsi" w:hAnsiTheme="minorHAnsi" w:cstheme="minorHAnsi"/>
          <w:lang w:val="en-US"/>
        </w:rPr>
        <w:t xml:space="preserve">Tokelau, on behalf of FFA members, thanked Samoa for hosting and the SSP for </w:t>
      </w:r>
      <w:r w:rsidR="00E705D3" w:rsidRPr="00B845AF">
        <w:rPr>
          <w:rFonts w:asciiTheme="minorHAnsi" w:hAnsiTheme="minorHAnsi" w:cstheme="minorHAnsi"/>
          <w:lang w:val="en-US"/>
        </w:rPr>
        <w:t>WP04.</w:t>
      </w:r>
      <w:r w:rsidRPr="00B845AF">
        <w:rPr>
          <w:rFonts w:asciiTheme="minorHAnsi" w:hAnsiTheme="minorHAnsi" w:cstheme="minorHAnsi"/>
          <w:lang w:val="en-US"/>
        </w:rPr>
        <w:t xml:space="preserve"> FFA members supported maintaining the current Project 42 budget and the updated PTTP Terms of Reference, with core tagging as priority, while encouraging the cost options paper to also weigh field effort against gains from analytical work on existing data. FFA members stated that key assumptions on tag mixing periods should be validated against observed recapture data, that the bigeye tag mixing results in SA-IP10 should be transparently tested accounting for submitted technical comments, and that yellowfin tag mixing should be revisited now that the reference solution is finalized. FFA members supported members</w:t>
      </w:r>
      <w:r w:rsidR="00E705D3" w:rsidRPr="00B845AF">
        <w:rPr>
          <w:rFonts w:asciiTheme="minorHAnsi" w:hAnsiTheme="minorHAnsi" w:cstheme="minorHAnsi"/>
          <w:lang w:val="en-US"/>
        </w:rPr>
        <w:t>’</w:t>
      </w:r>
      <w:r w:rsidRPr="00B845AF">
        <w:rPr>
          <w:rFonts w:asciiTheme="minorHAnsi" w:hAnsiTheme="minorHAnsi" w:cstheme="minorHAnsi"/>
          <w:lang w:val="en-US"/>
        </w:rPr>
        <w:t xml:space="preserve"> consideration of the proposed </w:t>
      </w:r>
      <w:r w:rsidR="00E93D42" w:rsidRPr="00B845AF">
        <w:rPr>
          <w:rFonts w:asciiTheme="minorHAnsi" w:hAnsiTheme="minorHAnsi" w:cstheme="minorHAnsi"/>
          <w:lang w:val="en-US"/>
        </w:rPr>
        <w:t>work and</w:t>
      </w:r>
      <w:r w:rsidRPr="00B845AF">
        <w:rPr>
          <w:rFonts w:asciiTheme="minorHAnsi" w:hAnsiTheme="minorHAnsi" w:cstheme="minorHAnsi"/>
          <w:lang w:val="en-US"/>
        </w:rPr>
        <w:t xml:space="preserve"> suggested the paper for FAC20 and WCPFC23 assess each project against the management issue it addresses, present </w:t>
      </w:r>
      <w:proofErr w:type="gramStart"/>
      <w:r w:rsidRPr="00B845AF">
        <w:rPr>
          <w:rFonts w:asciiTheme="minorHAnsi" w:hAnsiTheme="minorHAnsi" w:cstheme="minorHAnsi"/>
          <w:lang w:val="en-US"/>
        </w:rPr>
        <w:t>costed</w:t>
      </w:r>
      <w:proofErr w:type="gramEnd"/>
      <w:r w:rsidRPr="00B845AF">
        <w:rPr>
          <w:rFonts w:asciiTheme="minorHAnsi" w:hAnsiTheme="minorHAnsi" w:cstheme="minorHAnsi"/>
          <w:lang w:val="en-US"/>
        </w:rPr>
        <w:t xml:space="preserve"> efficiency options with their scientific implications, weigh new fieldwork against </w:t>
      </w:r>
      <w:proofErr w:type="gramStart"/>
      <w:r w:rsidRPr="00B845AF">
        <w:rPr>
          <w:rFonts w:asciiTheme="minorHAnsi" w:hAnsiTheme="minorHAnsi" w:cstheme="minorHAnsi"/>
          <w:lang w:val="en-US"/>
        </w:rPr>
        <w:t>use of existing</w:t>
      </w:r>
      <w:proofErr w:type="gramEnd"/>
      <w:r w:rsidRPr="00B845AF">
        <w:rPr>
          <w:rFonts w:asciiTheme="minorHAnsi" w:hAnsiTheme="minorHAnsi" w:cstheme="minorHAnsi"/>
          <w:lang w:val="en-US"/>
        </w:rPr>
        <w:t xml:space="preserve"> data, and clearly identify co-funding and in-kind contributions.</w:t>
      </w:r>
    </w:p>
    <w:p w14:paraId="62BB7901" w14:textId="77777777" w:rsidR="00E705D3" w:rsidRPr="00B845AF" w:rsidRDefault="00E705D3" w:rsidP="00E705D3">
      <w:pPr>
        <w:pStyle w:val="SCtext"/>
        <w:numPr>
          <w:ilvl w:val="0"/>
          <w:numId w:val="0"/>
        </w:numPr>
        <w:rPr>
          <w:rFonts w:asciiTheme="minorHAnsi" w:hAnsiTheme="minorHAnsi" w:cstheme="minorHAnsi"/>
          <w:lang w:val="en-US"/>
        </w:rPr>
      </w:pPr>
    </w:p>
    <w:p w14:paraId="0FF86D41" w14:textId="2FCAE290" w:rsidR="005A2F26" w:rsidRPr="00B845AF" w:rsidRDefault="00E705D3">
      <w:pPr>
        <w:pStyle w:val="SCtext"/>
        <w:rPr>
          <w:rFonts w:asciiTheme="minorHAnsi" w:hAnsiTheme="minorHAnsi" w:cstheme="minorHAnsi"/>
          <w:lang w:val="en-US"/>
        </w:rPr>
      </w:pPr>
      <w:r w:rsidRPr="00B845AF">
        <w:rPr>
          <w:rFonts w:asciiTheme="minorHAnsi" w:hAnsiTheme="minorHAnsi" w:cstheme="minorHAnsi"/>
          <w:lang w:val="en-US"/>
        </w:rPr>
        <w:t xml:space="preserve">Korea commended </w:t>
      </w:r>
      <w:r w:rsidR="00E93D42" w:rsidRPr="00B845AF">
        <w:rPr>
          <w:rFonts w:asciiTheme="minorHAnsi" w:hAnsiTheme="minorHAnsi" w:cstheme="minorHAnsi"/>
          <w:lang w:val="en-US"/>
        </w:rPr>
        <w:t>PTTP</w:t>
      </w:r>
      <w:r w:rsidRPr="00B845AF">
        <w:rPr>
          <w:rFonts w:asciiTheme="minorHAnsi" w:hAnsiTheme="minorHAnsi" w:cstheme="minorHAnsi"/>
          <w:lang w:val="en-US"/>
        </w:rPr>
        <w:t xml:space="preserve"> as a shared scientific platform and agreed degradation could have significant downstream effects on dependent WCPFC projects. Korea noted the paper’s finding that reduced charter days would degrade data value was directionally clear but unquantified, and requested further information on performance implications, including effects on release/recapture numbers, movement rate precision, fishing mortality estimation error, and MP performance, while recognizing such analysis may be difficult given the project’s interconnected activities. Korea, as a long-standing co-financing contributor, supported maintaining the current program and said continued transparency on costs and future scenario-based analysis would strengthen member support.</w:t>
      </w:r>
    </w:p>
    <w:p w14:paraId="51425950" w14:textId="796941A1" w:rsidR="005A2F26" w:rsidRPr="00B845AF" w:rsidRDefault="005A2F26" w:rsidP="005A2F26">
      <w:pPr>
        <w:pStyle w:val="SCtext"/>
        <w:numPr>
          <w:ilvl w:val="0"/>
          <w:numId w:val="0"/>
        </w:numPr>
        <w:rPr>
          <w:rFonts w:asciiTheme="minorHAnsi" w:hAnsiTheme="minorHAnsi" w:cstheme="minorHAnsi"/>
          <w:lang w:val="en-US"/>
        </w:rPr>
      </w:pPr>
    </w:p>
    <w:p w14:paraId="5607A916" w14:textId="69075FD0" w:rsidR="005A2F26" w:rsidRPr="00B845AF" w:rsidRDefault="005A2F26" w:rsidP="005A2F26">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2F663A01" w14:textId="2AD23890" w:rsidR="005A2F26" w:rsidRPr="00B845AF" w:rsidRDefault="009B3DA7">
      <w:pPr>
        <w:pStyle w:val="SCtext"/>
        <w:rPr>
          <w:rFonts w:asciiTheme="minorHAnsi" w:hAnsiTheme="minorHAnsi" w:cstheme="minorHAnsi"/>
          <w:lang w:val="en-US"/>
        </w:rPr>
      </w:pPr>
      <w:r w:rsidRPr="00B845AF">
        <w:rPr>
          <w:rFonts w:asciiTheme="minorHAnsi" w:eastAsia="MS Mincho" w:hAnsiTheme="minorHAnsi" w:cstheme="minorHAnsi"/>
          <w:b/>
          <w:bCs/>
          <w:lang w:val="en-US" w:eastAsia="ja-JP"/>
        </w:rPr>
        <w:t xml:space="preserve">SC22 recommends the SSP undertake further analysis to weigh research efforts against potential gains to ensure the best use of existing data. Future </w:t>
      </w:r>
      <w:proofErr w:type="gramStart"/>
      <w:r w:rsidRPr="00B845AF">
        <w:rPr>
          <w:rFonts w:asciiTheme="minorHAnsi" w:eastAsia="MS Mincho" w:hAnsiTheme="minorHAnsi" w:cstheme="minorHAnsi"/>
          <w:b/>
          <w:bCs/>
          <w:lang w:val="en-US" w:eastAsia="ja-JP"/>
        </w:rPr>
        <w:t>working</w:t>
      </w:r>
      <w:proofErr w:type="gramEnd"/>
      <w:r w:rsidRPr="00B845AF">
        <w:rPr>
          <w:rFonts w:asciiTheme="minorHAnsi" w:eastAsia="MS Mincho" w:hAnsiTheme="minorHAnsi" w:cstheme="minorHAnsi"/>
          <w:b/>
          <w:bCs/>
          <w:lang w:val="en-US" w:eastAsia="ja-JP"/>
        </w:rPr>
        <w:t xml:space="preserve"> papers should clearly explain the scientific and management value of each project against associated costs.</w:t>
      </w:r>
    </w:p>
    <w:p w14:paraId="6BBD277D" w14:textId="77777777" w:rsidR="00E5097A" w:rsidRPr="00B845AF" w:rsidRDefault="00E5097A" w:rsidP="00F832D7">
      <w:pPr>
        <w:pStyle w:val="SCtext"/>
        <w:numPr>
          <w:ilvl w:val="0"/>
          <w:numId w:val="0"/>
        </w:numPr>
        <w:rPr>
          <w:rFonts w:asciiTheme="minorHAnsi" w:hAnsiTheme="minorHAnsi" w:cstheme="minorHAnsi"/>
          <w:lang w:val="en-US"/>
        </w:rPr>
      </w:pPr>
    </w:p>
    <w:p w14:paraId="3762130D" w14:textId="228F40D3" w:rsidR="00D649E0" w:rsidRPr="00B845AF" w:rsidRDefault="00D649E0">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WCPO Tunas</w:t>
      </w:r>
    </w:p>
    <w:p w14:paraId="48819CC9" w14:textId="18561FBF" w:rsidR="00D649E0" w:rsidRPr="00B845AF" w:rsidRDefault="00D649E0">
      <w:pPr>
        <w:pStyle w:val="SC3"/>
        <w:rPr>
          <w:rFonts w:asciiTheme="minorHAnsi" w:hAnsiTheme="minorHAnsi" w:cstheme="minorHAnsi"/>
        </w:rPr>
      </w:pPr>
      <w:r w:rsidRPr="00B845AF">
        <w:rPr>
          <w:rFonts w:asciiTheme="minorHAnsi" w:hAnsiTheme="minorHAnsi" w:cstheme="minorHAnsi"/>
        </w:rPr>
        <w:t xml:space="preserve">WCPO </w:t>
      </w:r>
      <w:r w:rsidR="00CF16BD" w:rsidRPr="00B845AF">
        <w:rPr>
          <w:rFonts w:asciiTheme="minorHAnsi" w:hAnsiTheme="minorHAnsi" w:cstheme="minorHAnsi"/>
        </w:rPr>
        <w:t>yellowfin</w:t>
      </w:r>
      <w:r w:rsidRPr="00B845AF">
        <w:rPr>
          <w:rFonts w:asciiTheme="minorHAnsi" w:hAnsiTheme="minorHAnsi" w:cstheme="minorHAnsi"/>
        </w:rPr>
        <w:t xml:space="preserve"> tuna (</w:t>
      </w:r>
      <w:r w:rsidR="00CF16BD" w:rsidRPr="00B845AF">
        <w:rPr>
          <w:rFonts w:asciiTheme="minorHAnsi" w:hAnsiTheme="minorHAnsi" w:cstheme="minorHAnsi"/>
          <w:i/>
          <w:iCs/>
        </w:rPr>
        <w:t>Thunnus albacares</w:t>
      </w:r>
      <w:r w:rsidRPr="00B845AF">
        <w:rPr>
          <w:rFonts w:asciiTheme="minorHAnsi" w:hAnsiTheme="minorHAnsi" w:cstheme="minorHAnsi"/>
        </w:rPr>
        <w:t>)</w:t>
      </w:r>
    </w:p>
    <w:p w14:paraId="5A0E1A2C" w14:textId="23BF3F40" w:rsidR="00D649E0" w:rsidRPr="00B845AF" w:rsidRDefault="005E4BC2" w:rsidP="005E4BC2">
      <w:pPr>
        <w:widowControl w:val="0"/>
        <w:kinsoku w:val="0"/>
        <w:overflowPunct w:val="0"/>
        <w:autoSpaceDE w:val="0"/>
        <w:autoSpaceDN w:val="0"/>
        <w:adjustRightInd w:val="0"/>
        <w:snapToGrid w:val="0"/>
        <w:jc w:val="both"/>
        <w:rPr>
          <w:rFonts w:asciiTheme="minorHAnsi" w:eastAsia="Batang" w:hAnsiTheme="minorHAnsi" w:cstheme="minorHAnsi"/>
          <w:b/>
          <w:bCs/>
          <w:iCs/>
          <w:szCs w:val="22"/>
          <w:lang w:eastAsia="ko-KR"/>
        </w:rPr>
      </w:pPr>
      <w:bookmarkStart w:id="31" w:name="_Hlk197528101"/>
      <w:r w:rsidRPr="00B845AF">
        <w:rPr>
          <w:rFonts w:asciiTheme="minorHAnsi" w:eastAsia="Batang" w:hAnsiTheme="minorHAnsi" w:cstheme="minorHAnsi"/>
          <w:b/>
          <w:bCs/>
          <w:iCs/>
          <w:szCs w:val="22"/>
          <w:lang w:eastAsia="ko-KR"/>
        </w:rPr>
        <w:t>4.3.1.1</w:t>
      </w:r>
      <w:r w:rsidRPr="00B845AF">
        <w:rPr>
          <w:rFonts w:asciiTheme="minorHAnsi" w:eastAsia="Batang" w:hAnsiTheme="minorHAnsi" w:cstheme="minorHAnsi"/>
          <w:b/>
          <w:bCs/>
          <w:iCs/>
          <w:szCs w:val="22"/>
          <w:lang w:eastAsia="ko-KR"/>
        </w:rPr>
        <w:tab/>
      </w:r>
      <w:r w:rsidR="00CF16BD" w:rsidRPr="00B845AF">
        <w:rPr>
          <w:rFonts w:asciiTheme="minorHAnsi" w:eastAsia="Batang" w:hAnsiTheme="minorHAnsi" w:cstheme="minorHAnsi"/>
          <w:b/>
          <w:bCs/>
          <w:iCs/>
          <w:szCs w:val="22"/>
          <w:lang w:eastAsia="ko-KR"/>
        </w:rPr>
        <w:t>Research and information</w:t>
      </w:r>
    </w:p>
    <w:bookmarkEnd w:id="31"/>
    <w:p w14:paraId="373C751E" w14:textId="77777777" w:rsidR="00DF7FB1" w:rsidRPr="00B845AF" w:rsidRDefault="00DF7FB1" w:rsidP="00FD6A96">
      <w:pPr>
        <w:widowControl w:val="0"/>
        <w:kinsoku w:val="0"/>
        <w:overflowPunct w:val="0"/>
        <w:autoSpaceDE w:val="0"/>
        <w:autoSpaceDN w:val="0"/>
        <w:adjustRightInd w:val="0"/>
        <w:snapToGrid w:val="0"/>
        <w:jc w:val="both"/>
        <w:rPr>
          <w:rFonts w:asciiTheme="minorHAnsi" w:eastAsia="Batang" w:hAnsiTheme="minorHAnsi" w:cstheme="minorHAnsi"/>
          <w:szCs w:val="22"/>
          <w:lang w:eastAsia="ko-KR"/>
        </w:rPr>
      </w:pPr>
    </w:p>
    <w:p w14:paraId="50540CAD" w14:textId="64C66CD2" w:rsidR="005B2516" w:rsidRPr="00B845AF" w:rsidRDefault="005B2516">
      <w:pPr>
        <w:pStyle w:val="SCtext"/>
        <w:rPr>
          <w:rFonts w:asciiTheme="minorHAnsi" w:hAnsiTheme="minorHAnsi" w:cstheme="minorHAnsi"/>
          <w:lang w:val="en-US"/>
        </w:rPr>
      </w:pPr>
      <w:r w:rsidRPr="00B845AF">
        <w:rPr>
          <w:rFonts w:asciiTheme="minorHAnsi" w:hAnsiTheme="minorHAnsi" w:cstheme="minorHAnsi"/>
          <w:lang w:val="en-US"/>
        </w:rPr>
        <w:t xml:space="preserve">The SSP presented on </w:t>
      </w:r>
      <w:hyperlink r:id="rId40" w:history="1">
        <w:r w:rsidRPr="00B845AF">
          <w:rPr>
            <w:rStyle w:val="Hyperlink"/>
            <w:rFonts w:asciiTheme="minorHAnsi" w:hAnsiTheme="minorHAnsi" w:cstheme="minorHAnsi"/>
            <w:lang w:val="en-US"/>
          </w:rPr>
          <w:t>WCPFC-SC22-2026-SA-WP05</w:t>
        </w:r>
      </w:hyperlink>
      <w:r w:rsidRPr="00B845AF">
        <w:rPr>
          <w:rFonts w:asciiTheme="minorHAnsi" w:hAnsiTheme="minorHAnsi" w:cstheme="minorHAnsi"/>
          <w:lang w:val="en-US"/>
        </w:rPr>
        <w:t>, updating the 2023 assessment with three additional years of data through the end of 2024 and retaining the five-region spatial structure with revised fisheries definitions.</w:t>
      </w:r>
    </w:p>
    <w:p w14:paraId="4F322C50" w14:textId="77777777" w:rsidR="005B2516" w:rsidRPr="00B845AF" w:rsidRDefault="005B2516" w:rsidP="005B2516">
      <w:pPr>
        <w:pStyle w:val="SCtext"/>
        <w:numPr>
          <w:ilvl w:val="0"/>
          <w:numId w:val="0"/>
        </w:numPr>
        <w:rPr>
          <w:rFonts w:asciiTheme="minorHAnsi" w:hAnsiTheme="minorHAnsi" w:cstheme="minorHAnsi"/>
          <w:lang w:val="en-US"/>
        </w:rPr>
      </w:pPr>
    </w:p>
    <w:p w14:paraId="01BEDEB2" w14:textId="618E3EB0" w:rsidR="00294F66" w:rsidRPr="00B845AF" w:rsidRDefault="005B2516" w:rsidP="005B251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lastRenderedPageBreak/>
        <w:t xml:space="preserve"> The assessment incorporated several methodological developments in response to SC19, the yellowfin peer review, and the 2026 Pre-assessment Workshop, including separate regional sdmTMB CPUE analyses, external natural mortality scale assumptions, increased conventional tag data, expanded CAAL data, and an uncertainty ensemble approach in place of the previous orthogonal grid. Across the 48-model uncertainty ensemble, median SBrecent/SBF=0 was estimated at 0.44, with no models falling below the limit reference point of 0.20, and median Frecent/FMSY was 0.70, with no models indicating overfishing; the stock was therefore assessed as not overfished and not subject to overfishing, consistent with the 2023 assessment. Natural mortality scale, tag reporting rate adjustment assumptions, and the tag mixing period assumption were identified as the most influential sources of uncertainty in depletion estimates. The paper recommended further examination of data conflict, evaluation of alternative regional structures including single-region models, exploration of fixing versus estimating the L1 von Bertalanffy growth parameter, a dedicated workshop on tag modeling options, and continued work with Indonesia through the WPEA project to adjust historical large fish handline catch data.</w:t>
      </w:r>
    </w:p>
    <w:p w14:paraId="724D6D25" w14:textId="1F610A32" w:rsidR="00081D54" w:rsidRPr="00B845AF" w:rsidRDefault="00081D54" w:rsidP="00081D54">
      <w:pPr>
        <w:pStyle w:val="SCtext"/>
        <w:numPr>
          <w:ilvl w:val="0"/>
          <w:numId w:val="0"/>
        </w:numPr>
        <w:rPr>
          <w:rFonts w:asciiTheme="minorHAnsi" w:hAnsiTheme="minorHAnsi" w:cstheme="minorHAnsi"/>
          <w:lang w:val="en-US"/>
        </w:rPr>
      </w:pPr>
    </w:p>
    <w:p w14:paraId="68D0ED6A" w14:textId="1651438F" w:rsidR="00081D54" w:rsidRPr="00B845AF" w:rsidRDefault="00081D54" w:rsidP="00081D54">
      <w:pPr>
        <w:pStyle w:val="SCDR"/>
        <w:rPr>
          <w:rFonts w:asciiTheme="minorHAnsi" w:hAnsiTheme="minorHAnsi" w:cstheme="minorHAnsi"/>
        </w:rPr>
      </w:pPr>
      <w:r w:rsidRPr="00B845AF">
        <w:rPr>
          <w:rFonts w:asciiTheme="minorHAnsi" w:hAnsiTheme="minorHAnsi" w:cstheme="minorHAnsi"/>
        </w:rPr>
        <w:t>Discussion</w:t>
      </w:r>
    </w:p>
    <w:p w14:paraId="37FF1FA3" w14:textId="14FF5271" w:rsidR="00081D54" w:rsidRPr="00B845AF" w:rsidRDefault="00FB69D7">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USA thanked the assessment team for a comprehensive and transparent yellowfin assessment and welcomed the stepwise dashboard showing data fits and estimates for each model. The USA stated that its concerns largely mirrored those raised for bigeye tuna, including concerns with MULTIFAN-CL’s treatment of tagging data, and reiterated its principal recommendation to further develop </w:t>
      </w:r>
      <w:r w:rsidR="00A46E81" w:rsidRPr="00B845AF">
        <w:rPr>
          <w:rFonts w:asciiTheme="minorHAnsi" w:eastAsia="MS Mincho" w:hAnsiTheme="minorHAnsi" w:cstheme="minorHAnsi"/>
          <w:lang w:val="en-US" w:eastAsia="ja-JP"/>
        </w:rPr>
        <w:t>spatially implicit</w:t>
      </w:r>
      <w:r w:rsidRPr="00B845AF">
        <w:rPr>
          <w:rFonts w:asciiTheme="minorHAnsi" w:eastAsia="MS Mincho" w:hAnsiTheme="minorHAnsi" w:cstheme="minorHAnsi"/>
          <w:lang w:val="en-US" w:eastAsia="ja-JP"/>
        </w:rPr>
        <w:t xml:space="preserve"> fleets-areas models for yellowfin, converting composition data to age using spatial age-length keys, following the analysis in SA-IP11. The USA also recommended further consideration of an equatorial-only model as a strategic simplification, citing the historical spatial distribution of catch and CPUE and the relatively low magnitude of catches in the two temperate regions. The USA noted poor fits to size composition data and stated that the age-structured production model catch-conditioned analysis and likelihood profiles together indicated conflict between the size composition data and the CPUE index, with the composition data appearing to pull the biomass scale higher. The USA stated that a simpler spatial structure would allow analysts to add complexity where needed, such as time-varying selectivity, which could improve fits to composition data, address retrospective patterning, and reduce the influence of composition data on population scale estimates, thereby easing the conflict with the CPUE index. The USA noted that the model remained poorly determined across many runs.</w:t>
      </w:r>
    </w:p>
    <w:p w14:paraId="156374E1" w14:textId="77777777" w:rsidR="00FB69D7" w:rsidRPr="00B845AF" w:rsidRDefault="00FB69D7" w:rsidP="00FB69D7">
      <w:pPr>
        <w:pStyle w:val="SCtext"/>
        <w:numPr>
          <w:ilvl w:val="0"/>
          <w:numId w:val="0"/>
        </w:numPr>
        <w:rPr>
          <w:rFonts w:asciiTheme="minorHAnsi" w:hAnsiTheme="minorHAnsi" w:cstheme="minorHAnsi"/>
          <w:lang w:val="en-US"/>
        </w:rPr>
      </w:pPr>
    </w:p>
    <w:p w14:paraId="256A3677" w14:textId="736F2D43" w:rsidR="00FB69D7" w:rsidRPr="00B845AF" w:rsidRDefault="00FB69D7">
      <w:pPr>
        <w:pStyle w:val="SCtext"/>
        <w:rPr>
          <w:rFonts w:asciiTheme="minorHAnsi" w:hAnsiTheme="minorHAnsi" w:cstheme="minorHAnsi"/>
          <w:lang w:val="en-US"/>
        </w:rPr>
      </w:pPr>
      <w:r w:rsidRPr="00B845AF">
        <w:rPr>
          <w:rFonts w:asciiTheme="minorHAnsi" w:hAnsiTheme="minorHAnsi" w:cstheme="minorHAnsi"/>
          <w:lang w:val="en-US"/>
        </w:rPr>
        <w:t xml:space="preserve">Japan thanked the SSP for its consideration of </w:t>
      </w:r>
      <w:proofErr w:type="gramStart"/>
      <w:r w:rsidRPr="00B845AF">
        <w:rPr>
          <w:rFonts w:asciiTheme="minorHAnsi" w:hAnsiTheme="minorHAnsi" w:cstheme="minorHAnsi"/>
          <w:lang w:val="en-US"/>
        </w:rPr>
        <w:t>a large number of</w:t>
      </w:r>
      <w:proofErr w:type="gramEnd"/>
      <w:r w:rsidRPr="00B845AF">
        <w:rPr>
          <w:rFonts w:asciiTheme="minorHAnsi" w:hAnsiTheme="minorHAnsi" w:cstheme="minorHAnsi"/>
          <w:lang w:val="en-US"/>
        </w:rPr>
        <w:t xml:space="preserve"> models, as with the bigeye assessment, and stated that this assessment appeared to face a difficult situation with respect to model convergence, recommending that the SSP continue to work on these issues. Japan raised two suggestions for future analysis. First, on construction of the model grid, Japan noted that 48 of 120 candidate models met the convergence criteria, and that more models failed than converged, raising the possibility that convergence was being achieved only for a particular combination of assumptions; Japan suggested the SSP develop a more stable diagnostic model before constructing the model grid, and recommended that future analyses show which combinations of model assumptions failed to converge, to help identify the source of instability. Second, Japan raised concerns about the fit to conditional age-length data, noting that the estimated L∞ had decreased into the 130 cm range, substantially lower than the external estimate of approximately 150 cm, suggesting the model may not adequately represent the growth characteristics of the population. Japan noted that, based on the stepwise analysis, the addition of new otolith data did not appear to be the main driver of the change in estimated growth parameters, and suspected the cause was more likely related to model structure than to the new data itself. Japan suggested checking whether size composition and otolith data were distributed differently between </w:t>
      </w:r>
      <w:r w:rsidRPr="00B845AF">
        <w:rPr>
          <w:rFonts w:asciiTheme="minorHAnsi" w:hAnsiTheme="minorHAnsi" w:cstheme="minorHAnsi"/>
          <w:lang w:val="en-US"/>
        </w:rPr>
        <w:lastRenderedPageBreak/>
        <w:t>tropical and temperate regions and, if necessary, considering a more appropriate data allocation or weighting.</w:t>
      </w:r>
    </w:p>
    <w:p w14:paraId="0B284F2A" w14:textId="77777777" w:rsidR="00DD6DD4" w:rsidRPr="00B845AF" w:rsidRDefault="00DD6DD4" w:rsidP="00DD6DD4">
      <w:pPr>
        <w:pStyle w:val="SCtext"/>
        <w:numPr>
          <w:ilvl w:val="0"/>
          <w:numId w:val="0"/>
        </w:numPr>
        <w:rPr>
          <w:rFonts w:asciiTheme="minorHAnsi" w:hAnsiTheme="minorHAnsi" w:cstheme="minorHAnsi"/>
          <w:lang w:val="en-US"/>
        </w:rPr>
      </w:pPr>
    </w:p>
    <w:p w14:paraId="77E3A649" w14:textId="67BF955F" w:rsidR="00DD6DD4" w:rsidRPr="00B845AF" w:rsidRDefault="00DD6DD4">
      <w:pPr>
        <w:pStyle w:val="SCtext"/>
        <w:rPr>
          <w:rFonts w:asciiTheme="minorHAnsi" w:hAnsiTheme="minorHAnsi" w:cstheme="minorHAnsi"/>
          <w:lang w:val="en-US"/>
        </w:rPr>
      </w:pPr>
      <w:r w:rsidRPr="00B845AF">
        <w:rPr>
          <w:rFonts w:asciiTheme="minorHAnsi" w:hAnsiTheme="minorHAnsi" w:cstheme="minorHAnsi"/>
          <w:lang w:val="en-US"/>
        </w:rPr>
        <w:t xml:space="preserve">New Zealand thanked the SSP for its work on the 2026 yellowfin assessment, describing it as substantial work delivered under time pressure and largely in response to the 2023 peer review and SC19 comments. New Zealand acknowledged the diagnostic work and stepwise presentation, stating that visibility into where and by how much the model changed had allowed it to frame useful questions, and requested that diagnostic model inputs and output files be made available, as was done for bigeye. New Zealand noted it had posted further questions on the ODF and stated that many of its themes echoed its bigeye comments, requesting responses via the ODF for four points specific to yellowfin: what drives the direction of the tau effect at step 16 and how growth and mortality-at-age interact through the </w:t>
      </w:r>
      <w:r w:rsidR="00E16581" w:rsidRPr="00B845AF">
        <w:rPr>
          <w:rFonts w:asciiTheme="minorHAnsi" w:hAnsiTheme="minorHAnsi" w:cstheme="minorHAnsi"/>
          <w:lang w:val="en-US"/>
        </w:rPr>
        <w:t xml:space="preserve">Lorenzen </w:t>
      </w:r>
      <w:r w:rsidRPr="00B845AF">
        <w:rPr>
          <w:rFonts w:asciiTheme="minorHAnsi" w:hAnsiTheme="minorHAnsi" w:cstheme="minorHAnsi"/>
          <w:lang w:val="en-US"/>
        </w:rPr>
        <w:t xml:space="preserve">curve; how the retrospective pattern should be interpreted given that it appeared to extend across the full time series rather than the terminal years alone; how reporting rates at the boundary constrain model scale and how this might affect sensitivity analyses; and how well determined the spatial elements of the model are. </w:t>
      </w:r>
      <w:r w:rsidR="00D273B0" w:rsidRPr="00B845AF">
        <w:rPr>
          <w:rFonts w:asciiTheme="minorHAnsi" w:hAnsiTheme="minorHAnsi" w:cstheme="minorHAnsi"/>
          <w:lang w:val="en-US"/>
        </w:rPr>
        <w:t>New Zealand supported the Section 8.2 future work recommendations, particularly the proposed tag modelling workshop, and reiterated the importance of model simplification as both a scientific and resourcing priority.</w:t>
      </w:r>
    </w:p>
    <w:p w14:paraId="764493C2" w14:textId="77777777" w:rsidR="00DD6DD4" w:rsidRPr="00B845AF" w:rsidRDefault="00DD6DD4" w:rsidP="00DD6DD4">
      <w:pPr>
        <w:pStyle w:val="SCtext"/>
        <w:numPr>
          <w:ilvl w:val="0"/>
          <w:numId w:val="0"/>
        </w:numPr>
        <w:rPr>
          <w:rFonts w:asciiTheme="minorHAnsi" w:hAnsiTheme="minorHAnsi" w:cstheme="minorHAnsi"/>
          <w:lang w:val="en-US"/>
        </w:rPr>
      </w:pPr>
    </w:p>
    <w:p w14:paraId="5D92B871" w14:textId="61815400" w:rsidR="00DD6DD4" w:rsidRPr="00B845AF" w:rsidRDefault="00DD6DD4">
      <w:pPr>
        <w:pStyle w:val="SCtext"/>
        <w:rPr>
          <w:rFonts w:asciiTheme="minorHAnsi" w:hAnsiTheme="minorHAnsi" w:cstheme="minorHAnsi"/>
          <w:lang w:val="en-US"/>
        </w:rPr>
      </w:pPr>
      <w:r w:rsidRPr="00B845AF">
        <w:rPr>
          <w:rFonts w:asciiTheme="minorHAnsi" w:hAnsiTheme="minorHAnsi" w:cstheme="minorHAnsi"/>
          <w:lang w:val="en-US"/>
        </w:rPr>
        <w:t>Samoa, on behalf of the FFA members, recognized the substantial work undertaken by the SSP since SC19 to respond to priority areas identified for the yellowfin assessment and appreciated the SSP</w:t>
      </w:r>
      <w:r w:rsidR="00FB1C82" w:rsidRPr="00B845AF">
        <w:rPr>
          <w:rFonts w:asciiTheme="minorHAnsi" w:hAnsiTheme="minorHAnsi" w:cstheme="minorHAnsi"/>
          <w:lang w:val="en-US"/>
        </w:rPr>
        <w:t>’</w:t>
      </w:r>
      <w:r w:rsidRPr="00B845AF">
        <w:rPr>
          <w:rFonts w:asciiTheme="minorHAnsi" w:hAnsiTheme="minorHAnsi" w:cstheme="minorHAnsi"/>
          <w:lang w:val="en-US"/>
        </w:rPr>
        <w:t>s effort to incorporate late-emerging issues into the assessment presented at SC22. The FFA members noted that these late-emerging issues had contributed to delays in the assessment</w:t>
      </w:r>
      <w:r w:rsidR="00FB1C82" w:rsidRPr="00B845AF">
        <w:rPr>
          <w:rFonts w:asciiTheme="minorHAnsi" w:hAnsiTheme="minorHAnsi" w:cstheme="minorHAnsi"/>
          <w:lang w:val="en-US"/>
        </w:rPr>
        <w:t>’</w:t>
      </w:r>
      <w:r w:rsidRPr="00B845AF">
        <w:rPr>
          <w:rFonts w:asciiTheme="minorHAnsi" w:hAnsiTheme="minorHAnsi" w:cstheme="minorHAnsi"/>
          <w:lang w:val="en-US"/>
        </w:rPr>
        <w:t>s availability, limiting members</w:t>
      </w:r>
      <w:r w:rsidR="00FB1C82" w:rsidRPr="00B845AF">
        <w:rPr>
          <w:rFonts w:asciiTheme="minorHAnsi" w:hAnsiTheme="minorHAnsi" w:cstheme="minorHAnsi"/>
          <w:lang w:val="en-US"/>
        </w:rPr>
        <w:t>’</w:t>
      </w:r>
      <w:r w:rsidRPr="00B845AF">
        <w:rPr>
          <w:rFonts w:asciiTheme="minorHAnsi" w:hAnsiTheme="minorHAnsi" w:cstheme="minorHAnsi"/>
          <w:lang w:val="en-US"/>
        </w:rPr>
        <w:t xml:space="preserve"> opportunities to review it carefully, and stated that it was important for SC22 to have sufficient time to meaningfully engage with the assessment and its technical uncertainties. Given the limited time available at SC22, the FFA members supported deferring consideration of the assessment to SC23.</w:t>
      </w:r>
    </w:p>
    <w:p w14:paraId="39806C60" w14:textId="77777777" w:rsidR="00FB1C82" w:rsidRPr="00B845AF" w:rsidRDefault="00FB1C82" w:rsidP="00FB1C82">
      <w:pPr>
        <w:pStyle w:val="SCtext"/>
        <w:numPr>
          <w:ilvl w:val="0"/>
          <w:numId w:val="0"/>
        </w:numPr>
        <w:rPr>
          <w:rFonts w:asciiTheme="minorHAnsi" w:hAnsiTheme="minorHAnsi" w:cstheme="minorHAnsi"/>
          <w:lang w:val="en-US"/>
        </w:rPr>
      </w:pPr>
    </w:p>
    <w:p w14:paraId="429B7918" w14:textId="31F963DE" w:rsidR="00FB1C82" w:rsidRPr="00B845AF" w:rsidRDefault="00FB1C82">
      <w:pPr>
        <w:pStyle w:val="SCtext"/>
        <w:rPr>
          <w:rFonts w:asciiTheme="minorHAnsi" w:hAnsiTheme="minorHAnsi" w:cstheme="minorHAnsi"/>
          <w:lang w:val="en-US"/>
        </w:rPr>
      </w:pPr>
      <w:r w:rsidRPr="00B845AF">
        <w:rPr>
          <w:rFonts w:asciiTheme="minorHAnsi" w:hAnsiTheme="minorHAnsi" w:cstheme="minorHAnsi"/>
          <w:lang w:val="en-US"/>
        </w:rPr>
        <w:t>The SSP noted that clarity would be welcomed on exactly what is expected for 2027, stating that if substantial further work on the yellowfin assessment is expected between now and then, understanding what is being asked would help inform related decisions, including on the status of the bigeye stock assessment and implications for South Pacific albacore.</w:t>
      </w:r>
    </w:p>
    <w:p w14:paraId="0B97FAB8" w14:textId="0B5CE8D6" w:rsidR="0089624A" w:rsidRPr="00B845AF" w:rsidRDefault="0089624A" w:rsidP="008F5C1D">
      <w:pPr>
        <w:pStyle w:val="SCtext"/>
        <w:numPr>
          <w:ilvl w:val="0"/>
          <w:numId w:val="0"/>
        </w:numPr>
        <w:rPr>
          <w:rFonts w:asciiTheme="minorHAnsi" w:hAnsiTheme="minorHAnsi" w:cstheme="minorHAnsi"/>
          <w:lang w:val="en-US"/>
        </w:rPr>
      </w:pPr>
    </w:p>
    <w:p w14:paraId="508F143F" w14:textId="74924291" w:rsidR="00754AA6" w:rsidRPr="00B845AF" w:rsidRDefault="0089624A" w:rsidP="00F62BD4">
      <w:pPr>
        <w:pStyle w:val="SCDR"/>
        <w:adjustRightInd w:val="0"/>
        <w:snapToGrid w:val="0"/>
        <w:spacing w:after="240"/>
        <w:rPr>
          <w:rFonts w:asciiTheme="minorHAnsi" w:hAnsiTheme="minorHAnsi" w:cstheme="minorHAnsi"/>
          <w:lang w:eastAsia="ko-KR"/>
        </w:rPr>
      </w:pPr>
      <w:r w:rsidRPr="00B845AF">
        <w:rPr>
          <w:rFonts w:asciiTheme="minorHAnsi" w:hAnsiTheme="minorHAnsi" w:cstheme="minorHAnsi"/>
          <w:lang w:eastAsia="ko-KR"/>
        </w:rPr>
        <w:t>Outcomes</w:t>
      </w:r>
    </w:p>
    <w:p w14:paraId="78EF0D5B" w14:textId="77777777" w:rsidR="006564E7" w:rsidRPr="00B845AF" w:rsidRDefault="006564E7">
      <w:pPr>
        <w:pStyle w:val="SCtext"/>
        <w:rPr>
          <w:rFonts w:asciiTheme="minorHAnsi" w:hAnsiTheme="minorHAnsi" w:cstheme="minorHAnsi"/>
          <w:b/>
          <w:bCs/>
          <w:lang w:val="en-US"/>
        </w:rPr>
      </w:pPr>
      <w:r w:rsidRPr="00B845AF">
        <w:rPr>
          <w:rFonts w:asciiTheme="minorHAnsi" w:hAnsiTheme="minorHAnsi" w:cstheme="minorHAnsi"/>
          <w:b/>
          <w:bCs/>
          <w:lang w:val="en-US"/>
        </w:rPr>
        <w:t xml:space="preserve">Due to the late submission of the yellowfin tuna stock assessment to SC22, SC22 agreed to defer adoption of the yellowfin tuna assessment until SC23. SC22 provided some suggestions for further analysis by the SSP </w:t>
      </w:r>
      <w:proofErr w:type="gramStart"/>
      <w:r w:rsidRPr="00B845AF">
        <w:rPr>
          <w:rFonts w:asciiTheme="minorHAnsi" w:hAnsiTheme="minorHAnsi" w:cstheme="minorHAnsi"/>
          <w:b/>
          <w:bCs/>
          <w:lang w:val="en-US"/>
        </w:rPr>
        <w:t>in order to</w:t>
      </w:r>
      <w:proofErr w:type="gramEnd"/>
      <w:r w:rsidRPr="00B845AF">
        <w:rPr>
          <w:rFonts w:asciiTheme="minorHAnsi" w:hAnsiTheme="minorHAnsi" w:cstheme="minorHAnsi"/>
          <w:b/>
          <w:bCs/>
          <w:lang w:val="en-US"/>
        </w:rPr>
        <w:t xml:space="preserve"> address concerns from some CCMs about the model to be presented at SC23. SC22 recommended these suggestions be discussed at the 2027 Pre-Assessment Workshop and be prioritized based upon the SSPs capacity and feedback from participants. These suggestions </w:t>
      </w:r>
      <w:proofErr w:type="gramStart"/>
      <w:r w:rsidRPr="00B845AF">
        <w:rPr>
          <w:rFonts w:asciiTheme="minorHAnsi" w:hAnsiTheme="minorHAnsi" w:cstheme="minorHAnsi"/>
          <w:b/>
          <w:bCs/>
          <w:lang w:val="en-US"/>
        </w:rPr>
        <w:t>included</w:t>
      </w:r>
      <w:proofErr w:type="gramEnd"/>
      <w:r w:rsidRPr="00B845AF">
        <w:rPr>
          <w:rFonts w:asciiTheme="minorHAnsi" w:hAnsiTheme="minorHAnsi" w:cstheme="minorHAnsi"/>
          <w:b/>
          <w:bCs/>
          <w:lang w:val="en-US"/>
        </w:rPr>
        <w:t>:</w:t>
      </w:r>
    </w:p>
    <w:p w14:paraId="51769EE2" w14:textId="77777777" w:rsidR="00103EE5" w:rsidRPr="00B845AF" w:rsidRDefault="00103EE5" w:rsidP="00D47778">
      <w:pPr>
        <w:pStyle w:val="SCtext"/>
        <w:numPr>
          <w:ilvl w:val="0"/>
          <w:numId w:val="27"/>
        </w:numPr>
        <w:rPr>
          <w:rFonts w:asciiTheme="minorHAnsi" w:hAnsiTheme="minorHAnsi" w:cstheme="minorHAnsi"/>
          <w:b/>
          <w:bCs/>
          <w:lang w:val="en-US"/>
        </w:rPr>
      </w:pPr>
      <w:r w:rsidRPr="00B845AF">
        <w:rPr>
          <w:rFonts w:asciiTheme="minorHAnsi" w:hAnsiTheme="minorHAnsi" w:cstheme="minorHAnsi"/>
          <w:b/>
          <w:bCs/>
          <w:lang w:val="en-US"/>
        </w:rPr>
        <w:t xml:space="preserve">Evaluating if the current spatial structure is appropriate by: </w:t>
      </w:r>
    </w:p>
    <w:p w14:paraId="4EBA3146"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further developing a spatially implicit, fleets-as-area model for yellowfin with the composition data converted to age using spatial age-length keys (following SA-IP-11);</w:t>
      </w:r>
    </w:p>
    <w:p w14:paraId="580116DB"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 xml:space="preserve">exploring an equatorial-only model as a potential sensitivity run; </w:t>
      </w:r>
    </w:p>
    <w:p w14:paraId="3CD6B3E3"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evaluating if the current spatial structure is influencing the growth estimates;</w:t>
      </w:r>
    </w:p>
    <w:p w14:paraId="11EC8B3B" w14:textId="77777777" w:rsidR="00DE1899" w:rsidRPr="00B845AF" w:rsidRDefault="00DE1899" w:rsidP="00DE1899">
      <w:pPr>
        <w:pStyle w:val="SCtext"/>
        <w:numPr>
          <w:ilvl w:val="0"/>
          <w:numId w:val="0"/>
        </w:numPr>
        <w:rPr>
          <w:rFonts w:asciiTheme="minorHAnsi" w:hAnsiTheme="minorHAnsi" w:cstheme="minorHAnsi"/>
          <w:b/>
          <w:highlight w:val="yellow"/>
          <w:lang w:val="en-US"/>
        </w:rPr>
      </w:pPr>
    </w:p>
    <w:p w14:paraId="13BFEDA0" w14:textId="29747A29" w:rsidR="00103EE5" w:rsidRPr="00B845AF" w:rsidRDefault="00103EE5" w:rsidP="51FED33F">
      <w:pPr>
        <w:pStyle w:val="SCtext"/>
        <w:rPr>
          <w:rFonts w:asciiTheme="minorHAnsi" w:hAnsiTheme="minorHAnsi" w:cstheme="minorHAnsi"/>
          <w:b/>
          <w:lang w:val="en-US"/>
        </w:rPr>
      </w:pPr>
      <w:r w:rsidRPr="00B845AF">
        <w:rPr>
          <w:rFonts w:asciiTheme="minorHAnsi" w:hAnsiTheme="minorHAnsi" w:cstheme="minorHAnsi"/>
          <w:b/>
          <w:bCs/>
          <w:lang w:val="en-US"/>
        </w:rPr>
        <w:t>Develop analytical methods th</w:t>
      </w:r>
      <w:r w:rsidRPr="00B845AF">
        <w:rPr>
          <w:rFonts w:asciiTheme="minorHAnsi" w:hAnsiTheme="minorHAnsi" w:cstheme="minorHAnsi"/>
          <w:b/>
          <w:lang w:val="en-US"/>
        </w:rPr>
        <w:t xml:space="preserve">at use only </w:t>
      </w:r>
      <w:r w:rsidR="75BA3EC0" w:rsidRPr="00B845AF">
        <w:rPr>
          <w:rFonts w:asciiTheme="minorHAnsi" w:hAnsiTheme="minorHAnsi" w:cstheme="minorHAnsi"/>
          <w:b/>
          <w:bCs/>
          <w:lang w:val="en-US"/>
        </w:rPr>
        <w:t>non-t</w:t>
      </w:r>
      <w:r w:rsidRPr="00B845AF">
        <w:rPr>
          <w:rFonts w:asciiTheme="minorHAnsi" w:hAnsiTheme="minorHAnsi" w:cstheme="minorHAnsi"/>
          <w:b/>
          <w:lang w:val="en-US"/>
        </w:rPr>
        <w:t>ag data to construct and estimate models, such as ASPM and catch-curve analyses</w:t>
      </w:r>
      <w:r w:rsidR="00DE1899" w:rsidRPr="00B845AF">
        <w:rPr>
          <w:rFonts w:asciiTheme="minorHAnsi" w:hAnsiTheme="minorHAnsi" w:cstheme="minorHAnsi"/>
          <w:b/>
          <w:lang w:val="en-US"/>
        </w:rPr>
        <w:t>.</w:t>
      </w:r>
    </w:p>
    <w:p w14:paraId="450BC4A7" w14:textId="103389D0" w:rsidR="00103EE5" w:rsidRPr="00B845AF" w:rsidRDefault="00DE1899" w:rsidP="00D47778">
      <w:pPr>
        <w:pStyle w:val="SCtext"/>
        <w:numPr>
          <w:ilvl w:val="0"/>
          <w:numId w:val="27"/>
        </w:numPr>
        <w:rPr>
          <w:rFonts w:asciiTheme="minorHAnsi" w:hAnsiTheme="minorHAnsi" w:cstheme="minorHAnsi"/>
          <w:b/>
          <w:bCs/>
          <w:lang w:val="en-US"/>
        </w:rPr>
      </w:pPr>
      <w:r w:rsidRPr="00B845AF">
        <w:rPr>
          <w:rFonts w:asciiTheme="minorHAnsi" w:hAnsiTheme="minorHAnsi" w:cstheme="minorHAnsi"/>
          <w:b/>
          <w:bCs/>
          <w:lang w:val="en-US"/>
        </w:rPr>
        <w:t>P</w:t>
      </w:r>
      <w:r w:rsidR="00103EE5" w:rsidRPr="00B845AF">
        <w:rPr>
          <w:rFonts w:asciiTheme="minorHAnsi" w:hAnsiTheme="minorHAnsi" w:cstheme="minorHAnsi"/>
          <w:b/>
          <w:bCs/>
          <w:lang w:val="en-US"/>
        </w:rPr>
        <w:t>rovide additional information on:</w:t>
      </w:r>
    </w:p>
    <w:p w14:paraId="6F8416FA"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 xml:space="preserve"> how parameters such as tau and natural mortality affect the model results;</w:t>
      </w:r>
    </w:p>
    <w:p w14:paraId="39726CA2"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lastRenderedPageBreak/>
        <w:t xml:space="preserve">How treatment of reporting rates during the pre-mixing period </w:t>
      </w:r>
      <w:proofErr w:type="gramStart"/>
      <w:r w:rsidRPr="00B845AF">
        <w:rPr>
          <w:rFonts w:asciiTheme="minorHAnsi" w:hAnsiTheme="minorHAnsi" w:cstheme="minorHAnsi"/>
          <w:b/>
          <w:bCs/>
          <w:lang w:val="en-US"/>
        </w:rPr>
        <w:t>affect</w:t>
      </w:r>
      <w:proofErr w:type="gramEnd"/>
      <w:r w:rsidRPr="00B845AF">
        <w:rPr>
          <w:rFonts w:asciiTheme="minorHAnsi" w:hAnsiTheme="minorHAnsi" w:cstheme="minorHAnsi"/>
          <w:b/>
          <w:bCs/>
          <w:lang w:val="en-US"/>
        </w:rPr>
        <w:t xml:space="preserve"> model results;</w:t>
      </w:r>
    </w:p>
    <w:p w14:paraId="75BE4768"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what might be driving the retrospective pattern in the diagnostic model;</w:t>
      </w:r>
    </w:p>
    <w:p w14:paraId="1FC668B4" w14:textId="77777777"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how parameter constraints impact population scaling;</w:t>
      </w:r>
    </w:p>
    <w:p w14:paraId="19AB880D" w14:textId="62854B2D" w:rsidR="00103EE5" w:rsidRPr="00B845AF" w:rsidRDefault="00103EE5" w:rsidP="00D47778">
      <w:pPr>
        <w:pStyle w:val="SCtext"/>
        <w:numPr>
          <w:ilvl w:val="1"/>
          <w:numId w:val="27"/>
        </w:numPr>
        <w:rPr>
          <w:rFonts w:asciiTheme="minorHAnsi" w:hAnsiTheme="minorHAnsi" w:cstheme="minorHAnsi"/>
          <w:b/>
          <w:bCs/>
          <w:lang w:val="en-US"/>
        </w:rPr>
      </w:pPr>
      <w:r w:rsidRPr="00B845AF">
        <w:rPr>
          <w:rFonts w:asciiTheme="minorHAnsi" w:hAnsiTheme="minorHAnsi" w:cstheme="minorHAnsi"/>
          <w:b/>
          <w:bCs/>
          <w:lang w:val="en-US"/>
        </w:rPr>
        <w:t>When constructing the uncertainty grid, if more than half of the candidate grid combinations fail to converge, check whether there is any bias in the parameter combinations for which the models converge;</w:t>
      </w:r>
    </w:p>
    <w:p w14:paraId="648F1936" w14:textId="1004521A" w:rsidR="00103EE5" w:rsidRPr="00B845AF" w:rsidRDefault="00103EE5" w:rsidP="00D47778">
      <w:pPr>
        <w:pStyle w:val="SCtext"/>
        <w:numPr>
          <w:ilvl w:val="0"/>
          <w:numId w:val="27"/>
        </w:numPr>
        <w:rPr>
          <w:rFonts w:asciiTheme="minorHAnsi" w:hAnsiTheme="minorHAnsi" w:cstheme="minorHAnsi"/>
          <w:b/>
          <w:bCs/>
          <w:lang w:val="en-US"/>
        </w:rPr>
      </w:pPr>
      <w:r w:rsidRPr="00B845AF">
        <w:rPr>
          <w:rFonts w:asciiTheme="minorHAnsi" w:hAnsiTheme="minorHAnsi" w:cstheme="minorHAnsi"/>
          <w:b/>
          <w:bCs/>
          <w:lang w:val="en-US"/>
        </w:rPr>
        <w:t>And consider how the recommendations for improvement in the bigeye tuna assessment discussion can be applied to the yellowfin tuna assessment.</w:t>
      </w:r>
    </w:p>
    <w:p w14:paraId="04A93C1F" w14:textId="77777777" w:rsidR="002E3818" w:rsidRPr="00B845AF" w:rsidRDefault="002E3818" w:rsidP="00F62BD4">
      <w:pPr>
        <w:pStyle w:val="SCtext"/>
        <w:numPr>
          <w:ilvl w:val="0"/>
          <w:numId w:val="0"/>
        </w:numPr>
        <w:rPr>
          <w:rFonts w:asciiTheme="minorHAnsi" w:hAnsiTheme="minorHAnsi" w:cstheme="minorHAnsi"/>
          <w:b/>
          <w:bCs/>
          <w:lang w:val="en-US"/>
        </w:rPr>
      </w:pPr>
    </w:p>
    <w:p w14:paraId="39CA66EC" w14:textId="73E61035" w:rsidR="004E0C3D" w:rsidRPr="00B845AF" w:rsidRDefault="00435286" w:rsidP="00F62BD4">
      <w:pPr>
        <w:adjustRightInd w:val="0"/>
        <w:snapToGrid w:val="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4.3.1.2</w:t>
      </w:r>
      <w:r w:rsidRPr="00B845AF">
        <w:rPr>
          <w:rFonts w:asciiTheme="minorHAnsi" w:eastAsiaTheme="minorEastAsia" w:hAnsiTheme="minorHAnsi" w:cstheme="minorHAnsi"/>
          <w:b/>
          <w:bCs/>
          <w:szCs w:val="22"/>
          <w:lang w:eastAsia="ko-KR"/>
        </w:rPr>
        <w:tab/>
      </w:r>
      <w:r w:rsidR="00FD6A96" w:rsidRPr="00B845AF">
        <w:rPr>
          <w:rFonts w:asciiTheme="minorHAnsi" w:eastAsiaTheme="minorEastAsia" w:hAnsiTheme="minorHAnsi" w:cstheme="minorHAnsi"/>
          <w:b/>
          <w:bCs/>
          <w:szCs w:val="22"/>
          <w:lang w:eastAsia="ko-KR"/>
        </w:rPr>
        <w:t>Provision of scientific information to the Commission</w:t>
      </w:r>
    </w:p>
    <w:p w14:paraId="0BA26903" w14:textId="5668F5FA" w:rsidR="001E0CF1" w:rsidRPr="00B845AF" w:rsidRDefault="004E0C3D" w:rsidP="00507048">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528C575A" w14:textId="68A3EDC8" w:rsidR="00F355B2" w:rsidRPr="00B845AF" w:rsidRDefault="00F355B2">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agreed to defer review of the yellowfin tuna assessment until </w:t>
      </w:r>
      <w:proofErr w:type="gramStart"/>
      <w:r w:rsidRPr="00B845AF">
        <w:rPr>
          <w:rFonts w:asciiTheme="minorHAnsi" w:hAnsiTheme="minorHAnsi" w:cstheme="minorHAnsi"/>
          <w:b/>
          <w:bCs/>
          <w:lang w:val="en-US"/>
        </w:rPr>
        <w:t>2027, and</w:t>
      </w:r>
      <w:proofErr w:type="gramEnd"/>
      <w:r w:rsidRPr="00B845AF">
        <w:rPr>
          <w:rFonts w:asciiTheme="minorHAnsi" w:hAnsiTheme="minorHAnsi" w:cstheme="minorHAnsi"/>
          <w:b/>
          <w:bCs/>
          <w:lang w:val="en-US"/>
        </w:rPr>
        <w:t xml:space="preserve"> will provide scientific information to the Commission on yellowfin tuna at SC23.</w:t>
      </w:r>
    </w:p>
    <w:p w14:paraId="4F8EAEA2" w14:textId="77777777" w:rsidR="001E0CF1" w:rsidRPr="00B845AF" w:rsidRDefault="001E0CF1" w:rsidP="001E0CF1">
      <w:pPr>
        <w:pStyle w:val="SCtext"/>
        <w:numPr>
          <w:ilvl w:val="0"/>
          <w:numId w:val="0"/>
        </w:numPr>
        <w:rPr>
          <w:rFonts w:asciiTheme="minorHAnsi" w:hAnsiTheme="minorHAnsi" w:cstheme="minorHAnsi"/>
          <w:lang w:val="en-US"/>
        </w:rPr>
      </w:pPr>
    </w:p>
    <w:p w14:paraId="2384AFC7" w14:textId="119CDC8E" w:rsidR="00D649E0" w:rsidRPr="00B845AF" w:rsidRDefault="008F5C1D">
      <w:pPr>
        <w:pStyle w:val="SC3"/>
        <w:rPr>
          <w:rFonts w:asciiTheme="minorHAnsi" w:hAnsiTheme="minorHAnsi" w:cstheme="minorHAnsi"/>
        </w:rPr>
      </w:pPr>
      <w:r w:rsidRPr="00B845AF">
        <w:rPr>
          <w:rFonts w:asciiTheme="minorHAnsi" w:hAnsiTheme="minorHAnsi" w:cstheme="minorHAnsi"/>
        </w:rPr>
        <w:t>WCPO bigeye tuna (</w:t>
      </w:r>
      <w:r w:rsidRPr="00B845AF">
        <w:rPr>
          <w:rFonts w:asciiTheme="minorHAnsi" w:hAnsiTheme="minorHAnsi" w:cstheme="minorHAnsi"/>
          <w:i/>
          <w:iCs/>
        </w:rPr>
        <w:t>Thunnus obesus</w:t>
      </w:r>
      <w:r w:rsidRPr="00B845AF">
        <w:rPr>
          <w:rFonts w:asciiTheme="minorHAnsi" w:hAnsiTheme="minorHAnsi" w:cstheme="minorHAnsi"/>
        </w:rPr>
        <w:t>)</w:t>
      </w:r>
      <w:r w:rsidR="00D649E0" w:rsidRPr="00B845AF">
        <w:rPr>
          <w:rFonts w:asciiTheme="minorHAnsi" w:hAnsiTheme="minorHAnsi" w:cstheme="minorHAnsi"/>
        </w:rPr>
        <w:t xml:space="preserve"> </w:t>
      </w:r>
    </w:p>
    <w:p w14:paraId="34582941" w14:textId="690C8EB8" w:rsidR="00D649E0" w:rsidRPr="00B845AF" w:rsidRDefault="006A1D1E" w:rsidP="006A1D1E">
      <w:pPr>
        <w:widowControl w:val="0"/>
        <w:kinsoku w:val="0"/>
        <w:overflowPunct w:val="0"/>
        <w:autoSpaceDE w:val="0"/>
        <w:autoSpaceDN w:val="0"/>
        <w:adjustRightInd w:val="0"/>
        <w:snapToGrid w:val="0"/>
        <w:jc w:val="both"/>
        <w:rPr>
          <w:rFonts w:asciiTheme="minorHAnsi" w:eastAsia="Batang" w:hAnsiTheme="minorHAnsi" w:cstheme="minorHAnsi"/>
          <w:b/>
          <w:bCs/>
          <w:szCs w:val="22"/>
          <w:lang w:eastAsia="ko-KR"/>
        </w:rPr>
      </w:pPr>
      <w:r w:rsidRPr="00B845AF">
        <w:rPr>
          <w:rFonts w:asciiTheme="minorHAnsi" w:eastAsia="Batang" w:hAnsiTheme="minorHAnsi" w:cstheme="minorHAnsi"/>
          <w:b/>
          <w:bCs/>
          <w:szCs w:val="22"/>
          <w:lang w:eastAsia="ko-KR"/>
        </w:rPr>
        <w:t>4.3.2.1</w:t>
      </w:r>
      <w:r w:rsidRPr="00B845AF">
        <w:rPr>
          <w:rFonts w:asciiTheme="minorHAnsi" w:eastAsia="Batang" w:hAnsiTheme="minorHAnsi" w:cstheme="minorHAnsi"/>
          <w:b/>
          <w:bCs/>
          <w:szCs w:val="22"/>
          <w:lang w:eastAsia="ko-KR"/>
        </w:rPr>
        <w:tab/>
      </w:r>
      <w:r w:rsidR="008F5C1D" w:rsidRPr="00B845AF">
        <w:rPr>
          <w:rFonts w:asciiTheme="minorHAnsi" w:eastAsia="Batang" w:hAnsiTheme="minorHAnsi" w:cstheme="minorHAnsi"/>
          <w:b/>
          <w:bCs/>
          <w:szCs w:val="22"/>
          <w:lang w:eastAsia="ko-KR"/>
        </w:rPr>
        <w:t>Research and information</w:t>
      </w:r>
      <w:r w:rsidR="00D649E0" w:rsidRPr="00B845AF">
        <w:rPr>
          <w:rFonts w:asciiTheme="minorHAnsi" w:eastAsia="Batang" w:hAnsiTheme="minorHAnsi" w:cstheme="minorHAnsi"/>
          <w:b/>
          <w:bCs/>
          <w:szCs w:val="22"/>
          <w:lang w:eastAsia="ko-KR"/>
        </w:rPr>
        <w:t xml:space="preserve"> </w:t>
      </w:r>
    </w:p>
    <w:p w14:paraId="353372CA" w14:textId="50E0DD7A" w:rsidR="00D649E0" w:rsidRPr="00B845AF" w:rsidRDefault="00D649E0" w:rsidP="00D649E0">
      <w:pPr>
        <w:widowControl w:val="0"/>
        <w:kinsoku w:val="0"/>
        <w:overflowPunct w:val="0"/>
        <w:autoSpaceDE w:val="0"/>
        <w:autoSpaceDN w:val="0"/>
        <w:adjustRightInd w:val="0"/>
        <w:snapToGrid w:val="0"/>
        <w:ind w:left="1440"/>
        <w:jc w:val="both"/>
        <w:rPr>
          <w:rFonts w:asciiTheme="minorHAnsi" w:eastAsia="Malgun Gothic" w:hAnsiTheme="minorHAnsi" w:cstheme="minorHAnsi"/>
          <w:szCs w:val="22"/>
          <w:lang w:eastAsia="ko-KR"/>
        </w:rPr>
      </w:pPr>
    </w:p>
    <w:p w14:paraId="5D9D8010" w14:textId="5041DD4E" w:rsidR="0038187C" w:rsidRPr="00B845AF" w:rsidRDefault="0038187C">
      <w:pPr>
        <w:pStyle w:val="SCtext"/>
        <w:rPr>
          <w:rFonts w:asciiTheme="minorHAnsi" w:hAnsiTheme="minorHAnsi" w:cstheme="minorHAnsi"/>
          <w:lang w:val="en-US"/>
        </w:rPr>
      </w:pPr>
      <w:r w:rsidRPr="00B845AF">
        <w:rPr>
          <w:rFonts w:asciiTheme="minorHAnsi" w:hAnsiTheme="minorHAnsi" w:cstheme="minorHAnsi"/>
          <w:lang w:val="en-US"/>
        </w:rPr>
        <w:t xml:space="preserve">The SA theme co-convener opened the item by flagging three challenges: delayed document submission, high technical complexity, and pressure from the MI linkage on the bigeye operating model. Comparing 2023 and 2026, the co-convener noted declining biomass indicators and increased fishing mortality, especially for bigeye. On documents, the yellowfin paper </w:t>
      </w:r>
      <w:r w:rsidR="00E93D42" w:rsidRPr="00B845AF">
        <w:rPr>
          <w:rFonts w:asciiTheme="minorHAnsi" w:hAnsiTheme="minorHAnsi" w:cstheme="minorHAnsi"/>
          <w:lang w:val="en-US"/>
        </w:rPr>
        <w:t>receives</w:t>
      </w:r>
      <w:r w:rsidRPr="00B845AF">
        <w:rPr>
          <w:rFonts w:asciiTheme="minorHAnsi" w:hAnsiTheme="minorHAnsi" w:cstheme="minorHAnsi"/>
          <w:lang w:val="en-US"/>
        </w:rPr>
        <w:t xml:space="preserve"> substantive discussion but no adopted stock status conclusions or management advice this session; for bigeye, whether conclusions would be adopted remained open. The co-convener said SA’s role is to deliver structured uncertainty to MI, not a single estimate, and that documenting unresolved issues is itself a required outcome. The co-convener proposed structuring the discussion as: focus on the most impactful technical </w:t>
      </w:r>
      <w:r w:rsidR="00E93D42" w:rsidRPr="00B845AF">
        <w:rPr>
          <w:rFonts w:asciiTheme="minorHAnsi" w:hAnsiTheme="minorHAnsi" w:cstheme="minorHAnsi"/>
          <w:lang w:val="en-US"/>
        </w:rPr>
        <w:t>changes and</w:t>
      </w:r>
      <w:r w:rsidRPr="00B845AF">
        <w:rPr>
          <w:rFonts w:asciiTheme="minorHAnsi" w:hAnsiTheme="minorHAnsi" w:cstheme="minorHAnsi"/>
          <w:lang w:val="en-US"/>
        </w:rPr>
        <w:t xml:space="preserve"> then make a collective decision on whether conclusions are ready for adoption and in what form. The co-convener closed by thanking the SSP for transparency efforts and acknowledging the CCMs whose data and expertise made the assessment possible. </w:t>
      </w:r>
    </w:p>
    <w:p w14:paraId="7DDF5C8F" w14:textId="77777777" w:rsidR="0038187C" w:rsidRPr="00B845AF" w:rsidRDefault="0038187C" w:rsidP="00D649E0">
      <w:pPr>
        <w:widowControl w:val="0"/>
        <w:kinsoku w:val="0"/>
        <w:overflowPunct w:val="0"/>
        <w:autoSpaceDE w:val="0"/>
        <w:autoSpaceDN w:val="0"/>
        <w:adjustRightInd w:val="0"/>
        <w:snapToGrid w:val="0"/>
        <w:ind w:left="1440"/>
        <w:jc w:val="both"/>
        <w:rPr>
          <w:rFonts w:asciiTheme="minorHAnsi" w:eastAsia="Malgun Gothic" w:hAnsiTheme="minorHAnsi" w:cstheme="minorHAnsi"/>
          <w:szCs w:val="22"/>
          <w:lang w:eastAsia="ko-KR"/>
        </w:rPr>
      </w:pPr>
    </w:p>
    <w:p w14:paraId="79106DAC" w14:textId="77777777" w:rsidR="003011E9" w:rsidRPr="00B845AF" w:rsidRDefault="003011E9">
      <w:pPr>
        <w:pStyle w:val="SCtext"/>
        <w:rPr>
          <w:rFonts w:asciiTheme="minorHAnsi" w:hAnsiTheme="minorHAnsi" w:cstheme="minorHAnsi"/>
          <w:lang w:val="en-US"/>
        </w:rPr>
      </w:pPr>
      <w:r w:rsidRPr="00B845AF">
        <w:rPr>
          <w:rFonts w:asciiTheme="minorHAnsi" w:hAnsiTheme="minorHAnsi" w:cstheme="minorHAnsi"/>
          <w:lang w:val="en-US"/>
        </w:rPr>
        <w:t xml:space="preserve">K. Kim (SPC-OFP) presented </w:t>
      </w:r>
      <w:hyperlink r:id="rId41" w:history="1">
        <w:r w:rsidRPr="00B845AF">
          <w:rPr>
            <w:rStyle w:val="Hyperlink"/>
            <w:rFonts w:asciiTheme="minorHAnsi" w:hAnsiTheme="minorHAnsi" w:cstheme="minorHAnsi"/>
            <w:lang w:val="en-US"/>
          </w:rPr>
          <w:t>WCPFC-SC22-2026-SA-WP-06_Rev01</w:t>
        </w:r>
      </w:hyperlink>
      <w:r w:rsidRPr="00B845AF">
        <w:rPr>
          <w:rFonts w:asciiTheme="minorHAnsi" w:hAnsiTheme="minorHAnsi" w:cstheme="minorHAnsi"/>
          <w:lang w:val="en-US"/>
        </w:rPr>
        <w:t xml:space="preserve">, the 2026 stock assessment for WCPO bigeye tuna. </w:t>
      </w:r>
    </w:p>
    <w:p w14:paraId="3B08545F" w14:textId="77777777" w:rsidR="003011E9" w:rsidRPr="00B845AF" w:rsidRDefault="003011E9" w:rsidP="003011E9">
      <w:pPr>
        <w:pStyle w:val="SCtext"/>
        <w:numPr>
          <w:ilvl w:val="0"/>
          <w:numId w:val="0"/>
        </w:numPr>
        <w:rPr>
          <w:rFonts w:asciiTheme="minorHAnsi" w:hAnsiTheme="minorHAnsi" w:cstheme="minorHAnsi"/>
          <w:lang w:val="en-US"/>
        </w:rPr>
      </w:pPr>
    </w:p>
    <w:p w14:paraId="24EE5E6E" w14:textId="64D1B6D6" w:rsidR="003011E9" w:rsidRPr="00B845AF" w:rsidRDefault="003011E9" w:rsidP="008662C9">
      <w:pPr>
        <w:pStyle w:val="SCtext"/>
        <w:numPr>
          <w:ilvl w:val="0"/>
          <w:numId w:val="0"/>
        </w:numPr>
        <w:spacing w:line="259" w:lineRule="auto"/>
        <w:ind w:left="720"/>
        <w:rPr>
          <w:rFonts w:asciiTheme="minorHAnsi" w:hAnsiTheme="minorHAnsi" w:cstheme="minorHAnsi"/>
          <w:lang w:val="en-US"/>
        </w:rPr>
      </w:pPr>
      <w:r w:rsidRPr="00B845AF">
        <w:rPr>
          <w:rFonts w:asciiTheme="minorHAnsi" w:hAnsiTheme="minorHAnsi" w:cstheme="minorHAnsi"/>
          <w:lang w:val="en-US"/>
        </w:rPr>
        <w:t xml:space="preserve">The presentation described a rebuilt model structure that reduced the number of regions from nine to five and fisheries from 41 to 33, incorporated three additional years of data through 2024, and improved the treatment of CPUE (regional indices </w:t>
      </w:r>
      <w:r w:rsidR="10FEAFFB" w:rsidRPr="00B845AF">
        <w:rPr>
          <w:rFonts w:asciiTheme="minorHAnsi" w:hAnsiTheme="minorHAnsi" w:cstheme="minorHAnsi"/>
          <w:lang w:val="en-US"/>
        </w:rPr>
        <w:t>for abundance</w:t>
      </w:r>
      <w:r w:rsidR="012C6BA6" w:rsidRPr="00B845AF">
        <w:rPr>
          <w:rFonts w:asciiTheme="minorHAnsi" w:hAnsiTheme="minorHAnsi" w:cstheme="minorHAnsi"/>
          <w:lang w:val="en-US"/>
        </w:rPr>
        <w:t xml:space="preserve"> with </w:t>
      </w:r>
      <w:r w:rsidR="08B704F6" w:rsidRPr="00B845AF">
        <w:rPr>
          <w:rFonts w:asciiTheme="minorHAnsi" w:hAnsiTheme="minorHAnsi" w:cstheme="minorHAnsi"/>
          <w:lang w:val="en-US"/>
        </w:rPr>
        <w:t xml:space="preserve">a </w:t>
      </w:r>
      <w:r w:rsidR="012C6BA6" w:rsidRPr="00B845AF">
        <w:rPr>
          <w:rFonts w:asciiTheme="minorHAnsi" w:hAnsiTheme="minorHAnsi" w:cstheme="minorHAnsi"/>
          <w:lang w:val="en-US"/>
        </w:rPr>
        <w:t xml:space="preserve">global </w:t>
      </w:r>
      <w:r w:rsidR="03EB5B04" w:rsidRPr="00B845AF">
        <w:rPr>
          <w:rFonts w:asciiTheme="minorHAnsi" w:hAnsiTheme="minorHAnsi" w:cstheme="minorHAnsi"/>
          <w:lang w:val="en-US"/>
        </w:rPr>
        <w:t>analyses used to inform regional</w:t>
      </w:r>
      <w:r w:rsidRPr="00B845AF">
        <w:rPr>
          <w:rFonts w:asciiTheme="minorHAnsi" w:hAnsiTheme="minorHAnsi" w:cstheme="minorHAnsi"/>
          <w:lang w:val="en-US"/>
        </w:rPr>
        <w:t xml:space="preserve"> scaling), size composition, age-at-length data, and tag-recapture information, including new Pacific Tuna Tagging Programme data and revised tag-mixing and reporting assumptions. The Diagnostic model showed recent depletion (SBrecent/SBF=0) at 17.39%, lower than the 2023 Diagnostic's 33.80%, though the presentation stressed this comparison was cumulative and could not be attributed to any single model change. Combining results across an 80-model uncertainty ensemble (retained from 100 planned combinations of six varied assumptions: steepness, natural mortality, </w:t>
      </w:r>
      <w:r w:rsidR="6220C519" w:rsidRPr="00B845AF">
        <w:rPr>
          <w:rFonts w:asciiTheme="minorHAnsi" w:hAnsiTheme="minorHAnsi" w:cstheme="minorHAnsi"/>
          <w:lang w:val="en-US"/>
        </w:rPr>
        <w:t xml:space="preserve">release group specific </w:t>
      </w:r>
      <w:r w:rsidRPr="00B845AF">
        <w:rPr>
          <w:rFonts w:asciiTheme="minorHAnsi" w:hAnsiTheme="minorHAnsi" w:cstheme="minorHAnsi"/>
          <w:lang w:val="en-US"/>
        </w:rPr>
        <w:t xml:space="preserve">tag mixing </w:t>
      </w:r>
      <w:r w:rsidR="3018248A" w:rsidRPr="00B845AF">
        <w:rPr>
          <w:rFonts w:asciiTheme="minorHAnsi" w:hAnsiTheme="minorHAnsi" w:cstheme="minorHAnsi"/>
          <w:lang w:val="en-US"/>
        </w:rPr>
        <w:t>periods</w:t>
      </w:r>
      <w:r w:rsidRPr="00B845AF">
        <w:rPr>
          <w:rFonts w:asciiTheme="minorHAnsi" w:hAnsiTheme="minorHAnsi" w:cstheme="minorHAnsi"/>
          <w:lang w:val="en-US"/>
        </w:rPr>
        <w:t xml:space="preserve">, tag overdispersion τ, reporting </w:t>
      </w:r>
      <w:r w:rsidR="71F15DDD" w:rsidRPr="00B845AF">
        <w:rPr>
          <w:rFonts w:asciiTheme="minorHAnsi" w:hAnsiTheme="minorHAnsi" w:cstheme="minorHAnsi"/>
          <w:lang w:val="en-US"/>
        </w:rPr>
        <w:t xml:space="preserve">rate </w:t>
      </w:r>
      <w:r w:rsidRPr="00B845AF">
        <w:rPr>
          <w:rFonts w:asciiTheme="minorHAnsi" w:hAnsiTheme="minorHAnsi" w:cstheme="minorHAnsi"/>
          <w:lang w:val="en-US"/>
        </w:rPr>
        <w:t>treatment</w:t>
      </w:r>
      <w:r w:rsidR="0EF04656" w:rsidRPr="00B845AF">
        <w:rPr>
          <w:rFonts w:asciiTheme="minorHAnsi" w:hAnsiTheme="minorHAnsi" w:cstheme="minorHAnsi"/>
          <w:lang w:val="en-US"/>
        </w:rPr>
        <w:t xml:space="preserve"> during pre-mixed periods</w:t>
      </w:r>
      <w:r w:rsidRPr="00B845AF">
        <w:rPr>
          <w:rFonts w:asciiTheme="minorHAnsi" w:hAnsiTheme="minorHAnsi" w:cstheme="minorHAnsi"/>
          <w:lang w:val="en-US"/>
        </w:rPr>
        <w:t xml:space="preserve">, and fishing-efficiency/effort creep), the assessment estimated median recent depletion at 27.7% (80% interval 17.2 to 39.5%) and median recent F/FMSY at 0.84 (80% interval 0.59 to 1.21), with a 75.8% probability of being </w:t>
      </w:r>
      <w:r w:rsidRPr="00B845AF">
        <w:rPr>
          <w:rFonts w:asciiTheme="minorHAnsi" w:hAnsiTheme="minorHAnsi" w:cstheme="minorHAnsi"/>
          <w:lang w:val="en-US"/>
        </w:rPr>
        <w:lastRenderedPageBreak/>
        <w:t xml:space="preserve">simultaneously above the limit reference point and below FMSY; the presentation noted 18.6% of combined results fell below the LRP and 24.1% exceeded FMSY, cautioning that these overlapping probabilities must not be summed. </w:t>
      </w:r>
    </w:p>
    <w:p w14:paraId="686A4266" w14:textId="77777777" w:rsidR="003011E9" w:rsidRPr="00B845AF" w:rsidRDefault="003011E9" w:rsidP="003011E9">
      <w:pPr>
        <w:pStyle w:val="SCtext"/>
        <w:numPr>
          <w:ilvl w:val="0"/>
          <w:numId w:val="0"/>
        </w:numPr>
        <w:ind w:left="720"/>
        <w:rPr>
          <w:rFonts w:asciiTheme="minorHAnsi" w:hAnsiTheme="minorHAnsi" w:cstheme="minorHAnsi"/>
          <w:lang w:val="en-US"/>
        </w:rPr>
      </w:pPr>
    </w:p>
    <w:p w14:paraId="12C271A9" w14:textId="04525AD4" w:rsidR="00B46629" w:rsidRPr="00B845AF" w:rsidRDefault="003011E9" w:rsidP="003011E9">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A range of diagnostic checks (starting-value jitters, a self-test with simulated data, retrospective peels, and comparisons against a simpler age-structured model and a no-tag model) were presented as supporting the general pattern of decline to about 2010 followed by comparative stability, while explicitly noting that the underlying disagreement between tag data (favoring a larger population) and CPUE/length data (favoring a smaller population) was not resolved and remains the central source of uncertainty. The presentation concluded that stock status is less favorable than in 2023 but that the median result remains on the favorable side of both </w:t>
      </w:r>
      <w:r w:rsidR="4A0D5A82" w:rsidRPr="00B845AF">
        <w:rPr>
          <w:rFonts w:asciiTheme="minorHAnsi" w:hAnsiTheme="minorHAnsi" w:cstheme="minorHAnsi"/>
          <w:lang w:val="en-US"/>
        </w:rPr>
        <w:t xml:space="preserve">the spawning biomass depletion and fishing mortality </w:t>
      </w:r>
      <w:r w:rsidR="043D5AF1" w:rsidRPr="00B845AF">
        <w:rPr>
          <w:rFonts w:asciiTheme="minorHAnsi" w:hAnsiTheme="minorHAnsi" w:cstheme="minorHAnsi"/>
          <w:lang w:val="en-US"/>
        </w:rPr>
        <w:t xml:space="preserve">limit </w:t>
      </w:r>
      <w:r w:rsidR="012C6BA6" w:rsidRPr="00B845AF">
        <w:rPr>
          <w:rFonts w:asciiTheme="minorHAnsi" w:hAnsiTheme="minorHAnsi" w:cstheme="minorHAnsi"/>
          <w:lang w:val="en-US"/>
        </w:rPr>
        <w:t>reference points</w:t>
      </w:r>
      <w:r w:rsidR="57A97060" w:rsidRPr="00B845AF">
        <w:rPr>
          <w:rFonts w:asciiTheme="minorHAnsi" w:hAnsiTheme="minorHAnsi" w:cstheme="minorHAnsi"/>
          <w:lang w:val="en-US"/>
        </w:rPr>
        <w:t>.</w:t>
      </w:r>
    </w:p>
    <w:p w14:paraId="3C2D348F" w14:textId="77777777" w:rsidR="0060684E" w:rsidRPr="00B845AF" w:rsidRDefault="0060684E" w:rsidP="0060684E">
      <w:pPr>
        <w:pStyle w:val="SCtext"/>
        <w:numPr>
          <w:ilvl w:val="0"/>
          <w:numId w:val="0"/>
        </w:numPr>
        <w:rPr>
          <w:rFonts w:asciiTheme="minorHAnsi" w:hAnsiTheme="minorHAnsi" w:cstheme="minorHAnsi"/>
          <w:lang w:val="en-US"/>
        </w:rPr>
      </w:pPr>
    </w:p>
    <w:p w14:paraId="73A97F50" w14:textId="050E7319" w:rsidR="00625B42" w:rsidRPr="00B845AF" w:rsidRDefault="00625B42" w:rsidP="00625B42">
      <w:pPr>
        <w:pStyle w:val="SCDR"/>
        <w:rPr>
          <w:rFonts w:asciiTheme="minorHAnsi" w:hAnsiTheme="minorHAnsi" w:cstheme="minorHAnsi"/>
        </w:rPr>
      </w:pPr>
      <w:r w:rsidRPr="00B845AF">
        <w:rPr>
          <w:rFonts w:asciiTheme="minorHAnsi" w:hAnsiTheme="minorHAnsi" w:cstheme="minorHAnsi"/>
        </w:rPr>
        <w:t>Discussion</w:t>
      </w:r>
    </w:p>
    <w:p w14:paraId="14B6DB8D" w14:textId="220A72C0" w:rsidR="00CF1C07" w:rsidRPr="00B845AF" w:rsidRDefault="00AC30F5">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SSP for the assessment, characterizing the improved diagnostics, transparency, and reproducibility as having set a new standard for WCPFC assessments, and stated it was possibly the most robust assessment the Commission had reviewed. The USA raised a structural concern with how MULTIFAN-CL treats tag recaptures during the mixing period: the model deterministically removes reported returns from the tagged population </w:t>
      </w:r>
      <w:r w:rsidR="57B2D1D6" w:rsidRPr="00B845AF">
        <w:rPr>
          <w:rFonts w:asciiTheme="minorHAnsi" w:hAnsiTheme="minorHAnsi" w:cstheme="minorHAnsi"/>
          <w:lang w:val="en-US"/>
        </w:rPr>
        <w:t xml:space="preserve">during the mixing period </w:t>
      </w:r>
      <w:r w:rsidRPr="00B845AF">
        <w:rPr>
          <w:rFonts w:asciiTheme="minorHAnsi" w:hAnsiTheme="minorHAnsi" w:cstheme="minorHAnsi"/>
          <w:lang w:val="en-US"/>
        </w:rPr>
        <w:t xml:space="preserve">with no associated uncertainty, rather than </w:t>
      </w:r>
      <w:r w:rsidR="008662C9" w:rsidRPr="00B845AF">
        <w:rPr>
          <w:rFonts w:asciiTheme="minorHAnsi" w:hAnsiTheme="minorHAnsi" w:cstheme="minorHAnsi"/>
          <w:lang w:val="en-US"/>
        </w:rPr>
        <w:t>fitting</w:t>
      </w:r>
      <w:r w:rsidRPr="00B845AF">
        <w:rPr>
          <w:rFonts w:asciiTheme="minorHAnsi" w:hAnsiTheme="minorHAnsi" w:cstheme="minorHAnsi"/>
          <w:lang w:val="en-US"/>
        </w:rPr>
        <w:t xml:space="preserve"> them. The USA explained that including the reporting-rate adjustment can give an unbiased fishing mortality estimate only if the reporting rate is correct and release groups are large enough, but that the model caps removals when that condition fails, causing under-correction where it is most needed; excluding the </w:t>
      </w:r>
      <w:r w:rsidR="624935AE" w:rsidRPr="00B845AF">
        <w:rPr>
          <w:rFonts w:asciiTheme="minorHAnsi" w:hAnsiTheme="minorHAnsi" w:cstheme="minorHAnsi"/>
          <w:lang w:val="en-US"/>
        </w:rPr>
        <w:t xml:space="preserve">reporting-rate </w:t>
      </w:r>
      <w:r w:rsidRPr="00B845AF">
        <w:rPr>
          <w:rFonts w:asciiTheme="minorHAnsi" w:hAnsiTheme="minorHAnsi" w:cstheme="minorHAnsi"/>
          <w:lang w:val="en-US"/>
        </w:rPr>
        <w:t>adjustment assumes full reporting, an assumption the USA considered unlikely to be appropriate given the tag input file and estimated reporting rates, and would be expected to leave too many tags in the population, pushing fishing mortality down and population scale up. The USA stated that neither option resolves the underlying problem, and noted its analysis is documented and publicly available on GitHub. As a pragmatic way forward given uncertainty around further MULTIFAN-CL development, the USA recommended incorporating the fleets-as-areas model, augmented with age compositions converted from spatial age-length keys (as developed in SA-IP-09 and SA-IP-11), into the uncertainty grid used for stock status and management advice, which would also address weakly identifiable spatial parameters flagged in the assessment report.</w:t>
      </w:r>
    </w:p>
    <w:p w14:paraId="3D289D5F" w14:textId="77777777" w:rsidR="005468B5" w:rsidRPr="00B845AF" w:rsidRDefault="005468B5" w:rsidP="00EA0143">
      <w:pPr>
        <w:pStyle w:val="SCtext"/>
        <w:numPr>
          <w:ilvl w:val="0"/>
          <w:numId w:val="0"/>
        </w:numPr>
        <w:rPr>
          <w:rFonts w:asciiTheme="minorHAnsi" w:hAnsiTheme="minorHAnsi" w:cstheme="minorHAnsi"/>
          <w:lang w:val="en-US"/>
        </w:rPr>
      </w:pPr>
    </w:p>
    <w:p w14:paraId="19E21EC0" w14:textId="2631C726" w:rsidR="00B46629" w:rsidRPr="00B845AF" w:rsidRDefault="00AC30F5">
      <w:pPr>
        <w:pStyle w:val="SCtext"/>
        <w:rPr>
          <w:rFonts w:asciiTheme="minorHAnsi" w:hAnsiTheme="minorHAnsi" w:cstheme="minorHAnsi"/>
          <w:lang w:val="en-US"/>
        </w:rPr>
      </w:pPr>
      <w:r w:rsidRPr="00B845AF">
        <w:rPr>
          <w:rFonts w:asciiTheme="minorHAnsi" w:hAnsiTheme="minorHAnsi" w:cstheme="minorHAnsi"/>
          <w:lang w:val="en-US"/>
        </w:rPr>
        <w:t>Japan thanked the SSP for the work and asked one question and made two proposals. Japan asked why applying an effort creep trend appeared to have the opposite of its expected effect (raising, rather than reducing, estimated biomass scale in this assessment</w:t>
      </w:r>
      <w:r w:rsidR="008662C9" w:rsidRPr="00B845AF">
        <w:rPr>
          <w:rFonts w:asciiTheme="minorHAnsi" w:hAnsiTheme="minorHAnsi" w:cstheme="minorHAnsi"/>
          <w:lang w:val="en-US"/>
        </w:rPr>
        <w:t>) and</w:t>
      </w:r>
      <w:r w:rsidRPr="00B845AF">
        <w:rPr>
          <w:rFonts w:asciiTheme="minorHAnsi" w:hAnsiTheme="minorHAnsi" w:cstheme="minorHAnsi"/>
          <w:lang w:val="en-US"/>
        </w:rPr>
        <w:t xml:space="preserve"> questioned whether the approach was appropriate if fixing effort creep affects other time series parameters. Japan’s first proposal concerned an apparent conflict between size composition data sources of different origin and size distribution, suggesting an effective-sample-size analysis relative to numbers caught to better understand the source of the conflict. Japan’s second proposal concerned tagging data, noting that the previous assessment had agreed to use tau (τ) = 2.0 but that the effective value used was closer to 1, and that tagging data appeared to have a strong influence, supporting higher biomass while CPUE data supported lower biomass; Japan proposed an analysis using only tagging data (similar to SA-IP09) to better understand how much information the tagging data alone provide. The SSP responded to Japan that it had also considered effort creep, and that model changes led to a higher starting biomass but a similar or comparable depletion outcome, suggesting a need to isolate how effort creep affects other model components.</w:t>
      </w:r>
    </w:p>
    <w:p w14:paraId="412CC61F" w14:textId="77777777" w:rsidR="00AC30F5" w:rsidRPr="00B845AF" w:rsidRDefault="00AC30F5" w:rsidP="00AC30F5">
      <w:pPr>
        <w:pStyle w:val="SCtext"/>
        <w:numPr>
          <w:ilvl w:val="0"/>
          <w:numId w:val="0"/>
        </w:numPr>
        <w:rPr>
          <w:rFonts w:asciiTheme="minorHAnsi" w:hAnsiTheme="minorHAnsi" w:cstheme="minorHAnsi"/>
          <w:lang w:val="en-US"/>
        </w:rPr>
      </w:pPr>
    </w:p>
    <w:p w14:paraId="710999F1" w14:textId="1F87A0CE" w:rsidR="00AC30F5" w:rsidRPr="00B845AF" w:rsidRDefault="00AC30F5">
      <w:pPr>
        <w:pStyle w:val="SCtext"/>
        <w:rPr>
          <w:rFonts w:asciiTheme="minorHAnsi" w:hAnsiTheme="minorHAnsi" w:cstheme="minorHAnsi"/>
          <w:lang w:val="en-US"/>
        </w:rPr>
      </w:pPr>
      <w:r w:rsidRPr="00B845AF">
        <w:rPr>
          <w:rFonts w:asciiTheme="minorHAnsi" w:hAnsiTheme="minorHAnsi" w:cstheme="minorHAnsi"/>
          <w:lang w:val="en-US"/>
        </w:rPr>
        <w:lastRenderedPageBreak/>
        <w:t>New Zealand thanked the SSP for its work on tag treatment and diagnostics, noting the diagnostics allow members to independently repeat parts of the analysis</w:t>
      </w:r>
      <w:r w:rsidR="00CA79D1" w:rsidRPr="00B845AF">
        <w:rPr>
          <w:rFonts w:asciiTheme="minorHAnsi" w:hAnsiTheme="minorHAnsi" w:cstheme="minorHAnsi"/>
        </w:rPr>
        <w:t xml:space="preserve"> </w:t>
      </w:r>
      <w:r w:rsidR="00CA79D1" w:rsidRPr="00B845AF">
        <w:rPr>
          <w:rFonts w:asciiTheme="minorHAnsi" w:hAnsiTheme="minorHAnsi" w:cstheme="minorHAnsi"/>
          <w:lang w:val="en-US"/>
        </w:rPr>
        <w:t>and welcoming the publication of model files and executables</w:t>
      </w:r>
      <w:r w:rsidRPr="00B845AF">
        <w:rPr>
          <w:rFonts w:asciiTheme="minorHAnsi" w:hAnsiTheme="minorHAnsi" w:cstheme="minorHAnsi"/>
          <w:lang w:val="en-US"/>
        </w:rPr>
        <w:t xml:space="preserve">. New Zealand referenced detailed written comments submitted via the ODF covering tag overdispersion, trends in tag recoveries, natural mortality, growth, and what determines biomass scale, and clarified in follow-up that one point of interest was whether trends in tag recoveries are informative about total mortality. New Zealand thanked the SSP for its ODF responses and expressed support for continued work under Project 123. </w:t>
      </w:r>
      <w:r w:rsidR="00CA79D1" w:rsidRPr="00B845AF">
        <w:rPr>
          <w:rFonts w:asciiTheme="minorHAnsi" w:hAnsiTheme="minorHAnsi" w:cstheme="minorHAnsi"/>
          <w:lang w:val="en-US"/>
        </w:rPr>
        <w:t xml:space="preserve">New Zealand also encouraged model simplification as a scientific priority and supported greater use of simulation testing to evaluate whether assessment methods behave as intended. </w:t>
      </w:r>
      <w:r w:rsidRPr="00B845AF">
        <w:rPr>
          <w:rFonts w:asciiTheme="minorHAnsi" w:hAnsiTheme="minorHAnsi" w:cstheme="minorHAnsi"/>
          <w:lang w:val="en-US"/>
        </w:rPr>
        <w:t>The SSP noted that more detailed answers had been provided via the ODF and offered to discuss further on the margins.</w:t>
      </w:r>
    </w:p>
    <w:p w14:paraId="432A1E6B" w14:textId="77777777" w:rsidR="00AC30F5" w:rsidRPr="00B845AF" w:rsidRDefault="00AC30F5" w:rsidP="00AC30F5">
      <w:pPr>
        <w:pStyle w:val="SCtext"/>
        <w:numPr>
          <w:ilvl w:val="0"/>
          <w:numId w:val="0"/>
        </w:numPr>
        <w:rPr>
          <w:rFonts w:asciiTheme="minorHAnsi" w:hAnsiTheme="minorHAnsi" w:cstheme="minorHAnsi"/>
          <w:lang w:val="en-US"/>
        </w:rPr>
      </w:pPr>
    </w:p>
    <w:p w14:paraId="584A3FEB" w14:textId="05451CA1" w:rsidR="00AC30F5" w:rsidRPr="00B845AF" w:rsidRDefault="00AC30F5">
      <w:pPr>
        <w:pStyle w:val="SCtext"/>
        <w:rPr>
          <w:rFonts w:asciiTheme="minorHAnsi" w:hAnsiTheme="minorHAnsi" w:cstheme="minorHAnsi"/>
          <w:lang w:val="en-US"/>
        </w:rPr>
      </w:pPr>
      <w:r w:rsidRPr="00B845AF">
        <w:rPr>
          <w:rFonts w:asciiTheme="minorHAnsi" w:hAnsiTheme="minorHAnsi" w:cstheme="minorHAnsi"/>
          <w:lang w:val="en-US"/>
        </w:rPr>
        <w:t xml:space="preserve">Chinese Taipei acknowledged the assessment’s improvements and characterized the more pessimistic 2026 result not as evidence of recent biological decline but as a reassessment of population scale, then asked three questions. First, regarding tau, Chinese Taipei asked whether the effect of tau alone (holding other uncertainty axes constant) could be quantified, for example how much median depletion and probability below the LRP change moving from τ=1.2 to 1.3 to 1.4. Second, on the tag-mixing </w:t>
      </w:r>
      <w:r w:rsidR="31B30399" w:rsidRPr="00B845AF">
        <w:rPr>
          <w:rFonts w:asciiTheme="minorHAnsi" w:hAnsiTheme="minorHAnsi" w:cstheme="minorHAnsi"/>
          <w:lang w:val="en-US"/>
        </w:rPr>
        <w:t xml:space="preserve">period </w:t>
      </w:r>
      <w:r w:rsidRPr="00B845AF">
        <w:rPr>
          <w:rFonts w:asciiTheme="minorHAnsi" w:hAnsiTheme="minorHAnsi" w:cstheme="minorHAnsi"/>
          <w:lang w:val="en-US"/>
        </w:rPr>
        <w:t>parameter K, Chinese Taipei asked for the rationale behind the range of 0.05-0.35 used in the ensemble and whether key management quantities were robust to alternative central values, such as 0.15 or 0.25. Third, on regional CPUE scaling, Chinese Taipei asked whether other time periods with reasonably good spatial coverage (as an alternative to the 1965-1969 period used in the Diagnostic model) had been tested, and whether the choice of scaling period should itself be treated as an additional source of structural uncertainty.</w:t>
      </w:r>
    </w:p>
    <w:p w14:paraId="392F37DE" w14:textId="77777777" w:rsidR="00AC30F5" w:rsidRPr="00B845AF" w:rsidRDefault="00AC30F5" w:rsidP="00AC30F5">
      <w:pPr>
        <w:pStyle w:val="SCtext"/>
        <w:numPr>
          <w:ilvl w:val="0"/>
          <w:numId w:val="0"/>
        </w:numPr>
        <w:rPr>
          <w:rFonts w:asciiTheme="minorHAnsi" w:hAnsiTheme="minorHAnsi" w:cstheme="minorHAnsi"/>
          <w:lang w:val="en-US"/>
        </w:rPr>
      </w:pPr>
    </w:p>
    <w:p w14:paraId="0D3A4FE0" w14:textId="302BAA50" w:rsidR="00AC30F5" w:rsidRPr="00B845AF" w:rsidRDefault="00F900C0">
      <w:pPr>
        <w:pStyle w:val="SCtext"/>
        <w:rPr>
          <w:rFonts w:asciiTheme="minorHAnsi" w:hAnsiTheme="minorHAnsi" w:cstheme="minorHAnsi"/>
          <w:lang w:val="en-US"/>
        </w:rPr>
      </w:pPr>
      <w:r w:rsidRPr="00B845AF">
        <w:rPr>
          <w:rFonts w:asciiTheme="minorHAnsi" w:hAnsiTheme="minorHAnsi" w:cstheme="minorHAnsi"/>
          <w:lang w:val="en-US"/>
        </w:rPr>
        <w:t>The SSP responded that tau’s effect on depletion was minimal compared to other axes, since tau does not itself control overall biomass scale, though it is related to tag-mixing assumptions, which do have a larger impact; on tag mixing (K), the SSP explained the chosen range was informed by prior SPC work on plots of mixing behavior and a decision to use a normal rather than a more conservative (e.g., beta) distribution; on regional CPUE scaling, the SSP acknowledged that the choice of time period could bias biomass scale depending on spatial-temporal data coverage and identified testing alternative periods as a potential improvement for future assessments.</w:t>
      </w:r>
    </w:p>
    <w:p w14:paraId="163184AC" w14:textId="77777777" w:rsidR="00F900C0" w:rsidRPr="00B845AF" w:rsidRDefault="00F900C0" w:rsidP="00F900C0">
      <w:pPr>
        <w:pStyle w:val="SCtext"/>
        <w:numPr>
          <w:ilvl w:val="0"/>
          <w:numId w:val="0"/>
        </w:numPr>
        <w:rPr>
          <w:rFonts w:asciiTheme="minorHAnsi" w:hAnsiTheme="minorHAnsi" w:cstheme="minorHAnsi"/>
          <w:lang w:val="en-US"/>
        </w:rPr>
      </w:pPr>
    </w:p>
    <w:p w14:paraId="286E7282" w14:textId="48651A9D" w:rsidR="00F900C0" w:rsidRPr="00B845AF" w:rsidRDefault="00F900C0">
      <w:pPr>
        <w:pStyle w:val="SCtext"/>
        <w:rPr>
          <w:rFonts w:asciiTheme="minorHAnsi" w:hAnsiTheme="minorHAnsi" w:cstheme="minorHAnsi"/>
          <w:lang w:val="en-US"/>
        </w:rPr>
      </w:pPr>
      <w:r w:rsidRPr="00B845AF">
        <w:rPr>
          <w:rFonts w:asciiTheme="minorHAnsi" w:hAnsiTheme="minorHAnsi" w:cstheme="minorHAnsi"/>
          <w:lang w:val="en-US"/>
        </w:rPr>
        <w:t>The EU thanked the SSP for the work and identified two issues it believed should be prioritized: first, finding a way to adopt the assessment, noting this was the best bigeye assessment to date but that adoption during the current meeting might be difficult, while deferring to next year would also be problematic given an already overloaded SC23 agenda; second, the implications of the assessment for management, suggesting the current operating model grid used in the MSE may need to incorporate additional sources of uncertainty and that candidate management procedures may need re-evaluation, while noting it was not clear what the ultimate outcome should be. The EU then posed three questions: first, on the new CPUE treatment, whether its effect on depletion is related to the CPUE placing more weight on more-depleted regions (such as Region 2), which the EU noted has management relevance for catches falling outside the scope of a management procedure; second, on likelihood profiles, why the conversion of weight to length data did not appear to produce an intermediate signal between the weight- and length-based biomass estimates as might have been expected, unlike in 2023; and third, why the tagging data</w:t>
      </w:r>
      <w:r w:rsidR="00291611" w:rsidRPr="00B845AF">
        <w:rPr>
          <w:rFonts w:asciiTheme="minorHAnsi" w:hAnsiTheme="minorHAnsi" w:cstheme="minorHAnsi"/>
          <w:lang w:val="en-US"/>
        </w:rPr>
        <w:t>’</w:t>
      </w:r>
      <w:r w:rsidRPr="00B845AF">
        <w:rPr>
          <w:rFonts w:asciiTheme="minorHAnsi" w:hAnsiTheme="minorHAnsi" w:cstheme="minorHAnsi"/>
          <w:lang w:val="en-US"/>
        </w:rPr>
        <w:t>s signal on biomass scaling reversed direction relative to 2023, and whether this could be attributable to the treatment of tag attrition during the pre-mixing period or to the removal of Coral Sea tags, which had been influential in the previous assessment.</w:t>
      </w:r>
    </w:p>
    <w:p w14:paraId="69BAC682" w14:textId="77777777" w:rsidR="00291611" w:rsidRPr="00B845AF" w:rsidRDefault="00291611" w:rsidP="00291611">
      <w:pPr>
        <w:pStyle w:val="SCtext"/>
        <w:numPr>
          <w:ilvl w:val="0"/>
          <w:numId w:val="0"/>
        </w:numPr>
        <w:rPr>
          <w:rFonts w:asciiTheme="minorHAnsi" w:hAnsiTheme="minorHAnsi" w:cstheme="minorHAnsi"/>
          <w:lang w:val="en-US"/>
        </w:rPr>
      </w:pPr>
    </w:p>
    <w:p w14:paraId="043A3738" w14:textId="22474FA7" w:rsidR="00291611" w:rsidRPr="00B845AF" w:rsidRDefault="00291611">
      <w:pPr>
        <w:pStyle w:val="SCtext"/>
        <w:rPr>
          <w:rFonts w:asciiTheme="minorHAnsi" w:hAnsiTheme="minorHAnsi" w:cstheme="minorHAnsi"/>
          <w:lang w:val="en-US"/>
        </w:rPr>
      </w:pPr>
      <w:r w:rsidRPr="00B845AF">
        <w:rPr>
          <w:rFonts w:asciiTheme="minorHAnsi" w:hAnsiTheme="minorHAnsi" w:cstheme="minorHAnsi"/>
          <w:lang w:val="en-US"/>
        </w:rPr>
        <w:lastRenderedPageBreak/>
        <w:t>The SSP responded to the EU that the depletion impact of the new CPUE treatment is largely attributable to area-specific selectivity and catchability for index fisheries, which drives more data-driven regional biomass allocation; on weight-to-length conversion, the SSP noted a broader overhaul and heavier filtering of inputs made the two changes difficult to compare directly, since the conversion was implemented after major spatial structural changes in the stepwise process; and on the tagging likelihood, the SSP stated that pre-assessment workshop profiling had shown the RTTP program was a major influence in the previous assessment, and that in the current assessment the relative impact of PTTP had increased, with the change in signal attributable mainly to the exclusion of a particular tagging program.</w:t>
      </w:r>
    </w:p>
    <w:p w14:paraId="24C76F9E" w14:textId="77777777" w:rsidR="00291611" w:rsidRPr="00B845AF" w:rsidRDefault="00291611" w:rsidP="00291611">
      <w:pPr>
        <w:pStyle w:val="SCtext"/>
        <w:numPr>
          <w:ilvl w:val="0"/>
          <w:numId w:val="0"/>
        </w:numPr>
        <w:rPr>
          <w:rFonts w:asciiTheme="minorHAnsi" w:hAnsiTheme="minorHAnsi" w:cstheme="minorHAnsi"/>
          <w:lang w:val="en-US"/>
        </w:rPr>
      </w:pPr>
    </w:p>
    <w:p w14:paraId="0BD916AB" w14:textId="08AE0A28" w:rsidR="00291611" w:rsidRPr="00B845AF" w:rsidRDefault="00291611">
      <w:pPr>
        <w:pStyle w:val="SCtext"/>
        <w:rPr>
          <w:rFonts w:asciiTheme="minorHAnsi" w:hAnsiTheme="minorHAnsi" w:cstheme="minorHAnsi"/>
          <w:lang w:val="en-US"/>
        </w:rPr>
      </w:pPr>
      <w:r w:rsidRPr="00B845AF">
        <w:rPr>
          <w:rFonts w:asciiTheme="minorHAnsi" w:hAnsiTheme="minorHAnsi" w:cstheme="minorHAnsi"/>
          <w:lang w:val="en-US"/>
        </w:rPr>
        <w:t>Korea thanked the SSP and asked three questions regarding tau: whether reducing tau would produce an upward shift in stock status (that is, a less depleted result); what approaches, such as more precise or rigorous recapture protocols, could reduce tau</w:t>
      </w:r>
      <w:r w:rsidR="00D41A0E" w:rsidRPr="00B845AF">
        <w:rPr>
          <w:rFonts w:asciiTheme="minorHAnsi" w:hAnsiTheme="minorHAnsi" w:cstheme="minorHAnsi"/>
          <w:lang w:val="en-US"/>
        </w:rPr>
        <w:t>’</w:t>
      </w:r>
      <w:r w:rsidRPr="00B845AF">
        <w:rPr>
          <w:rFonts w:asciiTheme="minorHAnsi" w:hAnsiTheme="minorHAnsi" w:cstheme="minorHAnsi"/>
          <w:lang w:val="en-US"/>
        </w:rPr>
        <w:t>s variance; and, apart from tau, which other data sources or data types the SSP believed offer the greatest potential to reduce model variance.</w:t>
      </w:r>
    </w:p>
    <w:p w14:paraId="17C856A2" w14:textId="77777777" w:rsidR="00D41A0E" w:rsidRPr="00B845AF" w:rsidRDefault="00D41A0E" w:rsidP="00D41A0E">
      <w:pPr>
        <w:pStyle w:val="SCtext"/>
        <w:numPr>
          <w:ilvl w:val="0"/>
          <w:numId w:val="0"/>
        </w:numPr>
        <w:rPr>
          <w:rFonts w:asciiTheme="minorHAnsi" w:hAnsiTheme="minorHAnsi" w:cstheme="minorHAnsi"/>
          <w:lang w:val="en-US"/>
        </w:rPr>
      </w:pPr>
    </w:p>
    <w:p w14:paraId="3FDFD2FD" w14:textId="4741D1EF" w:rsidR="00D41A0E" w:rsidRPr="00B845AF" w:rsidRDefault="00D41A0E">
      <w:pPr>
        <w:pStyle w:val="SCtext"/>
        <w:rPr>
          <w:rFonts w:asciiTheme="minorHAnsi" w:hAnsiTheme="minorHAnsi" w:cstheme="minorHAnsi"/>
          <w:lang w:val="en-US"/>
        </w:rPr>
      </w:pPr>
      <w:r w:rsidRPr="00B845AF">
        <w:rPr>
          <w:rFonts w:asciiTheme="minorHAnsi" w:hAnsiTheme="minorHAnsi" w:cstheme="minorHAnsi"/>
          <w:lang w:val="en-US"/>
        </w:rPr>
        <w:t>The SSP responded that lower tau values do produce a more optimistic (less depleted) result, and that tagging data quality and its modeling treatment are a major source of the assessment's uncertainty; on reducing overdispersion, the SSP noted this is logistically difficult given the nature of tagging programs, and suggested that rather than seeking a single fixed tau, further statistical work on how dispersion varies across programs would be a valuable area of future work; on other data sources, the SSP noted that CPUE-driven depletion trends have been consistent across recent assessments, raising the broader question of which data source to trust</w:t>
      </w:r>
      <w:r w:rsidR="2A444843" w:rsidRPr="00B845AF">
        <w:rPr>
          <w:rFonts w:asciiTheme="minorHAnsi" w:hAnsiTheme="minorHAnsi" w:cstheme="minorHAnsi"/>
          <w:lang w:val="en-US"/>
        </w:rPr>
        <w:t xml:space="preserve"> more</w:t>
      </w:r>
      <w:r w:rsidRPr="00B845AF">
        <w:rPr>
          <w:rFonts w:asciiTheme="minorHAnsi" w:hAnsiTheme="minorHAnsi" w:cstheme="minorHAnsi"/>
          <w:lang w:val="en-US"/>
        </w:rPr>
        <w:t>, and suggested that expanded tagging data and improved age-linked data could help clarify stock structure and recruitment signals.</w:t>
      </w:r>
    </w:p>
    <w:p w14:paraId="4903778E" w14:textId="77777777" w:rsidR="00087E61" w:rsidRPr="00B845AF" w:rsidRDefault="00087E61" w:rsidP="00087E61">
      <w:pPr>
        <w:pStyle w:val="SCtext"/>
        <w:numPr>
          <w:ilvl w:val="0"/>
          <w:numId w:val="0"/>
        </w:numPr>
        <w:rPr>
          <w:rFonts w:asciiTheme="minorHAnsi" w:hAnsiTheme="minorHAnsi" w:cstheme="minorHAnsi"/>
          <w:lang w:val="en-US"/>
        </w:rPr>
      </w:pPr>
    </w:p>
    <w:p w14:paraId="75BED829" w14:textId="6533671C" w:rsidR="00087E61" w:rsidRPr="00B845AF" w:rsidRDefault="00964649">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China thanked the SSP and raised three points. First, on maturity, China noted that the paper states nearly all bigeye above 1.2m are mature, but that combining the growth curve with the maturity-at-length function seemed to imply a maturity rate of only 70-80% at that </w:t>
      </w:r>
      <w:r w:rsidR="00E93D42" w:rsidRPr="00B845AF">
        <w:rPr>
          <w:rFonts w:asciiTheme="minorHAnsi" w:eastAsia="MS Mincho" w:hAnsiTheme="minorHAnsi" w:cstheme="minorHAnsi"/>
          <w:lang w:val="en-US" w:eastAsia="ja-JP"/>
        </w:rPr>
        <w:t>length and</w:t>
      </w:r>
      <w:r w:rsidRPr="00B845AF">
        <w:rPr>
          <w:rFonts w:asciiTheme="minorHAnsi" w:eastAsia="MS Mincho" w:hAnsiTheme="minorHAnsi" w:cstheme="minorHAnsi"/>
          <w:lang w:val="en-US" w:eastAsia="ja-JP"/>
        </w:rPr>
        <w:t xml:space="preserve"> asked whether this was due to the choice of a logistic maturity function. Second, on retrospective analysis, China noted the diagnostic model's retrospective pattern value of approximately 0.3 exceeded a typical threshold of </w:t>
      </w:r>
      <w:r w:rsidR="00E93D42" w:rsidRPr="00B845AF">
        <w:rPr>
          <w:rFonts w:asciiTheme="minorHAnsi" w:eastAsia="MS Mincho" w:hAnsiTheme="minorHAnsi" w:cstheme="minorHAnsi"/>
          <w:lang w:val="en-US" w:eastAsia="ja-JP"/>
        </w:rPr>
        <w:t>0.2 and</w:t>
      </w:r>
      <w:r w:rsidRPr="00B845AF">
        <w:rPr>
          <w:rFonts w:asciiTheme="minorHAnsi" w:eastAsia="MS Mincho" w:hAnsiTheme="minorHAnsi" w:cstheme="minorHAnsi"/>
          <w:lang w:val="en-US" w:eastAsia="ja-JP"/>
        </w:rPr>
        <w:t xml:space="preserve"> asked whether this affected confidence in recent fishing mortality estimates. Third, referencing SA-IP-10, China noted that region 3 and 4 tags may require at least three quarters to mix while region 2 fish may still not be fully mixed, and questioned how the tagging data are treated within MULTIFAN-CL given this uncertainty; China suggested extending the mixing period to three or four quarters and recommended a broader review of the tagging data treatment.</w:t>
      </w:r>
    </w:p>
    <w:p w14:paraId="4A837250" w14:textId="77777777" w:rsidR="00087E61" w:rsidRPr="00B845AF" w:rsidRDefault="00087E61" w:rsidP="00087E61">
      <w:pPr>
        <w:pStyle w:val="SCtext"/>
        <w:numPr>
          <w:ilvl w:val="0"/>
          <w:numId w:val="0"/>
        </w:numPr>
        <w:rPr>
          <w:rFonts w:asciiTheme="minorHAnsi" w:hAnsiTheme="minorHAnsi" w:cstheme="minorHAnsi"/>
          <w:lang w:val="en-US"/>
        </w:rPr>
      </w:pPr>
    </w:p>
    <w:p w14:paraId="5F7EEC61" w14:textId="53EE3B76" w:rsidR="00087E61" w:rsidRPr="00B845AF" w:rsidRDefault="00964649">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SSP responded that maturity-at-length had not changed between assessments due to a lack of new information, though it offered to discuss the specific functional form further on the margins; that the 0.3 retrospective value for fishing mortality was influenced by recent estimates, but noted that the 0.2/0.3 threshold is not fully science-based and that retrospective patterns in management quantities (shown separately in the report) were comparatively stable; and on tag mixing, that extending the mixing period further would effectively remove tags from the likelihood entirely, and that a technical tagging workshop would be a useful venue to address these interacting issues.</w:t>
      </w:r>
    </w:p>
    <w:p w14:paraId="7CB4795B" w14:textId="77777777" w:rsidR="00087E61" w:rsidRPr="00B845AF" w:rsidRDefault="00087E61" w:rsidP="00087E61">
      <w:pPr>
        <w:pStyle w:val="SCtext"/>
        <w:numPr>
          <w:ilvl w:val="0"/>
          <w:numId w:val="0"/>
        </w:numPr>
        <w:rPr>
          <w:rFonts w:asciiTheme="minorHAnsi" w:hAnsiTheme="minorHAnsi" w:cstheme="minorHAnsi"/>
          <w:lang w:val="en-US"/>
        </w:rPr>
      </w:pPr>
    </w:p>
    <w:p w14:paraId="543875F7" w14:textId="1ACA3816" w:rsidR="00087E61" w:rsidRPr="00B845AF" w:rsidRDefault="00964649">
      <w:pPr>
        <w:pStyle w:val="SCtext"/>
        <w:rPr>
          <w:rFonts w:asciiTheme="minorHAnsi" w:hAnsiTheme="minorHAnsi" w:cstheme="minorHAnsi"/>
          <w:lang w:val="en-US"/>
        </w:rPr>
      </w:pPr>
      <w:r w:rsidRPr="00B845AF">
        <w:rPr>
          <w:rFonts w:asciiTheme="minorHAnsi" w:eastAsia="MS Mincho" w:hAnsiTheme="minorHAnsi" w:cstheme="minorHAnsi"/>
          <w:lang w:val="en-US" w:eastAsia="ja-JP"/>
        </w:rPr>
        <w:t>Indonesia asked whether the SSP had considered further analysis to determine an appropriate tau value before using the assessment for management advice, and separately raised concerns regarding a proposed reconstruction of historical handline catch data, noting that Indonesia</w:t>
      </w:r>
      <w:r w:rsidR="006D7CD9"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 xml:space="preserve">s total catch has decreased rather than increased and that landing-site-based data collection had informed a change in how large- and small-handline catch size classes are distinguished. Indonesia asked for further discussion </w:t>
      </w:r>
      <w:r w:rsidRPr="00B845AF">
        <w:rPr>
          <w:rFonts w:asciiTheme="minorHAnsi" w:eastAsia="MS Mincho" w:hAnsiTheme="minorHAnsi" w:cstheme="minorHAnsi"/>
          <w:lang w:val="en-US" w:eastAsia="ja-JP"/>
        </w:rPr>
        <w:lastRenderedPageBreak/>
        <w:t>on the specific years and methodology for any catch reconstruction, noting implications for its monitoring program and relevance to the yellowfin assessment as well.</w:t>
      </w:r>
    </w:p>
    <w:p w14:paraId="73529CC4" w14:textId="77777777" w:rsidR="00087E61" w:rsidRPr="00B845AF" w:rsidRDefault="00087E61" w:rsidP="00087E61">
      <w:pPr>
        <w:pStyle w:val="SCtext"/>
        <w:numPr>
          <w:ilvl w:val="0"/>
          <w:numId w:val="0"/>
        </w:numPr>
        <w:rPr>
          <w:rFonts w:asciiTheme="minorHAnsi" w:hAnsiTheme="minorHAnsi" w:cstheme="minorHAnsi"/>
          <w:lang w:val="en-US"/>
        </w:rPr>
      </w:pPr>
    </w:p>
    <w:p w14:paraId="627C0D0C" w14:textId="7D895489" w:rsidR="00087E61" w:rsidRPr="00B845AF" w:rsidRDefault="006D7CD9">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SSP responded on tau that the parameter may not be reliably estimable, since the model already struggles with instability (including MCMC mixing difficulties suggesting high parameter correlation), and that fixing tau at higher values effectively discards tagging information and destabilizes the model further, though management quantities remain comparatively stable regardless. On catch reconstruction, the SSP agreed the timing and scope would need further dedicated discussion with Indonesia.</w:t>
      </w:r>
    </w:p>
    <w:p w14:paraId="2EAC7B3B" w14:textId="77777777" w:rsidR="00087E61" w:rsidRPr="00B845AF" w:rsidRDefault="00087E61" w:rsidP="00087E61">
      <w:pPr>
        <w:pStyle w:val="SCtext"/>
        <w:numPr>
          <w:ilvl w:val="0"/>
          <w:numId w:val="0"/>
        </w:numPr>
        <w:rPr>
          <w:rFonts w:asciiTheme="minorHAnsi" w:hAnsiTheme="minorHAnsi" w:cstheme="minorHAnsi"/>
          <w:lang w:val="en-US"/>
        </w:rPr>
      </w:pPr>
    </w:p>
    <w:p w14:paraId="2CB833BD" w14:textId="7286A559" w:rsidR="00087E61" w:rsidRPr="00B845AF" w:rsidRDefault="00087E61">
      <w:pPr>
        <w:pStyle w:val="SCtext"/>
        <w:rPr>
          <w:rFonts w:asciiTheme="minorHAnsi" w:hAnsiTheme="minorHAnsi" w:cstheme="minorHAnsi"/>
          <w:lang w:val="en-US"/>
        </w:rPr>
      </w:pPr>
      <w:r w:rsidRPr="00B845AF">
        <w:rPr>
          <w:rFonts w:asciiTheme="minorHAnsi" w:eastAsia="MS Mincho" w:hAnsiTheme="minorHAnsi" w:cstheme="minorHAnsi"/>
          <w:lang w:val="en-US" w:eastAsia="ja-JP"/>
        </w:rPr>
        <w:t>T</w:t>
      </w:r>
      <w:r w:rsidR="006D7CD9" w:rsidRPr="00B845AF">
        <w:rPr>
          <w:rFonts w:asciiTheme="minorHAnsi" w:eastAsia="MS Mincho" w:hAnsiTheme="minorHAnsi" w:cstheme="minorHAnsi"/>
          <w:lang w:val="en-US" w:eastAsia="ja-JP"/>
        </w:rPr>
        <w:t xml:space="preserve">he SSP then responded to the USA’s earlier comments on tag mixing by noting the approach is not unique to MULTIFAN-CL and is used comparably in Indian Ocean Tuna Commission assessments using Stock </w:t>
      </w:r>
      <w:r w:rsidR="00501BC4" w:rsidRPr="00B845AF">
        <w:rPr>
          <w:rFonts w:asciiTheme="minorHAnsi" w:eastAsia="MS Mincho" w:hAnsiTheme="minorHAnsi" w:cstheme="minorHAnsi"/>
          <w:lang w:val="en-US" w:eastAsia="ja-JP"/>
        </w:rPr>
        <w:t>Synthesis and</w:t>
      </w:r>
      <w:r w:rsidR="006D7CD9" w:rsidRPr="00B845AF">
        <w:rPr>
          <w:rFonts w:asciiTheme="minorHAnsi" w:eastAsia="MS Mincho" w:hAnsiTheme="minorHAnsi" w:cstheme="minorHAnsi"/>
          <w:lang w:val="en-US" w:eastAsia="ja-JP"/>
        </w:rPr>
        <w:t xml:space="preserve"> supported the proposed tag modeling workshop as a way forward. On China’s maturity question, the SSP suggested the apparent discrepancy may stem from the calculation of reproductive potential (which incorporates maturity, fecundity, and sex ratio) rather than the maturity ogive alone. The SSP also flagged scheduling concerns regarding any proposal to defer the bigeye and yellowfin assessments to next year, noting this would conflict with the already-scheduled 2027 South Pacific albacore assessment and would not be resolved by shifting albacore to 2028, when it would overlap with the scheduled skipjack assessment.</w:t>
      </w:r>
    </w:p>
    <w:p w14:paraId="76C8C34E" w14:textId="77777777" w:rsidR="00087E61" w:rsidRPr="00B845AF" w:rsidRDefault="00087E61" w:rsidP="00087E61">
      <w:pPr>
        <w:pStyle w:val="SCtext"/>
        <w:numPr>
          <w:ilvl w:val="0"/>
          <w:numId w:val="0"/>
        </w:numPr>
        <w:rPr>
          <w:rFonts w:asciiTheme="minorHAnsi" w:hAnsiTheme="minorHAnsi" w:cstheme="minorHAnsi"/>
          <w:lang w:val="en-US"/>
        </w:rPr>
      </w:pPr>
    </w:p>
    <w:p w14:paraId="6AF0354F" w14:textId="74D07D2F" w:rsidR="00087E61" w:rsidRPr="00B845AF" w:rsidRDefault="006D7CD9">
      <w:pPr>
        <w:pStyle w:val="SCtext"/>
        <w:rPr>
          <w:rFonts w:asciiTheme="minorHAnsi" w:hAnsiTheme="minorHAnsi" w:cstheme="minorHAnsi"/>
          <w:lang w:val="en-US"/>
        </w:rPr>
      </w:pPr>
      <w:r w:rsidRPr="00B845AF">
        <w:rPr>
          <w:rFonts w:asciiTheme="minorHAnsi" w:eastAsia="MS Mincho" w:hAnsiTheme="minorHAnsi" w:cstheme="minorHAnsi"/>
          <w:lang w:val="en-US" w:eastAsia="ja-JP"/>
        </w:rPr>
        <w:t>RMI, speaking on behalf of the FFA members, expressed appreciation for what it considered the best bigeye assessment undertaken to date and stated that FFA members supported its acceptance as the basis for management advice, noting the median estimate remains above the LRP and fishing mortality remains below FMSY despite the more pessimistic outlook. FFA members raised continued concern over conflicting signals between tagging data (indicating a larger, less depleted stock) and CPUE/size composition data (indicating a smaller, more depleted stock), noting that while tau was identified as the single most influential factor behind the shift in results, it may reflect broader uncertainty in the treatment of tagging information rather than being the sole issue. FFA members stated their endorsement of the assessment was contingent on agreement at this meeting to undertake an external review of the 2026 bigeye assessment and a firm commitment to convene a dedicated tagging data workshop covering tag mixing, reporting rates, mixing assumptions, tau, and their interactions.</w:t>
      </w:r>
    </w:p>
    <w:p w14:paraId="52D38D0F" w14:textId="77777777" w:rsidR="00087E61" w:rsidRPr="00B845AF" w:rsidRDefault="00087E61" w:rsidP="00087E61">
      <w:pPr>
        <w:pStyle w:val="SCtext"/>
        <w:numPr>
          <w:ilvl w:val="0"/>
          <w:numId w:val="0"/>
        </w:numPr>
        <w:rPr>
          <w:rFonts w:asciiTheme="minorHAnsi" w:hAnsiTheme="minorHAnsi" w:cstheme="minorHAnsi"/>
          <w:lang w:val="en-US"/>
        </w:rPr>
      </w:pPr>
    </w:p>
    <w:p w14:paraId="4FDB97DF" w14:textId="5BD96888" w:rsidR="00087E61" w:rsidRPr="00B845AF" w:rsidRDefault="007C0AD5">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USA, responding first to the SSP’s earlier comments, clarified its </w:t>
      </w:r>
      <w:proofErr w:type="gramStart"/>
      <w:r w:rsidRPr="00B845AF">
        <w:rPr>
          <w:rFonts w:asciiTheme="minorHAnsi" w:eastAsia="MS Mincho" w:hAnsiTheme="minorHAnsi" w:cstheme="minorHAnsi"/>
          <w:lang w:val="en-US" w:eastAsia="ja-JP"/>
        </w:rPr>
        <w:t>concern was</w:t>
      </w:r>
      <w:proofErr w:type="gramEnd"/>
      <w:r w:rsidRPr="00B845AF">
        <w:rPr>
          <w:rFonts w:asciiTheme="minorHAnsi" w:eastAsia="MS Mincho" w:hAnsiTheme="minorHAnsi" w:cstheme="minorHAnsi"/>
          <w:lang w:val="en-US" w:eastAsia="ja-JP"/>
        </w:rPr>
        <w:t xml:space="preserve"> not with the general practice of adjusting for reporting rate during the mixing period, but specifically with MULTIFAN-CL’s implementation, where neither available option correctly applies the correction. On stock status and management advice, the USA stated it did not believe the two settings included in the structural uncertainty grid (including or excluding the mixing-period reporting-rate adjustment) actually span the uncertainty, because excluding the adjustment can never remove more tags than including it, making the two options asymmetric and one-sided rather than bracketing alternatives; the USA stated it was not comfortable with the current assessment, recommended including the fleets-as-areas model within the uncertainty grid, and did not support developing management advice from models that both fit to tagging data and exclude the reporting-rate adjustment.</w:t>
      </w:r>
    </w:p>
    <w:p w14:paraId="2EE2B4C8" w14:textId="77777777" w:rsidR="00087E61" w:rsidRPr="00B845AF" w:rsidRDefault="00087E61" w:rsidP="00087E61">
      <w:pPr>
        <w:pStyle w:val="SCtext"/>
        <w:numPr>
          <w:ilvl w:val="0"/>
          <w:numId w:val="0"/>
        </w:numPr>
        <w:rPr>
          <w:rFonts w:asciiTheme="minorHAnsi" w:hAnsiTheme="minorHAnsi" w:cstheme="minorHAnsi"/>
          <w:lang w:val="en-US"/>
        </w:rPr>
      </w:pPr>
    </w:p>
    <w:p w14:paraId="1627360A" w14:textId="2CA147C6" w:rsidR="00087E61" w:rsidRPr="00B845AF" w:rsidRDefault="007C0AD5">
      <w:pPr>
        <w:pStyle w:val="SCtext"/>
        <w:rPr>
          <w:rFonts w:asciiTheme="minorHAnsi" w:hAnsiTheme="minorHAnsi" w:cstheme="minorHAnsi"/>
          <w:lang w:val="en-US"/>
        </w:rPr>
      </w:pPr>
      <w:r w:rsidRPr="00B845AF">
        <w:rPr>
          <w:rFonts w:asciiTheme="minorHAnsi" w:eastAsia="MS Mincho" w:hAnsiTheme="minorHAnsi" w:cstheme="minorHAnsi"/>
          <w:lang w:val="en-US" w:eastAsia="ja-JP"/>
        </w:rPr>
        <w:t>Japan observed that both the FFA and USA positions favored further work, though noted this decision may have limited practical impact on Commission-level discussions given that Commission consideration of a management procedure is dependent on the estimation method rather than directly on stock assessment acceptance; Japan did not offer a concrete proposal but suggested a small group discussion might help.</w:t>
      </w:r>
    </w:p>
    <w:p w14:paraId="424B2F5A" w14:textId="77777777" w:rsidR="007C0AD5" w:rsidRPr="00B845AF" w:rsidRDefault="007C0AD5" w:rsidP="007C0AD5">
      <w:pPr>
        <w:pStyle w:val="SCtext"/>
        <w:numPr>
          <w:ilvl w:val="0"/>
          <w:numId w:val="0"/>
        </w:numPr>
        <w:rPr>
          <w:rFonts w:asciiTheme="minorHAnsi" w:hAnsiTheme="minorHAnsi" w:cstheme="minorHAnsi"/>
          <w:lang w:val="en-US"/>
        </w:rPr>
      </w:pPr>
    </w:p>
    <w:p w14:paraId="47CD5E23" w14:textId="68FC03E8" w:rsidR="007C0AD5" w:rsidRPr="00B845AF" w:rsidRDefault="00596C57">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7C0AD5" w:rsidRPr="00B845AF">
        <w:rPr>
          <w:rFonts w:asciiTheme="minorHAnsi" w:hAnsiTheme="minorHAnsi" w:cstheme="minorHAnsi"/>
          <w:lang w:val="en-US"/>
        </w:rPr>
        <w:t>EU stated it shared the USA</w:t>
      </w:r>
      <w:r w:rsidRPr="00B845AF">
        <w:rPr>
          <w:rFonts w:asciiTheme="minorHAnsi" w:hAnsiTheme="minorHAnsi" w:cstheme="minorHAnsi"/>
          <w:lang w:val="en-US"/>
        </w:rPr>
        <w:t>’</w:t>
      </w:r>
      <w:r w:rsidR="007C0AD5" w:rsidRPr="00B845AF">
        <w:rPr>
          <w:rFonts w:asciiTheme="minorHAnsi" w:hAnsiTheme="minorHAnsi" w:cstheme="minorHAnsi"/>
          <w:lang w:val="en-US"/>
        </w:rPr>
        <w:t>s concerns about areas needing improvement, agreed with Japan</w:t>
      </w:r>
      <w:r w:rsidRPr="00B845AF">
        <w:rPr>
          <w:rFonts w:asciiTheme="minorHAnsi" w:hAnsiTheme="minorHAnsi" w:cstheme="minorHAnsi"/>
          <w:lang w:val="en-US"/>
        </w:rPr>
        <w:t>’</w:t>
      </w:r>
      <w:r w:rsidR="007C0AD5" w:rsidRPr="00B845AF">
        <w:rPr>
          <w:rFonts w:asciiTheme="minorHAnsi" w:hAnsiTheme="minorHAnsi" w:cstheme="minorHAnsi"/>
          <w:lang w:val="en-US"/>
        </w:rPr>
        <w:t>s intervention, and suggested that since the tropical tuna CMM renewal is intended to be guided by the management procedure, the SC might consider deferring extensive discussion of stock status description and management advice until harvest strategy work is resolved, proposing the ISG</w:t>
      </w:r>
      <w:r w:rsidRPr="00B845AF">
        <w:rPr>
          <w:rFonts w:asciiTheme="minorHAnsi" w:hAnsiTheme="minorHAnsi" w:cstheme="minorHAnsi"/>
          <w:lang w:val="en-US"/>
        </w:rPr>
        <w:t>’</w:t>
      </w:r>
      <w:r w:rsidR="007C0AD5" w:rsidRPr="00B845AF">
        <w:rPr>
          <w:rFonts w:asciiTheme="minorHAnsi" w:hAnsiTheme="minorHAnsi" w:cstheme="minorHAnsi"/>
          <w:lang w:val="en-US"/>
        </w:rPr>
        <w:t>s scope be extended to consider both issues together.</w:t>
      </w:r>
    </w:p>
    <w:p w14:paraId="272EBE6A" w14:textId="77777777" w:rsidR="00596C57" w:rsidRPr="00B845AF" w:rsidRDefault="00596C57" w:rsidP="00596C57">
      <w:pPr>
        <w:pStyle w:val="SCtext"/>
        <w:numPr>
          <w:ilvl w:val="0"/>
          <w:numId w:val="0"/>
        </w:numPr>
        <w:rPr>
          <w:rFonts w:asciiTheme="minorHAnsi" w:hAnsiTheme="minorHAnsi" w:cstheme="minorHAnsi"/>
          <w:lang w:val="en-US"/>
        </w:rPr>
      </w:pPr>
    </w:p>
    <w:p w14:paraId="0A5138C8" w14:textId="2005111A" w:rsidR="00596C57" w:rsidRPr="00B845AF" w:rsidRDefault="00596C57">
      <w:pPr>
        <w:pStyle w:val="SCtext"/>
        <w:rPr>
          <w:rFonts w:asciiTheme="minorHAnsi" w:hAnsiTheme="minorHAnsi" w:cstheme="minorHAnsi"/>
          <w:lang w:val="en-US"/>
        </w:rPr>
      </w:pPr>
      <w:r w:rsidRPr="00B845AF">
        <w:rPr>
          <w:rFonts w:asciiTheme="minorHAnsi" w:hAnsiTheme="minorHAnsi" w:cstheme="minorHAnsi"/>
          <w:lang w:val="en-US"/>
        </w:rPr>
        <w:t>Pew observed that the SSP is overworked and that the SC’s structure creates a very short window between delivery of a stock assessment and the need to provide advice, unlike other RFMOs that use separate working parties for technical review; Pew suggested this be considered further under Agenda Item 11.1.</w:t>
      </w:r>
    </w:p>
    <w:p w14:paraId="7D6DE5FD" w14:textId="77777777" w:rsidR="00596C57" w:rsidRPr="00B845AF" w:rsidRDefault="00596C57" w:rsidP="00596C57">
      <w:pPr>
        <w:pStyle w:val="SCtext"/>
        <w:numPr>
          <w:ilvl w:val="0"/>
          <w:numId w:val="0"/>
        </w:numPr>
        <w:rPr>
          <w:rFonts w:asciiTheme="minorHAnsi" w:hAnsiTheme="minorHAnsi" w:cstheme="minorHAnsi"/>
          <w:lang w:val="en-US"/>
        </w:rPr>
      </w:pPr>
    </w:p>
    <w:p w14:paraId="7CE95F97" w14:textId="0194DE98" w:rsidR="00596C57" w:rsidRPr="00B845AF" w:rsidRDefault="00596C57">
      <w:pPr>
        <w:pStyle w:val="SCtext"/>
        <w:rPr>
          <w:rFonts w:asciiTheme="minorHAnsi" w:hAnsiTheme="minorHAnsi" w:cstheme="minorHAnsi"/>
          <w:lang w:val="en-US"/>
        </w:rPr>
      </w:pPr>
      <w:r w:rsidRPr="00B845AF">
        <w:rPr>
          <w:rFonts w:asciiTheme="minorHAnsi" w:hAnsiTheme="minorHAnsi" w:cstheme="minorHAnsi"/>
          <w:lang w:val="en-US"/>
        </w:rPr>
        <w:t>The SSP responded to the USA’s structural uncertainty grid concern, explaining that excluding the reporting-rate adjustment represents the lower bound (tags removed as observed) while including it represents the estimated upper bound (since reporting rate cannot exceed one), and that this was the intended framing for bounding the two scenarios.</w:t>
      </w:r>
    </w:p>
    <w:p w14:paraId="472C26EA" w14:textId="77777777" w:rsidR="00596C57" w:rsidRPr="00B845AF" w:rsidRDefault="00596C57" w:rsidP="00596C57">
      <w:pPr>
        <w:pStyle w:val="SCtext"/>
        <w:numPr>
          <w:ilvl w:val="0"/>
          <w:numId w:val="0"/>
        </w:numPr>
        <w:rPr>
          <w:rFonts w:asciiTheme="minorHAnsi" w:hAnsiTheme="minorHAnsi" w:cstheme="minorHAnsi"/>
          <w:lang w:val="en-US"/>
        </w:rPr>
      </w:pPr>
    </w:p>
    <w:p w14:paraId="587AFEFC" w14:textId="57B2E7FC" w:rsidR="00596C57" w:rsidRPr="00B845AF" w:rsidRDefault="008E262F">
      <w:pPr>
        <w:pStyle w:val="SCtext"/>
        <w:rPr>
          <w:rFonts w:asciiTheme="minorHAnsi" w:hAnsiTheme="minorHAnsi" w:cstheme="minorHAnsi"/>
          <w:lang w:val="en-US"/>
        </w:rPr>
      </w:pPr>
      <w:r w:rsidRPr="00B845AF">
        <w:rPr>
          <w:rFonts w:asciiTheme="minorHAnsi" w:hAnsiTheme="minorHAnsi" w:cstheme="minorHAnsi"/>
          <w:lang w:val="en-US"/>
        </w:rPr>
        <w:t>Upon it being proposed by the SC Chair, SC22 convened a Heads of Delegation meeting to discuss the best path forward</w:t>
      </w:r>
      <w:r w:rsidR="00596C57" w:rsidRPr="00B845AF">
        <w:rPr>
          <w:rFonts w:asciiTheme="minorHAnsi" w:hAnsiTheme="minorHAnsi" w:cstheme="minorHAnsi"/>
          <w:lang w:val="en-US"/>
        </w:rPr>
        <w:t>.</w:t>
      </w:r>
      <w:r w:rsidR="0053584E" w:rsidRPr="00B845AF">
        <w:rPr>
          <w:rFonts w:asciiTheme="minorHAnsi" w:hAnsiTheme="minorHAnsi" w:cstheme="minorHAnsi"/>
          <w:lang w:val="en-US"/>
        </w:rPr>
        <w:t xml:space="preserve"> </w:t>
      </w:r>
      <w:r w:rsidR="00DC6C91" w:rsidRPr="00B845AF">
        <w:rPr>
          <w:rFonts w:asciiTheme="minorHAnsi" w:hAnsiTheme="minorHAnsi" w:cstheme="minorHAnsi"/>
          <w:lang w:val="en-US"/>
        </w:rPr>
        <w:t>Reporting back to plenary, the SC Chair stated that two opposing views remained, one favoring acceptance of the bigeye assessment with conditions on future work, the other holding that the Committee was not ready to accept it, and that as consensus could not be reached, SC22 would not accept the bigeye assessment at this meeting. The SC Chair reported agreement that acceptance or non-acceptance of the stock assessment should not hold up progress on the management procedure, which was expected to primarily drive the renegotiation of the tropical tuna measure, and noted that further work on recommendations and next steps for the bigeye assessment, including a possible assessment review and tagging workshop, would continue in the margins.</w:t>
      </w:r>
    </w:p>
    <w:p w14:paraId="057A8F82" w14:textId="77777777" w:rsidR="000F637C" w:rsidRPr="00B845AF" w:rsidRDefault="000F637C" w:rsidP="000F637C">
      <w:pPr>
        <w:pStyle w:val="SCtext"/>
        <w:numPr>
          <w:ilvl w:val="0"/>
          <w:numId w:val="0"/>
        </w:numPr>
        <w:rPr>
          <w:rFonts w:asciiTheme="minorHAnsi" w:hAnsiTheme="minorHAnsi" w:cstheme="minorHAnsi"/>
          <w:lang w:val="en-US"/>
        </w:rPr>
      </w:pPr>
    </w:p>
    <w:p w14:paraId="581278D8" w14:textId="42BB740E" w:rsidR="000F637C" w:rsidRPr="00B845AF" w:rsidRDefault="000F637C">
      <w:pPr>
        <w:pStyle w:val="SCtext"/>
        <w:rPr>
          <w:rFonts w:asciiTheme="minorHAnsi" w:hAnsiTheme="minorHAnsi" w:cstheme="minorHAnsi"/>
          <w:lang w:val="en-US"/>
        </w:rPr>
      </w:pPr>
      <w:r w:rsidRPr="00B845AF">
        <w:rPr>
          <w:rFonts w:asciiTheme="minorHAnsi" w:hAnsiTheme="minorHAnsi" w:cstheme="minorHAnsi"/>
          <w:lang w:val="en-US"/>
        </w:rPr>
        <w:t>Returning to the structural uncertainty grid, the USA stated it would be prepared to accept the current assessment if the grid were constrained to models that include the tag reporting-rate adjustment</w:t>
      </w:r>
      <w:r w:rsidR="478017CA" w:rsidRPr="00B845AF">
        <w:rPr>
          <w:rFonts w:asciiTheme="minorHAnsi" w:hAnsiTheme="minorHAnsi" w:cstheme="minorHAnsi"/>
          <w:lang w:val="en-US"/>
        </w:rPr>
        <w:t>.</w:t>
      </w:r>
      <w:r w:rsidRPr="00B845AF">
        <w:rPr>
          <w:rFonts w:asciiTheme="minorHAnsi" w:hAnsiTheme="minorHAnsi" w:cstheme="minorHAnsi"/>
          <w:lang w:val="en-US"/>
        </w:rPr>
        <w:t xml:space="preserve"> The USA explained that, based on a shared understanding of the MULTIFAN-CL code, including the adjustment during the mixing period is unbiased under the conditions required for it to hold (namely that the true reporting rate equals the estimated reporting rate, that tag release groups are large enough to be informative, and that the survival floor is not triggered), whereas excluding the adjustment assumes complete reporting of recaptured tags and will mathematically always remove fewer tags than including it, generally resulting in a lower estimated fishing mortality. The USA stated that the assumption of complete reporting is implausible given tag seeding experiments and inspection of the assessment input files, and that averaging an estimate capable of being unbiased with one that is biased by construction risks inducing bias into the overall uncertainty grid, which the USA identified as the basis for its preference to retain only runs including the adjustment as the only ones theoretically capable of providing an unbiased estimate. The USA linked this to a larger, fundamental uncertainty regarding the influence of tagging data, tying back to its earlier recommendation that a more appropriate grid axis would integrate across the inclusion and exclusion of tagging data in the model, but noted that this work is not currently possible and that its present proposal would be a compromise pending future work on the issue.</w:t>
      </w:r>
    </w:p>
    <w:p w14:paraId="1A504758" w14:textId="77777777" w:rsidR="00E8442E" w:rsidRPr="00B845AF" w:rsidRDefault="00E8442E" w:rsidP="00E8442E">
      <w:pPr>
        <w:pStyle w:val="SCtext"/>
        <w:numPr>
          <w:ilvl w:val="0"/>
          <w:numId w:val="0"/>
        </w:numPr>
        <w:rPr>
          <w:rFonts w:asciiTheme="minorHAnsi" w:hAnsiTheme="minorHAnsi" w:cstheme="minorHAnsi"/>
          <w:lang w:val="en-US"/>
        </w:rPr>
      </w:pPr>
    </w:p>
    <w:p w14:paraId="3612CD9B" w14:textId="6A3DDD6A" w:rsidR="00E8442E" w:rsidRPr="00B845AF" w:rsidRDefault="00A70C96">
      <w:pPr>
        <w:pStyle w:val="SCtext"/>
        <w:rPr>
          <w:rFonts w:asciiTheme="minorHAnsi" w:hAnsiTheme="minorHAnsi" w:cstheme="minorHAnsi"/>
          <w:lang w:val="en-US"/>
        </w:rPr>
      </w:pPr>
      <w:r w:rsidRPr="00B845AF">
        <w:rPr>
          <w:rFonts w:asciiTheme="minorHAnsi" w:hAnsiTheme="minorHAnsi" w:cstheme="minorHAnsi"/>
          <w:lang w:val="en-US"/>
        </w:rPr>
        <w:t xml:space="preserve">Pew stated that, as an observer organization, it would be remiss of them not to comment on the irregular approach taken by SC22 to discussion of the bigeye tuna stock assessment, where much of the deliberation occurred in Heads of Delegation meetings from which observers are excluded. Pew stated that this made it very difficult to follow how many of the decisions were reached, noting as an example </w:t>
      </w:r>
      <w:r w:rsidRPr="00B845AF">
        <w:rPr>
          <w:rFonts w:asciiTheme="minorHAnsi" w:hAnsiTheme="minorHAnsi" w:cstheme="minorHAnsi"/>
          <w:lang w:val="en-US"/>
        </w:rPr>
        <w:lastRenderedPageBreak/>
        <w:t>that recommendation text had just been agreed that was never discussed in plenary, which Pew found very worrying, particularly for a science meeting, which should always be fully transparent. While Pew stated they understood that Heads of Delegation meetings are sometimes required to resolve contentious issues, Pew urged SC22 to ensure that any decisions taken in Heads of Delegation meetings are reported back to plenary in future, and that the process undertaken at SC22 not be repeated.</w:t>
      </w:r>
    </w:p>
    <w:p w14:paraId="42074FB3" w14:textId="77777777" w:rsidR="00C01281" w:rsidRPr="00B845AF" w:rsidRDefault="00C01281" w:rsidP="00C01281">
      <w:pPr>
        <w:pStyle w:val="SCtext"/>
        <w:numPr>
          <w:ilvl w:val="0"/>
          <w:numId w:val="0"/>
        </w:numPr>
        <w:rPr>
          <w:rFonts w:asciiTheme="minorHAnsi" w:hAnsiTheme="minorHAnsi" w:cstheme="minorHAnsi"/>
          <w:lang w:val="en-US"/>
        </w:rPr>
      </w:pPr>
    </w:p>
    <w:p w14:paraId="0B527557" w14:textId="77777777" w:rsidR="00C01281" w:rsidRPr="00B845AF" w:rsidRDefault="00C01281">
      <w:pPr>
        <w:pStyle w:val="SCtext"/>
        <w:rPr>
          <w:rFonts w:asciiTheme="minorHAnsi" w:hAnsiTheme="minorHAnsi" w:cstheme="minorHAnsi"/>
          <w:lang w:val="en-US"/>
        </w:rPr>
      </w:pPr>
      <w:r w:rsidRPr="00B845AF">
        <w:rPr>
          <w:rFonts w:asciiTheme="minorHAnsi" w:hAnsiTheme="minorHAnsi" w:cstheme="minorHAnsi"/>
          <w:lang w:val="en-US"/>
        </w:rPr>
        <w:t>The SSP made the following statement for the record:</w:t>
      </w:r>
    </w:p>
    <w:p w14:paraId="57623D19" w14:textId="77777777" w:rsidR="00C01281" w:rsidRPr="00B845AF" w:rsidRDefault="00C01281" w:rsidP="00C01281">
      <w:pPr>
        <w:pStyle w:val="SCtext"/>
        <w:numPr>
          <w:ilvl w:val="0"/>
          <w:numId w:val="0"/>
        </w:numPr>
        <w:rPr>
          <w:rFonts w:asciiTheme="minorHAnsi" w:hAnsiTheme="minorHAnsi" w:cstheme="minorHAnsi"/>
          <w:lang w:val="en-US"/>
        </w:rPr>
      </w:pPr>
    </w:p>
    <w:p w14:paraId="60D5D41A" w14:textId="756C50BC" w:rsidR="00C01281" w:rsidRPr="00B845AF" w:rsidRDefault="00C01281" w:rsidP="00C01281">
      <w:pPr>
        <w:pStyle w:val="SCtext"/>
        <w:numPr>
          <w:ilvl w:val="0"/>
          <w:numId w:val="0"/>
        </w:numPr>
        <w:ind w:leftChars="300" w:left="660"/>
        <w:rPr>
          <w:rFonts w:asciiTheme="minorHAnsi" w:hAnsiTheme="minorHAnsi" w:cstheme="minorHAnsi"/>
          <w:lang w:val="en-US"/>
        </w:rPr>
      </w:pPr>
      <w:r w:rsidRPr="00B845AF">
        <w:rPr>
          <w:rFonts w:asciiTheme="minorHAnsi" w:hAnsiTheme="minorHAnsi" w:cstheme="minorHAnsi"/>
          <w:lang w:val="en-US"/>
        </w:rPr>
        <w:t xml:space="preserve">As has been noted in the BET recommendations and across the floor, the 2026 BET assessment represents the most thorough and robust assessment of the stock to date. The SSP suggested that it provides an improved quantitative interpretation of what the available data indicates in terms of stock status and includes uncertainties that were not captured in previous assessments. Considerable efforts have been made by the team, and especially the lead author, to address comments on the previous assessments, the yellowfin peer review, and the Pre-Assessment Workshop. The time invested by staff to improve this assessment has been vastly more than their </w:t>
      </w:r>
      <w:proofErr w:type="gramStart"/>
      <w:r w:rsidRPr="00B845AF">
        <w:rPr>
          <w:rFonts w:asciiTheme="minorHAnsi" w:hAnsiTheme="minorHAnsi" w:cstheme="minorHAnsi"/>
          <w:lang w:val="en-US"/>
        </w:rPr>
        <w:t>9-5 day</w:t>
      </w:r>
      <w:proofErr w:type="gramEnd"/>
      <w:r w:rsidRPr="00B845AF">
        <w:rPr>
          <w:rFonts w:asciiTheme="minorHAnsi" w:hAnsiTheme="minorHAnsi" w:cstheme="minorHAnsi"/>
          <w:lang w:val="en-US"/>
        </w:rPr>
        <w:t xml:space="preserve"> job. The SSP </w:t>
      </w:r>
      <w:proofErr w:type="gramStart"/>
      <w:r w:rsidRPr="00B845AF">
        <w:rPr>
          <w:rFonts w:asciiTheme="minorHAnsi" w:hAnsiTheme="minorHAnsi" w:cstheme="minorHAnsi"/>
          <w:lang w:val="en-US"/>
        </w:rPr>
        <w:t>was of the opinion that</w:t>
      </w:r>
      <w:proofErr w:type="gramEnd"/>
      <w:r w:rsidRPr="00B845AF">
        <w:rPr>
          <w:rFonts w:asciiTheme="minorHAnsi" w:hAnsiTheme="minorHAnsi" w:cstheme="minorHAnsi"/>
          <w:lang w:val="en-US"/>
        </w:rPr>
        <w:t xml:space="preserve"> the 2026 assessment is a more informative and suitable assessment to be a basis for management advice than previous assessments of this stock, while acknowledging there may never be a perfect assessment that satisfies the technical specificities of all CCMs.</w:t>
      </w:r>
    </w:p>
    <w:p w14:paraId="0636D280" w14:textId="77777777" w:rsidR="00C01281" w:rsidRPr="00B845AF" w:rsidRDefault="00C01281" w:rsidP="00C01281">
      <w:pPr>
        <w:pStyle w:val="SCtext"/>
        <w:numPr>
          <w:ilvl w:val="0"/>
          <w:numId w:val="0"/>
        </w:numPr>
        <w:ind w:leftChars="300" w:left="660"/>
        <w:rPr>
          <w:rFonts w:asciiTheme="minorHAnsi" w:hAnsiTheme="minorHAnsi" w:cstheme="minorHAnsi"/>
          <w:lang w:val="en-US"/>
        </w:rPr>
      </w:pPr>
    </w:p>
    <w:p w14:paraId="00361EF1" w14:textId="77777777" w:rsidR="00C01281" w:rsidRPr="00B845AF" w:rsidRDefault="00C01281" w:rsidP="00C01281">
      <w:pPr>
        <w:pStyle w:val="SCtext"/>
        <w:numPr>
          <w:ilvl w:val="0"/>
          <w:numId w:val="0"/>
        </w:numPr>
        <w:ind w:leftChars="300" w:left="660"/>
        <w:rPr>
          <w:rFonts w:asciiTheme="minorHAnsi" w:hAnsiTheme="minorHAnsi" w:cstheme="minorHAnsi"/>
          <w:lang w:val="en-US"/>
        </w:rPr>
      </w:pPr>
      <w:r w:rsidRPr="00B845AF">
        <w:rPr>
          <w:rFonts w:asciiTheme="minorHAnsi" w:hAnsiTheme="minorHAnsi" w:cstheme="minorHAnsi"/>
          <w:lang w:val="en-US"/>
        </w:rPr>
        <w:t>While the SSP stated they understood the issues preventing SC22 from agreeing on the ensemble models, they noted there is substantial additional modelling work, both in the appendices of the working paper and in supporting IPs, that is available for CCMs to consider in comparison to the main assessment results.</w:t>
      </w:r>
    </w:p>
    <w:p w14:paraId="374DBDFF" w14:textId="77777777" w:rsidR="00C01281" w:rsidRPr="00B845AF" w:rsidRDefault="00C01281" w:rsidP="00C01281">
      <w:pPr>
        <w:pStyle w:val="SCtext"/>
        <w:numPr>
          <w:ilvl w:val="0"/>
          <w:numId w:val="0"/>
        </w:numPr>
        <w:ind w:leftChars="300" w:left="660"/>
        <w:rPr>
          <w:rFonts w:asciiTheme="minorHAnsi" w:hAnsiTheme="minorHAnsi" w:cstheme="minorHAnsi"/>
          <w:lang w:val="en-US"/>
        </w:rPr>
      </w:pPr>
    </w:p>
    <w:p w14:paraId="3C7EAD31" w14:textId="77777777" w:rsidR="00C01281" w:rsidRPr="00B845AF" w:rsidRDefault="00C01281" w:rsidP="00C01281">
      <w:pPr>
        <w:pStyle w:val="SCtext"/>
        <w:numPr>
          <w:ilvl w:val="0"/>
          <w:numId w:val="0"/>
        </w:numPr>
        <w:ind w:leftChars="300" w:left="660"/>
        <w:rPr>
          <w:rFonts w:asciiTheme="minorHAnsi" w:hAnsiTheme="minorHAnsi" w:cstheme="minorHAnsi"/>
          <w:lang w:val="en-US"/>
        </w:rPr>
      </w:pPr>
      <w:r w:rsidRPr="00B845AF">
        <w:rPr>
          <w:rFonts w:asciiTheme="minorHAnsi" w:hAnsiTheme="minorHAnsi" w:cstheme="minorHAnsi"/>
          <w:lang w:val="en-US"/>
        </w:rPr>
        <w:t xml:space="preserve">The SSP stated their view that everyone in the room recognized that the 2023 assessment is inferior to the assessment presented this </w:t>
      </w:r>
      <w:proofErr w:type="gramStart"/>
      <w:r w:rsidRPr="00B845AF">
        <w:rPr>
          <w:rFonts w:asciiTheme="minorHAnsi" w:hAnsiTheme="minorHAnsi" w:cstheme="minorHAnsi"/>
          <w:lang w:val="en-US"/>
        </w:rPr>
        <w:t>year, and</w:t>
      </w:r>
      <w:proofErr w:type="gramEnd"/>
      <w:r w:rsidRPr="00B845AF">
        <w:rPr>
          <w:rFonts w:asciiTheme="minorHAnsi" w:hAnsiTheme="minorHAnsi" w:cstheme="minorHAnsi"/>
          <w:lang w:val="en-US"/>
        </w:rPr>
        <w:t xml:space="preserve"> noted the irony of the situation in which SC22 now finds itself.</w:t>
      </w:r>
    </w:p>
    <w:p w14:paraId="62C6F296" w14:textId="77777777" w:rsidR="00C01281" w:rsidRPr="00B845AF" w:rsidRDefault="00C01281" w:rsidP="00C01281">
      <w:pPr>
        <w:pStyle w:val="SCtext"/>
        <w:numPr>
          <w:ilvl w:val="0"/>
          <w:numId w:val="0"/>
        </w:numPr>
        <w:ind w:leftChars="300" w:left="660"/>
        <w:rPr>
          <w:rFonts w:asciiTheme="minorHAnsi" w:hAnsiTheme="minorHAnsi" w:cstheme="minorHAnsi"/>
          <w:lang w:val="en-US"/>
        </w:rPr>
      </w:pPr>
    </w:p>
    <w:p w14:paraId="0EBEEF1A" w14:textId="055550C4" w:rsidR="00C01281" w:rsidRPr="00B845AF" w:rsidRDefault="00C01281" w:rsidP="00C01281">
      <w:pPr>
        <w:pStyle w:val="SCtext"/>
        <w:numPr>
          <w:ilvl w:val="0"/>
          <w:numId w:val="0"/>
        </w:numPr>
        <w:ind w:leftChars="300" w:left="660"/>
        <w:rPr>
          <w:rFonts w:asciiTheme="minorHAnsi" w:hAnsiTheme="minorHAnsi" w:cstheme="minorHAnsi"/>
          <w:lang w:val="en-US"/>
        </w:rPr>
      </w:pPr>
      <w:r w:rsidRPr="00B845AF">
        <w:rPr>
          <w:rFonts w:asciiTheme="minorHAnsi" w:hAnsiTheme="minorHAnsi" w:cstheme="minorHAnsi"/>
          <w:lang w:val="en-US"/>
        </w:rPr>
        <w:t xml:space="preserve">The SSP recognized that some of these issues relate to the timing of assessments, an issue that has been discussed over the last six or so years without </w:t>
      </w:r>
      <w:proofErr w:type="gramStart"/>
      <w:r w:rsidRPr="00B845AF">
        <w:rPr>
          <w:rFonts w:asciiTheme="minorHAnsi" w:hAnsiTheme="minorHAnsi" w:cstheme="minorHAnsi"/>
          <w:lang w:val="en-US"/>
        </w:rPr>
        <w:t>progress, and</w:t>
      </w:r>
      <w:proofErr w:type="gramEnd"/>
      <w:r w:rsidRPr="00B845AF">
        <w:rPr>
          <w:rFonts w:asciiTheme="minorHAnsi" w:hAnsiTheme="minorHAnsi" w:cstheme="minorHAnsi"/>
          <w:lang w:val="en-US"/>
        </w:rPr>
        <w:t xml:space="preserve"> stated their view that the ongoing discussions on the future operations of the SC should review where matters stand and consider areas for continual improvement.</w:t>
      </w:r>
    </w:p>
    <w:p w14:paraId="605B1FE6" w14:textId="77777777" w:rsidR="009E02C4" w:rsidRPr="00B845AF" w:rsidRDefault="009E02C4" w:rsidP="004709D4">
      <w:pPr>
        <w:rPr>
          <w:rFonts w:asciiTheme="minorHAnsi" w:eastAsiaTheme="minorEastAsia" w:hAnsiTheme="minorHAnsi" w:cstheme="minorHAnsi"/>
          <w:szCs w:val="22"/>
          <w:lang w:eastAsia="ko-KR"/>
        </w:rPr>
      </w:pPr>
    </w:p>
    <w:p w14:paraId="36DE7F41" w14:textId="7186E950" w:rsidR="000D2FCF" w:rsidRPr="00B845AF" w:rsidRDefault="001B7DC2" w:rsidP="002A7454">
      <w:pPr>
        <w:pStyle w:val="SCDR"/>
        <w:rPr>
          <w:rFonts w:asciiTheme="minorHAnsi" w:hAnsiTheme="minorHAnsi" w:cstheme="minorHAnsi"/>
          <w:lang w:eastAsia="ko-KR"/>
        </w:rPr>
      </w:pPr>
      <w:r w:rsidRPr="00B845AF">
        <w:rPr>
          <w:rFonts w:asciiTheme="minorHAnsi" w:hAnsiTheme="minorHAnsi" w:cstheme="minorHAnsi"/>
          <w:lang w:eastAsia="ko-KR"/>
        </w:rPr>
        <w:t>Outcomes</w:t>
      </w:r>
    </w:p>
    <w:p w14:paraId="4B199376" w14:textId="1C5F2D11" w:rsidR="002A231A" w:rsidRPr="00B845AF" w:rsidRDefault="002A231A">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SC22 thanked the SSP for the considerable effort undertaken in developing the 2026 bigeye tuna assessment (SC22-SA-WP06) and acknowledged the extensive work to address concerns raised with the previous assessment, incorporate feedback from the pre-PAW and pre-assessment workshop, and investigate alternative model configurations and key sources of uncertainty.</w:t>
      </w:r>
    </w:p>
    <w:p w14:paraId="0A509835" w14:textId="77777777" w:rsidR="002A231A" w:rsidRPr="00B845AF" w:rsidRDefault="002A231A" w:rsidP="002A231A">
      <w:pPr>
        <w:pStyle w:val="SCtext"/>
        <w:numPr>
          <w:ilvl w:val="0"/>
          <w:numId w:val="0"/>
        </w:numPr>
        <w:rPr>
          <w:rFonts w:asciiTheme="minorHAnsi" w:eastAsia="MS Mincho" w:hAnsiTheme="minorHAnsi" w:cstheme="minorHAnsi"/>
          <w:lang w:val="en-US" w:eastAsia="ja-JP"/>
        </w:rPr>
      </w:pPr>
    </w:p>
    <w:p w14:paraId="7AD5420B" w14:textId="2A38B7BD" w:rsidR="00502ECE" w:rsidRPr="00B845AF" w:rsidRDefault="00502ECE">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SC22 commended the SSP for the openness, transparency and reproducibility of the assessment development process, which facilitated meaningful engagement by CCMs’ scientists throughout the assessment process and enabled the Scientific Committee to undertake a comprehensive scientific review of the assessment. SC22 considered that these improvements represented an important advancement in the development and review of WCPFC stock assessments.</w:t>
      </w:r>
    </w:p>
    <w:p w14:paraId="5CEDA3FA" w14:textId="77777777" w:rsidR="00502ECE" w:rsidRPr="00B845AF" w:rsidRDefault="00502ECE" w:rsidP="00502ECE">
      <w:pPr>
        <w:pStyle w:val="SCtext"/>
        <w:numPr>
          <w:ilvl w:val="0"/>
          <w:numId w:val="0"/>
        </w:numPr>
        <w:rPr>
          <w:rFonts w:asciiTheme="minorHAnsi" w:eastAsia="MS Mincho" w:hAnsiTheme="minorHAnsi" w:cstheme="minorHAnsi"/>
          <w:lang w:val="en-US" w:eastAsia="ja-JP"/>
        </w:rPr>
      </w:pPr>
    </w:p>
    <w:p w14:paraId="1F5AF505" w14:textId="4A7C2013" w:rsidR="00D649E0" w:rsidRPr="00B845AF" w:rsidRDefault="00502ECE">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lastRenderedPageBreak/>
        <w:t xml:space="preserve">SC22 agreed there are </w:t>
      </w:r>
      <w:proofErr w:type="gramStart"/>
      <w:r w:rsidRPr="00B845AF">
        <w:rPr>
          <w:rFonts w:asciiTheme="minorHAnsi" w:eastAsia="Batang" w:hAnsiTheme="minorHAnsi" w:cstheme="minorHAnsi"/>
          <w:b/>
          <w:bCs/>
          <w:lang w:val="en-US"/>
        </w:rPr>
        <w:t>a number of</w:t>
      </w:r>
      <w:proofErr w:type="gramEnd"/>
      <w:r w:rsidRPr="00B845AF">
        <w:rPr>
          <w:rFonts w:asciiTheme="minorHAnsi" w:eastAsia="Batang" w:hAnsiTheme="minorHAnsi" w:cstheme="minorHAnsi"/>
          <w:b/>
          <w:bCs/>
          <w:lang w:val="en-US"/>
        </w:rPr>
        <w:t xml:space="preserve"> key outstanding uncertainties in the assessment, including tag mixing and the degree of potential overdispersion in the distribution of tag recaptures, which will need to be addressed before consensus can be reached and the assessment can be accepted.</w:t>
      </w:r>
    </w:p>
    <w:p w14:paraId="16E75C43" w14:textId="77777777" w:rsidR="00502ECE" w:rsidRPr="00B845AF" w:rsidRDefault="00502ECE" w:rsidP="00502ECE">
      <w:pPr>
        <w:pStyle w:val="SCtext"/>
        <w:numPr>
          <w:ilvl w:val="0"/>
          <w:numId w:val="0"/>
        </w:numPr>
        <w:rPr>
          <w:rFonts w:asciiTheme="minorHAnsi" w:eastAsia="Batang" w:hAnsiTheme="minorHAnsi" w:cstheme="minorHAnsi"/>
          <w:b/>
          <w:bCs/>
          <w:lang w:val="en-US"/>
        </w:rPr>
      </w:pPr>
    </w:p>
    <w:p w14:paraId="0E861FBC" w14:textId="50A869F2" w:rsidR="00502ECE" w:rsidRPr="00B845AF" w:rsidRDefault="00502ECE">
      <w:pPr>
        <w:pStyle w:val="SCtext"/>
        <w:rPr>
          <w:rFonts w:asciiTheme="minorHAnsi" w:eastAsia="Batang" w:hAnsiTheme="minorHAnsi" w:cstheme="minorHAnsi"/>
          <w:lang w:val="en-US"/>
        </w:rPr>
      </w:pPr>
      <w:r w:rsidRPr="00B845AF">
        <w:rPr>
          <w:rFonts w:asciiTheme="minorHAnsi" w:eastAsia="Batang" w:hAnsiTheme="minorHAnsi" w:cstheme="minorHAnsi"/>
          <w:b/>
          <w:bCs/>
          <w:lang w:val="en-US"/>
        </w:rPr>
        <w:t>SC22 recognized the 2026 WCPO bigeye stock assessment as the most scientifically advanced assessment of the stock developed to date. However, SC22 was unable to reach consensus on the appropriate ensemble grid for characterizing stock status and associated management risks and two grids were proposed.</w:t>
      </w:r>
      <w:r w:rsidRPr="00B845AF">
        <w:rPr>
          <w:rFonts w:asciiTheme="minorHAnsi" w:eastAsia="Batang" w:hAnsiTheme="minorHAnsi" w:cstheme="minorHAnsi"/>
          <w:lang w:val="en-US"/>
        </w:rPr>
        <w:t xml:space="preserve"> Some CCMs preferred the first (grid 1)</w:t>
      </w:r>
      <w:r w:rsidR="00501BC4" w:rsidRPr="00B845AF">
        <w:rPr>
          <w:rFonts w:asciiTheme="minorHAnsi" w:eastAsia="Batang" w:hAnsiTheme="minorHAnsi" w:cstheme="minorHAnsi"/>
          <w:lang w:val="en-US"/>
        </w:rPr>
        <w:t>,</w:t>
      </w:r>
      <w:r w:rsidRPr="00B845AF">
        <w:rPr>
          <w:rFonts w:asciiTheme="minorHAnsi" w:eastAsia="Batang" w:hAnsiTheme="minorHAnsi" w:cstheme="minorHAnsi"/>
          <w:lang w:val="en-US"/>
        </w:rPr>
        <w:t xml:space="preserve"> which incorporated both options of the ‘mixing period reporting </w:t>
      </w:r>
      <w:proofErr w:type="gramStart"/>
      <w:r w:rsidRPr="00B845AF">
        <w:rPr>
          <w:rFonts w:asciiTheme="minorHAnsi" w:eastAsia="Batang" w:hAnsiTheme="minorHAnsi" w:cstheme="minorHAnsi"/>
          <w:lang w:val="en-US"/>
        </w:rPr>
        <w:t>rate’</w:t>
      </w:r>
      <w:proofErr w:type="gramEnd"/>
      <w:r w:rsidRPr="00B845AF">
        <w:rPr>
          <w:rFonts w:asciiTheme="minorHAnsi" w:eastAsia="Batang" w:hAnsiTheme="minorHAnsi" w:cstheme="minorHAnsi"/>
          <w:lang w:val="en-US"/>
        </w:rPr>
        <w:t xml:space="preserve"> uncertainty axis and represented 80 models.</w:t>
      </w:r>
      <w:r w:rsidR="00903AB3" w:rsidRPr="00B845AF">
        <w:rPr>
          <w:rFonts w:asciiTheme="minorHAnsi" w:eastAsia="Batang" w:hAnsiTheme="minorHAnsi" w:cstheme="minorHAnsi"/>
          <w:lang w:val="en-US"/>
        </w:rPr>
        <w:t xml:space="preserve"> </w:t>
      </w:r>
      <w:r w:rsidR="00903AB3" w:rsidRPr="009A4F45">
        <w:rPr>
          <w:rFonts w:asciiTheme="minorHAnsi" w:eastAsia="Batang" w:hAnsiTheme="minorHAnsi" w:cstheme="minorHAnsi"/>
        </w:rPr>
        <w:t xml:space="preserve">These CCMs considered that the 80-model grid met the objective diagnostic criteria advised by SC17, noting that the SSP had considered a suite of diagnostics including model convergence, goodness-of-fit, retrospective consistency and prediction skill before proposing the grid. </w:t>
      </w:r>
      <w:r w:rsidRPr="00B845AF">
        <w:rPr>
          <w:rFonts w:asciiTheme="minorHAnsi" w:eastAsia="Batang" w:hAnsiTheme="minorHAnsi" w:cstheme="minorHAnsi"/>
          <w:lang w:val="en-US"/>
        </w:rPr>
        <w:t xml:space="preserve">Some </w:t>
      </w:r>
      <w:r w:rsidR="00530B87" w:rsidRPr="00B845AF">
        <w:rPr>
          <w:rFonts w:asciiTheme="minorHAnsi" w:eastAsia="Batang" w:hAnsiTheme="minorHAnsi" w:cstheme="minorHAnsi"/>
          <w:lang w:val="en-US"/>
        </w:rPr>
        <w:t>o</w:t>
      </w:r>
      <w:r w:rsidRPr="00B845AF">
        <w:rPr>
          <w:rFonts w:asciiTheme="minorHAnsi" w:eastAsia="Batang" w:hAnsiTheme="minorHAnsi" w:cstheme="minorHAnsi"/>
          <w:lang w:val="en-US"/>
        </w:rPr>
        <w:t xml:space="preserve">ther CCMs considered a second grid more scientifically defensible, the second (grid 2) incorporated only the ‘inclusion’ option of the ‘mixing period reporting </w:t>
      </w:r>
      <w:proofErr w:type="gramStart"/>
      <w:r w:rsidRPr="00B845AF">
        <w:rPr>
          <w:rFonts w:asciiTheme="minorHAnsi" w:eastAsia="Batang" w:hAnsiTheme="minorHAnsi" w:cstheme="minorHAnsi"/>
          <w:lang w:val="en-US"/>
        </w:rPr>
        <w:t>rate’</w:t>
      </w:r>
      <w:proofErr w:type="gramEnd"/>
      <w:r w:rsidRPr="00B845AF">
        <w:rPr>
          <w:rFonts w:asciiTheme="minorHAnsi" w:eastAsia="Batang" w:hAnsiTheme="minorHAnsi" w:cstheme="minorHAnsi"/>
          <w:lang w:val="en-US"/>
        </w:rPr>
        <w:t xml:space="preserve"> uncertainty axis and represented 34 models.</w:t>
      </w:r>
    </w:p>
    <w:p w14:paraId="5B421DC8" w14:textId="77777777" w:rsidR="001B7371" w:rsidRPr="009A4F45" w:rsidRDefault="001B7371" w:rsidP="00530B87">
      <w:pPr>
        <w:pStyle w:val="SCtext"/>
        <w:numPr>
          <w:ilvl w:val="0"/>
          <w:numId w:val="0"/>
        </w:numPr>
        <w:rPr>
          <w:rFonts w:asciiTheme="minorHAnsi" w:eastAsia="Batang" w:hAnsiTheme="minorHAnsi" w:cstheme="minorHAnsi"/>
        </w:rPr>
      </w:pPr>
    </w:p>
    <w:p w14:paraId="0A0038FE" w14:textId="67F54AD8" w:rsidR="00530B87" w:rsidRPr="00B845AF" w:rsidRDefault="00530B87">
      <w:pPr>
        <w:pStyle w:val="SCtext"/>
        <w:rPr>
          <w:rFonts w:asciiTheme="minorHAnsi" w:eastAsia="Batang" w:hAnsiTheme="minorHAnsi" w:cstheme="minorHAnsi"/>
          <w:lang w:val="en-US"/>
        </w:rPr>
      </w:pPr>
      <w:r w:rsidRPr="00B845AF">
        <w:rPr>
          <w:rFonts w:asciiTheme="minorHAnsi" w:eastAsia="Batang" w:hAnsiTheme="minorHAnsi" w:cstheme="minorHAnsi"/>
          <w:lang w:val="en-US"/>
        </w:rPr>
        <w:t>Both grids considered by SC22 indicated that</w:t>
      </w:r>
      <w:r w:rsidR="00617D61" w:rsidRPr="00B845AF">
        <w:rPr>
          <w:rFonts w:asciiTheme="minorHAnsi" w:eastAsia="Batang" w:hAnsiTheme="minorHAnsi" w:cstheme="minorHAnsi"/>
          <w:lang w:val="en-US"/>
        </w:rPr>
        <w:t>, on average, the stock was neither</w:t>
      </w:r>
      <w:r w:rsidRPr="00B845AF">
        <w:rPr>
          <w:rFonts w:asciiTheme="minorHAnsi" w:eastAsia="Batang" w:hAnsiTheme="minorHAnsi" w:cstheme="minorHAnsi"/>
          <w:lang w:val="en-US"/>
        </w:rPr>
        <w:t xml:space="preserve"> overfished nor subject to overfishing</w:t>
      </w:r>
      <w:r w:rsidR="00B2733A" w:rsidRPr="00B845AF">
        <w:rPr>
          <w:rFonts w:asciiTheme="minorHAnsi" w:eastAsia="Batang" w:hAnsiTheme="minorHAnsi" w:cstheme="minorHAnsi"/>
          <w:lang w:val="en-US"/>
        </w:rPr>
        <w:t xml:space="preserve"> (the median value of F is below FMSY and SB is above 20%SBF=0)</w:t>
      </w:r>
      <w:r w:rsidRPr="00B845AF">
        <w:rPr>
          <w:rFonts w:asciiTheme="minorHAnsi" w:eastAsia="Batang" w:hAnsiTheme="minorHAnsi" w:cstheme="minorHAnsi"/>
          <w:lang w:val="en-US"/>
        </w:rPr>
        <w:t xml:space="preserve">. In turn, both grids indicated that recent biomass was slightly below the average level over the period 2012-2015 (CMM 2025-02 objective). However, they </w:t>
      </w:r>
      <w:r w:rsidR="00B2733A" w:rsidRPr="00B845AF">
        <w:rPr>
          <w:rFonts w:asciiTheme="minorHAnsi" w:eastAsia="Batang" w:hAnsiTheme="minorHAnsi" w:cstheme="minorHAnsi"/>
          <w:lang w:val="en-US"/>
        </w:rPr>
        <w:t>resulted in</w:t>
      </w:r>
      <w:r w:rsidRPr="00B845AF">
        <w:rPr>
          <w:rFonts w:asciiTheme="minorHAnsi" w:eastAsia="Batang" w:hAnsiTheme="minorHAnsi" w:cstheme="minorHAnsi"/>
          <w:lang w:val="en-US"/>
        </w:rPr>
        <w:t xml:space="preserve"> different levels of risk of exceeding reference points (20% SBF=0 and FMSY).</w:t>
      </w:r>
    </w:p>
    <w:p w14:paraId="2DE46EFC" w14:textId="77777777" w:rsidR="000A53BC" w:rsidRPr="00B845AF" w:rsidRDefault="000A53BC" w:rsidP="000A53BC">
      <w:pPr>
        <w:pStyle w:val="SCtext"/>
        <w:numPr>
          <w:ilvl w:val="0"/>
          <w:numId w:val="0"/>
        </w:numPr>
        <w:rPr>
          <w:rFonts w:asciiTheme="minorHAnsi" w:eastAsia="Batang" w:hAnsiTheme="minorHAnsi" w:cstheme="minorHAnsi"/>
          <w:lang w:val="en-US"/>
        </w:rPr>
      </w:pPr>
    </w:p>
    <w:p w14:paraId="5C47CABE" w14:textId="54F6CE67" w:rsidR="000A53BC" w:rsidRPr="00B845AF" w:rsidRDefault="000A53BC" w:rsidP="00903AB3">
      <w:pPr>
        <w:pStyle w:val="SCtext"/>
        <w:rPr>
          <w:rFonts w:asciiTheme="minorHAnsi" w:eastAsia="Batang" w:hAnsiTheme="minorHAnsi" w:cstheme="minorHAnsi"/>
          <w:lang w:val="en-US"/>
        </w:rPr>
      </w:pPr>
      <w:r w:rsidRPr="00B845AF">
        <w:rPr>
          <w:rFonts w:asciiTheme="minorHAnsi" w:eastAsia="Batang" w:hAnsiTheme="minorHAnsi" w:cstheme="minorHAnsi"/>
          <w:lang w:val="en-US"/>
        </w:rPr>
        <w:t>Some CCMs noted that these grids should not receive equal weighting and considered that it would be more appropriate to apply a 60% weighting to grid 1 (80 runs) and a 40% weighting to grid 2 (3</w:t>
      </w:r>
      <w:r w:rsidR="00FA7897" w:rsidRPr="00B845AF">
        <w:rPr>
          <w:rFonts w:asciiTheme="minorHAnsi" w:eastAsia="Batang" w:hAnsiTheme="minorHAnsi" w:cstheme="minorHAnsi"/>
          <w:lang w:val="en-US"/>
        </w:rPr>
        <w:t>4</w:t>
      </w:r>
      <w:r w:rsidRPr="00B845AF">
        <w:rPr>
          <w:rFonts w:asciiTheme="minorHAnsi" w:eastAsia="Batang" w:hAnsiTheme="minorHAnsi" w:cstheme="minorHAnsi"/>
          <w:lang w:val="en-US"/>
        </w:rPr>
        <w:t xml:space="preserve"> runs). </w:t>
      </w:r>
      <w:r w:rsidR="00947108" w:rsidRPr="00B845AF">
        <w:rPr>
          <w:rFonts w:asciiTheme="minorHAnsi" w:eastAsia="Batang" w:hAnsiTheme="minorHAnsi" w:cstheme="minorHAnsi"/>
          <w:lang w:val="en-US"/>
        </w:rPr>
        <w:t xml:space="preserve">These CCMs </w:t>
      </w:r>
      <w:r w:rsidR="00047DEB" w:rsidRPr="00B845AF">
        <w:rPr>
          <w:rFonts w:asciiTheme="minorHAnsi" w:eastAsia="Batang" w:hAnsiTheme="minorHAnsi" w:cstheme="minorHAnsi"/>
          <w:lang w:val="en-US"/>
        </w:rPr>
        <w:t>suggested that</w:t>
      </w:r>
      <w:r w:rsidR="00947108" w:rsidRPr="00B845AF">
        <w:rPr>
          <w:rFonts w:asciiTheme="minorHAnsi" w:eastAsia="Batang" w:hAnsiTheme="minorHAnsi" w:cstheme="minorHAnsi"/>
          <w:lang w:val="en-US"/>
        </w:rPr>
        <w:t xml:space="preserve"> </w:t>
      </w:r>
      <w:r w:rsidR="00761FF9" w:rsidRPr="00B845AF">
        <w:rPr>
          <w:rFonts w:asciiTheme="minorHAnsi" w:eastAsia="Batang" w:hAnsiTheme="minorHAnsi" w:cstheme="minorHAnsi"/>
          <w:lang w:val="en-US"/>
        </w:rPr>
        <w:t>g</w:t>
      </w:r>
      <w:r w:rsidRPr="00B845AF">
        <w:rPr>
          <w:rFonts w:asciiTheme="minorHAnsi" w:eastAsia="Batang" w:hAnsiTheme="minorHAnsi" w:cstheme="minorHAnsi"/>
          <w:lang w:val="en-US"/>
        </w:rPr>
        <w:t xml:space="preserve">rid </w:t>
      </w:r>
      <w:r w:rsidR="00947108" w:rsidRPr="00B845AF">
        <w:rPr>
          <w:rFonts w:asciiTheme="minorHAnsi" w:eastAsia="Batang" w:hAnsiTheme="minorHAnsi" w:cstheme="minorHAnsi"/>
          <w:lang w:val="en-US"/>
        </w:rPr>
        <w:t>2</w:t>
      </w:r>
      <w:r w:rsidRPr="00B845AF">
        <w:rPr>
          <w:rFonts w:asciiTheme="minorHAnsi" w:eastAsia="Batang" w:hAnsiTheme="minorHAnsi" w:cstheme="minorHAnsi"/>
          <w:lang w:val="en-US"/>
        </w:rPr>
        <w:t xml:space="preserve"> is based on a single selection</w:t>
      </w:r>
      <w:r w:rsidR="00311EEF" w:rsidRPr="00B845AF">
        <w:rPr>
          <w:rFonts w:asciiTheme="minorHAnsi" w:eastAsia="Batang" w:hAnsiTheme="minorHAnsi" w:cstheme="minorHAnsi"/>
          <w:lang w:val="en-US"/>
        </w:rPr>
        <w:t xml:space="preserve"> criterion </w:t>
      </w:r>
      <w:r w:rsidR="0041750E" w:rsidRPr="00B845AF">
        <w:rPr>
          <w:rFonts w:asciiTheme="minorHAnsi" w:eastAsia="Batang" w:hAnsiTheme="minorHAnsi" w:cstheme="minorHAnsi"/>
          <w:lang w:val="en-US"/>
        </w:rPr>
        <w:t>and</w:t>
      </w:r>
      <w:r w:rsidR="00311EEF" w:rsidRPr="00B845AF">
        <w:rPr>
          <w:rFonts w:asciiTheme="minorHAnsi" w:eastAsia="Batang" w:hAnsiTheme="minorHAnsi" w:cstheme="minorHAnsi"/>
          <w:lang w:val="en-US"/>
        </w:rPr>
        <w:t xml:space="preserve"> the SPP</w:t>
      </w:r>
      <w:r w:rsidR="00047DEB" w:rsidRPr="00B845AF">
        <w:rPr>
          <w:rFonts w:asciiTheme="minorHAnsi" w:eastAsia="Batang" w:hAnsiTheme="minorHAnsi" w:cstheme="minorHAnsi"/>
          <w:lang w:val="en-US"/>
        </w:rPr>
        <w:t xml:space="preserve"> </w:t>
      </w:r>
      <w:r w:rsidRPr="00B845AF">
        <w:rPr>
          <w:rFonts w:asciiTheme="minorHAnsi" w:eastAsia="Batang" w:hAnsiTheme="minorHAnsi" w:cstheme="minorHAnsi"/>
          <w:lang w:val="en-US"/>
        </w:rPr>
        <w:t xml:space="preserve">noted </w:t>
      </w:r>
      <w:r w:rsidR="0041750E" w:rsidRPr="00B845AF">
        <w:rPr>
          <w:rFonts w:asciiTheme="minorHAnsi" w:eastAsia="Batang" w:hAnsiTheme="minorHAnsi" w:cstheme="minorHAnsi"/>
          <w:lang w:val="en-US"/>
        </w:rPr>
        <w:t xml:space="preserve">it </w:t>
      </w:r>
      <w:r w:rsidRPr="00B845AF">
        <w:rPr>
          <w:rFonts w:asciiTheme="minorHAnsi" w:eastAsia="Batang" w:hAnsiTheme="minorHAnsi" w:cstheme="minorHAnsi"/>
          <w:lang w:val="en-US"/>
        </w:rPr>
        <w:t>would require more time and consideration to understand the impacts of only using select runs in the grid.</w:t>
      </w:r>
      <w:r w:rsidR="00B2733A" w:rsidRPr="00B845AF">
        <w:rPr>
          <w:rFonts w:asciiTheme="minorHAnsi" w:eastAsia="Batang" w:hAnsiTheme="minorHAnsi" w:cstheme="minorHAnsi"/>
          <w:lang w:val="en-US"/>
        </w:rPr>
        <w:t xml:space="preserve"> Other CCMs noted weighting based on diagnostics should be only used for scenarios that are deemed plausible.</w:t>
      </w:r>
    </w:p>
    <w:p w14:paraId="5300FD97" w14:textId="77777777" w:rsidR="00B2733A" w:rsidRPr="00B845AF" w:rsidRDefault="00B2733A" w:rsidP="00B2733A">
      <w:pPr>
        <w:pStyle w:val="SCtext"/>
        <w:numPr>
          <w:ilvl w:val="0"/>
          <w:numId w:val="0"/>
        </w:numPr>
        <w:rPr>
          <w:rFonts w:asciiTheme="minorHAnsi" w:eastAsia="Batang" w:hAnsiTheme="minorHAnsi" w:cstheme="minorHAnsi"/>
          <w:lang w:val="en-US"/>
        </w:rPr>
      </w:pPr>
    </w:p>
    <w:p w14:paraId="6897D56E" w14:textId="07BCC20F" w:rsidR="00947108" w:rsidRPr="00B845AF" w:rsidRDefault="00947108">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For grid 1, SBrecent/SB2012-2015 was 0.97. Median depletion (SBrecent/SBF=0) was 0.28 (95%ile 0.14-0.44), with </w:t>
      </w:r>
      <w:proofErr w:type="gramStart"/>
      <w:r w:rsidRPr="00B845AF">
        <w:rPr>
          <w:rFonts w:asciiTheme="minorHAnsi" w:eastAsia="Batang" w:hAnsiTheme="minorHAnsi" w:cstheme="minorHAnsi"/>
          <w:lang w:val="en-US"/>
        </w:rPr>
        <w:t>a</w:t>
      </w:r>
      <w:proofErr w:type="gramEnd"/>
      <w:r w:rsidRPr="00B845AF">
        <w:rPr>
          <w:rFonts w:asciiTheme="minorHAnsi" w:eastAsia="Batang" w:hAnsiTheme="minorHAnsi" w:cstheme="minorHAnsi"/>
          <w:lang w:val="en-US"/>
        </w:rPr>
        <w:t xml:space="preserve"> 18.6% risk of the stock being below the LRP. Median fishing mortality relative to FMSY was 0.84 (95%ile 0.46-1.35), with a 24.1% risk of fishing mortality being above FMSY.</w:t>
      </w:r>
    </w:p>
    <w:p w14:paraId="6F6D7431" w14:textId="77777777" w:rsidR="00947108" w:rsidRPr="00B845AF" w:rsidRDefault="00947108" w:rsidP="00947108">
      <w:pPr>
        <w:pStyle w:val="SCtext"/>
        <w:numPr>
          <w:ilvl w:val="0"/>
          <w:numId w:val="0"/>
        </w:numPr>
        <w:rPr>
          <w:rFonts w:asciiTheme="minorHAnsi" w:eastAsia="Batang" w:hAnsiTheme="minorHAnsi" w:cstheme="minorHAnsi"/>
          <w:lang w:val="en-US"/>
        </w:rPr>
      </w:pPr>
    </w:p>
    <w:p w14:paraId="12A1E1BF" w14:textId="1BF500A5" w:rsidR="00947108" w:rsidRPr="00B845AF" w:rsidRDefault="00947108">
      <w:pPr>
        <w:pStyle w:val="SCtext"/>
        <w:rPr>
          <w:rFonts w:asciiTheme="minorHAnsi" w:eastAsia="Batang" w:hAnsiTheme="minorHAnsi" w:cstheme="minorHAnsi"/>
          <w:b/>
          <w:bCs/>
          <w:lang w:val="en-US"/>
        </w:rPr>
      </w:pPr>
      <w:r w:rsidRPr="00B845AF">
        <w:rPr>
          <w:rFonts w:asciiTheme="minorHAnsi" w:eastAsia="Batang" w:hAnsiTheme="minorHAnsi" w:cstheme="minorHAnsi"/>
          <w:lang w:val="en-US"/>
        </w:rPr>
        <w:t>For grid 2, SBrecent/SB2012-2015 was 0.97. Median depletion (SBrecent/SBF=0) was 0.25 (95%ile 0.13-0.49), with a 23.6% risk of the stock being below the LRP. Median fishing mortality relative to FMSY</w:t>
      </w:r>
      <w:r w:rsidRPr="00B845AF">
        <w:rPr>
          <w:rFonts w:asciiTheme="minorHAnsi" w:eastAsia="Batang" w:hAnsiTheme="minorHAnsi" w:cstheme="minorHAnsi"/>
          <w:b/>
          <w:bCs/>
          <w:lang w:val="en-US"/>
        </w:rPr>
        <w:t xml:space="preserve"> </w:t>
      </w:r>
      <w:r w:rsidRPr="00B845AF">
        <w:rPr>
          <w:rFonts w:asciiTheme="minorHAnsi" w:eastAsia="Batang" w:hAnsiTheme="minorHAnsi" w:cstheme="minorHAnsi"/>
          <w:lang w:val="en-US"/>
        </w:rPr>
        <w:t>was 0.92 (95%ile 0.34-1.44), with a 29.2% risk of fishing mortality being above FMSY.</w:t>
      </w:r>
    </w:p>
    <w:p w14:paraId="212672E4" w14:textId="77777777" w:rsidR="00947108" w:rsidRPr="00B845AF" w:rsidRDefault="00947108" w:rsidP="00947108">
      <w:pPr>
        <w:pStyle w:val="SCtext"/>
        <w:numPr>
          <w:ilvl w:val="0"/>
          <w:numId w:val="0"/>
        </w:numPr>
        <w:rPr>
          <w:rFonts w:asciiTheme="minorHAnsi" w:eastAsia="Batang" w:hAnsiTheme="minorHAnsi" w:cstheme="minorHAnsi"/>
          <w:b/>
          <w:bCs/>
          <w:lang w:val="en-US"/>
        </w:rPr>
      </w:pPr>
    </w:p>
    <w:p w14:paraId="631EB9D0" w14:textId="266BA72C" w:rsidR="00947108" w:rsidRPr="00B845AF" w:rsidRDefault="00947108">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recommended that the SSP convene a technical workshop in 2027 to review and explore approaches to improve the utilization of tagging data within regional stock assessments.</w:t>
      </w:r>
    </w:p>
    <w:p w14:paraId="1C5C6282" w14:textId="77777777" w:rsidR="00947108" w:rsidRPr="00B845AF" w:rsidRDefault="00947108" w:rsidP="00947108">
      <w:pPr>
        <w:pStyle w:val="SCtext"/>
        <w:numPr>
          <w:ilvl w:val="0"/>
          <w:numId w:val="0"/>
        </w:numPr>
        <w:rPr>
          <w:rFonts w:asciiTheme="minorHAnsi" w:eastAsia="Batang" w:hAnsiTheme="minorHAnsi" w:cstheme="minorHAnsi"/>
          <w:b/>
          <w:bCs/>
          <w:lang w:val="en-US"/>
        </w:rPr>
      </w:pPr>
    </w:p>
    <w:p w14:paraId="1C832761" w14:textId="58EB3BA1" w:rsidR="00947108" w:rsidRPr="00B845AF" w:rsidRDefault="00947108">
      <w:pPr>
        <w:pStyle w:val="SCtext"/>
        <w:rPr>
          <w:rFonts w:asciiTheme="minorHAnsi" w:eastAsia="Batang" w:hAnsiTheme="minorHAnsi" w:cstheme="minorHAnsi"/>
          <w:lang w:val="en-US"/>
        </w:rPr>
      </w:pPr>
      <w:r w:rsidRPr="00B845AF">
        <w:rPr>
          <w:rFonts w:asciiTheme="minorHAnsi" w:eastAsia="Batang" w:hAnsiTheme="minorHAnsi" w:cstheme="minorHAnsi"/>
          <w:b/>
          <w:bCs/>
          <w:lang w:val="en-US"/>
        </w:rPr>
        <w:t>SC22 recommended that</w:t>
      </w:r>
      <w:r w:rsidR="0057012B" w:rsidRPr="00B845AF">
        <w:rPr>
          <w:rFonts w:asciiTheme="minorHAnsi" w:eastAsia="Batang" w:hAnsiTheme="minorHAnsi" w:cstheme="minorHAnsi"/>
          <w:b/>
          <w:bCs/>
          <w:lang w:val="en-US"/>
        </w:rPr>
        <w:t xml:space="preserve"> the outcomes of the workshop be considered for incorporation into the next bigeye tuna assessment scheduled for 2029</w:t>
      </w:r>
      <w:r w:rsidRPr="00B845AF">
        <w:rPr>
          <w:rFonts w:asciiTheme="minorHAnsi" w:eastAsia="Batang" w:hAnsiTheme="minorHAnsi" w:cstheme="minorHAnsi"/>
          <w:b/>
          <w:bCs/>
          <w:lang w:val="en-US"/>
        </w:rPr>
        <w:t>.</w:t>
      </w:r>
    </w:p>
    <w:p w14:paraId="7ED035B6" w14:textId="77777777" w:rsidR="00947108" w:rsidRPr="00B845AF" w:rsidRDefault="00947108" w:rsidP="00947108">
      <w:pPr>
        <w:pStyle w:val="SCtext"/>
        <w:numPr>
          <w:ilvl w:val="0"/>
          <w:numId w:val="0"/>
        </w:numPr>
        <w:rPr>
          <w:rFonts w:asciiTheme="minorHAnsi" w:eastAsia="Batang" w:hAnsiTheme="minorHAnsi" w:cstheme="minorHAnsi"/>
          <w:lang w:val="en-US"/>
        </w:rPr>
      </w:pPr>
    </w:p>
    <w:p w14:paraId="0BB928D5" w14:textId="3194FC12" w:rsidR="00947108" w:rsidRPr="00B845AF" w:rsidRDefault="00947108">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recommended that the SSP utilize the Pre-Assessment Workshops in 2027</w:t>
      </w:r>
      <w:r w:rsidR="00AA7CD0" w:rsidRPr="00B845AF">
        <w:rPr>
          <w:rFonts w:asciiTheme="minorHAnsi" w:eastAsia="Batang" w:hAnsiTheme="minorHAnsi" w:cstheme="minorHAnsi"/>
          <w:b/>
          <w:bCs/>
          <w:lang w:val="en-US"/>
        </w:rPr>
        <w:t>,</w:t>
      </w:r>
      <w:r w:rsidRPr="00B845AF">
        <w:rPr>
          <w:rFonts w:asciiTheme="minorHAnsi" w:eastAsia="Batang" w:hAnsiTheme="minorHAnsi" w:cstheme="minorHAnsi"/>
          <w:b/>
          <w:bCs/>
          <w:lang w:val="en-US"/>
        </w:rPr>
        <w:t xml:space="preserve"> 2028</w:t>
      </w:r>
      <w:r w:rsidR="00AA7CD0" w:rsidRPr="00B845AF">
        <w:rPr>
          <w:rFonts w:asciiTheme="minorHAnsi" w:eastAsia="Batang" w:hAnsiTheme="minorHAnsi" w:cstheme="minorHAnsi"/>
          <w:b/>
          <w:bCs/>
          <w:lang w:val="en-US"/>
        </w:rPr>
        <w:t>, and 2029</w:t>
      </w:r>
      <w:r w:rsidRPr="00B845AF">
        <w:rPr>
          <w:rFonts w:asciiTheme="minorHAnsi" w:eastAsia="Batang" w:hAnsiTheme="minorHAnsi" w:cstheme="minorHAnsi"/>
          <w:b/>
          <w:bCs/>
          <w:lang w:val="en-US"/>
        </w:rPr>
        <w:t xml:space="preserve"> as an opportunity to discuss </w:t>
      </w:r>
      <w:r w:rsidR="00AA7CD0" w:rsidRPr="00B845AF">
        <w:rPr>
          <w:rFonts w:asciiTheme="minorHAnsi" w:eastAsia="Batang" w:hAnsiTheme="minorHAnsi" w:cstheme="minorHAnsi"/>
          <w:b/>
          <w:bCs/>
          <w:lang w:val="en-US"/>
        </w:rPr>
        <w:t xml:space="preserve">and prioritize </w:t>
      </w:r>
      <w:r w:rsidRPr="00B845AF">
        <w:rPr>
          <w:rFonts w:asciiTheme="minorHAnsi" w:eastAsia="Batang" w:hAnsiTheme="minorHAnsi" w:cstheme="minorHAnsi"/>
          <w:b/>
          <w:bCs/>
          <w:lang w:val="en-US"/>
        </w:rPr>
        <w:t>further research recommendations for the 2029 BET stock assessment, including the following suggestions from SC22:</w:t>
      </w:r>
    </w:p>
    <w:p w14:paraId="1AEEDB24" w14:textId="77777777" w:rsidR="009953EF" w:rsidRPr="00B845AF" w:rsidRDefault="009953EF" w:rsidP="009953EF">
      <w:pPr>
        <w:pStyle w:val="SCtext"/>
        <w:numPr>
          <w:ilvl w:val="0"/>
          <w:numId w:val="0"/>
        </w:numPr>
        <w:rPr>
          <w:rFonts w:asciiTheme="minorHAnsi" w:eastAsia="Batang" w:hAnsiTheme="minorHAnsi" w:cstheme="minorHAnsi"/>
          <w:b/>
          <w:bCs/>
          <w:lang w:val="en-US"/>
        </w:rPr>
      </w:pPr>
    </w:p>
    <w:p w14:paraId="065FEC15"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lang w:eastAsia="ja-JP"/>
        </w:rPr>
      </w:pPr>
      <w:r w:rsidRPr="00B845AF">
        <w:rPr>
          <w:rFonts w:asciiTheme="minorHAnsi" w:hAnsiTheme="minorHAnsi" w:cstheme="minorHAnsi"/>
        </w:rPr>
        <w:t>the weakly-determined recruitment and movement parameters identified through jitter analysis be further investigated, including whether recruitment deviations could be represented as random effects in next-generation assessment software, noting that the large number of fixed-</w:t>
      </w:r>
      <w:r w:rsidRPr="00B845AF">
        <w:rPr>
          <w:rFonts w:asciiTheme="minorHAnsi" w:hAnsiTheme="minorHAnsi" w:cstheme="minorHAnsi"/>
        </w:rPr>
        <w:lastRenderedPageBreak/>
        <w:t>effect recruitment deviations in MULTIFAN-CL remains a recurring source of over-parameterisation;</w:t>
      </w:r>
    </w:p>
    <w:p w14:paraId="28F0A79D"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rPr>
      </w:pPr>
      <w:r w:rsidRPr="00B845AF">
        <w:rPr>
          <w:rFonts w:asciiTheme="minorHAnsi" w:hAnsiTheme="minorHAnsi" w:cstheme="minorHAnsi"/>
        </w:rPr>
        <w:t xml:space="preserve">the sensitivity of regional recruitment estimates to the amount and spatial coverage of length-frequency data be tested, particularly for </w:t>
      </w:r>
      <w:proofErr w:type="gramStart"/>
      <w:r w:rsidRPr="00B845AF">
        <w:rPr>
          <w:rFonts w:asciiTheme="minorHAnsi" w:hAnsiTheme="minorHAnsi" w:cstheme="minorHAnsi"/>
        </w:rPr>
        <w:t>Regions</w:t>
      </w:r>
      <w:proofErr w:type="gramEnd"/>
      <w:r w:rsidRPr="00B845AF">
        <w:rPr>
          <w:rFonts w:asciiTheme="minorHAnsi" w:hAnsiTheme="minorHAnsi" w:cstheme="minorHAnsi"/>
        </w:rPr>
        <w:t xml:space="preserve"> 1 and 5, together with an examination of how information is transferred through the joint regional-allocation process;</w:t>
      </w:r>
    </w:p>
    <w:p w14:paraId="335AFE8A"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rPr>
      </w:pPr>
      <w:r w:rsidRPr="00B845AF">
        <w:rPr>
          <w:rFonts w:asciiTheme="minorHAnsi" w:hAnsiTheme="minorHAnsi" w:cstheme="minorHAnsi"/>
        </w:rPr>
        <w:t xml:space="preserve">the eight Dirichlet-multinomial (DM) groups and </w:t>
      </w:r>
      <w:proofErr w:type="spellStart"/>
      <w:r w:rsidRPr="00B845AF">
        <w:rPr>
          <w:rFonts w:asciiTheme="minorHAnsi" w:hAnsiTheme="minorHAnsi" w:cstheme="minorHAnsi"/>
        </w:rPr>
        <w:t>Nmax</w:t>
      </w:r>
      <w:proofErr w:type="spellEnd"/>
      <w:r w:rsidRPr="00B845AF">
        <w:rPr>
          <w:rFonts w:asciiTheme="minorHAnsi" w:hAnsiTheme="minorHAnsi" w:cstheme="minorHAnsi"/>
        </w:rPr>
        <w:t xml:space="preserve"> be re-evaluated using composition-level predictive checks or a finer hierarchical structure, so that persistent spatial and temporal heterogeneity is not forced into a single group-level relationship;</w:t>
      </w:r>
    </w:p>
    <w:p w14:paraId="44E3B911"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rPr>
      </w:pPr>
      <w:r w:rsidRPr="00B845AF">
        <w:rPr>
          <w:rFonts w:asciiTheme="minorHAnsi" w:hAnsiTheme="minorHAnsi" w:cstheme="minorHAnsi"/>
        </w:rPr>
        <w:t>evaluation of the regional CPUE-scaling penalty and its sensitivity to the global-index reference period be continued;</w:t>
      </w:r>
    </w:p>
    <w:p w14:paraId="6F3F9F35"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rPr>
      </w:pPr>
      <w:r w:rsidRPr="00B845AF">
        <w:rPr>
          <w:rFonts w:asciiTheme="minorHAnsi" w:hAnsiTheme="minorHAnsi" w:cstheme="minorHAnsi"/>
        </w:rPr>
        <w:t>the historical Indonesian handline catch allocation be reconstructed before the next assessment, in coordination with the West Pacific East Asia (WPEA) Project;</w:t>
      </w:r>
    </w:p>
    <w:p w14:paraId="76CBB2E1" w14:textId="77777777" w:rsidR="00947108" w:rsidRPr="00B845AF" w:rsidRDefault="00947108" w:rsidP="00D47778">
      <w:pPr>
        <w:pStyle w:val="ListParagraph"/>
        <w:widowControl w:val="0"/>
        <w:numPr>
          <w:ilvl w:val="0"/>
          <w:numId w:val="30"/>
        </w:numPr>
        <w:snapToGrid w:val="0"/>
        <w:ind w:left="709"/>
        <w:contextualSpacing/>
        <w:jc w:val="both"/>
        <w:rPr>
          <w:rFonts w:asciiTheme="minorHAnsi" w:hAnsiTheme="minorHAnsi" w:cstheme="minorHAnsi"/>
        </w:rPr>
      </w:pPr>
      <w:r w:rsidRPr="00B845AF">
        <w:rPr>
          <w:rFonts w:asciiTheme="minorHAnsi" w:hAnsiTheme="minorHAnsi" w:cstheme="minorHAnsi"/>
        </w:rPr>
        <w:t>self-tests be extended to structural cross-tests and alternative tag-likelihood formulations, and that fixed-movement likelihood profiles be repeated to distinguish the direct scaling effect of tag data from indirect effects transmitted through movement; and</w:t>
      </w:r>
    </w:p>
    <w:p w14:paraId="7F9A610A" w14:textId="24D6DBD6" w:rsidR="00947108" w:rsidRPr="00B845AF" w:rsidRDefault="00947108" w:rsidP="00D47778">
      <w:pPr>
        <w:pStyle w:val="ListParagraph"/>
        <w:widowControl w:val="0"/>
        <w:numPr>
          <w:ilvl w:val="0"/>
          <w:numId w:val="30"/>
        </w:numPr>
        <w:snapToGrid w:val="0"/>
        <w:spacing w:after="240"/>
        <w:ind w:left="709"/>
        <w:contextualSpacing/>
        <w:jc w:val="both"/>
        <w:rPr>
          <w:rFonts w:asciiTheme="minorHAnsi" w:hAnsiTheme="minorHAnsi" w:cstheme="minorHAnsi"/>
        </w:rPr>
      </w:pPr>
      <w:r w:rsidRPr="00B845AF">
        <w:rPr>
          <w:rFonts w:asciiTheme="minorHAnsi" w:hAnsiTheme="minorHAnsi" w:cstheme="minorHAnsi"/>
        </w:rPr>
        <w:t>a separate MULTIFAN-CL continuous-integration project be established to exercise assessment-critical flags and their interactions</w:t>
      </w:r>
      <w:r w:rsidR="00501BC4" w:rsidRPr="00B845AF">
        <w:rPr>
          <w:rFonts w:asciiTheme="minorHAnsi" w:hAnsiTheme="minorHAnsi" w:cstheme="minorHAnsi"/>
        </w:rPr>
        <w:t xml:space="preserve"> – </w:t>
      </w:r>
      <w:r w:rsidRPr="00B845AF">
        <w:rPr>
          <w:rFonts w:asciiTheme="minorHAnsi" w:hAnsiTheme="minorHAnsi" w:cstheme="minorHAnsi"/>
        </w:rPr>
        <w:t>including tau, the treatment of reporting rates prior to mixing, and mixing-period controls</w:t>
      </w:r>
      <w:r w:rsidR="00501BC4" w:rsidRPr="00B845AF">
        <w:rPr>
          <w:rFonts w:asciiTheme="minorHAnsi" w:hAnsiTheme="minorHAnsi" w:cstheme="minorHAnsi"/>
        </w:rPr>
        <w:t xml:space="preserve"> – </w:t>
      </w:r>
      <w:r w:rsidRPr="00B845AF">
        <w:rPr>
          <w:rFonts w:asciiTheme="minorHAnsi" w:hAnsiTheme="minorHAnsi" w:cstheme="minorHAnsi"/>
        </w:rPr>
        <w:t>on small, verified models, with automated checks of expected likelihood components, fitted outputs, and numerical failures, in order to reduce the risk that complex or poorly documented settings affect an assessment unnoticed.</w:t>
      </w:r>
      <w:r w:rsidRPr="00B845AF">
        <w:rPr>
          <w:rFonts w:asciiTheme="minorHAnsi" w:hAnsiTheme="minorHAnsi" w:cstheme="minorHAnsi"/>
          <w:b/>
          <w:bCs/>
          <w:color w:val="000000"/>
          <w:szCs w:val="22"/>
        </w:rPr>
        <w:t> </w:t>
      </w:r>
    </w:p>
    <w:p w14:paraId="6F2A8987" w14:textId="18F571B8" w:rsidR="00530B87" w:rsidRPr="00B845AF" w:rsidRDefault="00000000" w:rsidP="00D47778">
      <w:pPr>
        <w:pStyle w:val="ListParagraph"/>
        <w:widowControl w:val="0"/>
        <w:numPr>
          <w:ilvl w:val="0"/>
          <w:numId w:val="30"/>
        </w:numPr>
        <w:snapToGrid w:val="0"/>
        <w:spacing w:after="240"/>
        <w:ind w:left="709"/>
        <w:contextualSpacing/>
        <w:jc w:val="both"/>
        <w:rPr>
          <w:rFonts w:asciiTheme="minorHAnsi" w:hAnsiTheme="minorHAnsi" w:cstheme="minorHAnsi"/>
        </w:rPr>
      </w:pPr>
      <w:sdt>
        <w:sdtPr>
          <w:rPr>
            <w:rFonts w:asciiTheme="minorHAnsi" w:hAnsiTheme="minorHAnsi" w:cstheme="minorHAnsi"/>
          </w:rPr>
          <w:tag w:val="goog_rdk_78"/>
          <w:id w:val="-994775256"/>
        </w:sdtPr>
        <w:sdtContent>
          <w:r w:rsidR="00947108" w:rsidRPr="00B845AF">
            <w:rPr>
              <w:rFonts w:asciiTheme="minorHAnsi" w:eastAsia="Calibri" w:hAnsiTheme="minorHAnsi" w:cstheme="minorHAnsi"/>
            </w:rPr>
            <w:t xml:space="preserve">Further consider the use of </w:t>
          </w:r>
          <w:proofErr w:type="gramStart"/>
          <w:r w:rsidR="00947108" w:rsidRPr="00B845AF">
            <w:rPr>
              <w:rFonts w:asciiTheme="minorHAnsi" w:eastAsia="Calibri" w:hAnsiTheme="minorHAnsi" w:cstheme="minorHAnsi"/>
            </w:rPr>
            <w:t>spatially-implicit</w:t>
          </w:r>
          <w:proofErr w:type="gramEnd"/>
          <w:r w:rsidR="00947108" w:rsidRPr="00B845AF">
            <w:rPr>
              <w:rFonts w:asciiTheme="minorHAnsi" w:eastAsia="Calibri" w:hAnsiTheme="minorHAnsi" w:cstheme="minorHAnsi"/>
            </w:rPr>
            <w:t xml:space="preserve">, fleets-as-areas stock assessment models within future uncertainty grids given the uncertainties related to the treatment and use of tagging data; and the documented </w:t>
          </w:r>
          <w:proofErr w:type="spellStart"/>
          <w:r w:rsidR="00947108" w:rsidRPr="00B845AF">
            <w:rPr>
              <w:rFonts w:asciiTheme="minorHAnsi" w:eastAsia="Calibri" w:hAnsiTheme="minorHAnsi" w:cstheme="minorHAnsi"/>
            </w:rPr>
            <w:t>estimability</w:t>
          </w:r>
          <w:proofErr w:type="spellEnd"/>
          <w:r w:rsidR="00947108" w:rsidRPr="00B845AF">
            <w:rPr>
              <w:rFonts w:asciiTheme="minorHAnsi" w:eastAsia="Calibri" w:hAnsiTheme="minorHAnsi" w:cstheme="minorHAnsi"/>
            </w:rPr>
            <w:t xml:space="preserve"> challenges which continue to indicate that the current structure is too complex and over-parametrized.</w:t>
          </w:r>
        </w:sdtContent>
      </w:sdt>
    </w:p>
    <w:p w14:paraId="2E227917" w14:textId="2F3D0468" w:rsidR="003333EF" w:rsidRPr="00B845AF" w:rsidRDefault="003333EF">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recommended an independent peer review of the bigeye tuna assessment be undertaken in 2030, using the 2029 assessment as a basis for the review. </w:t>
      </w:r>
    </w:p>
    <w:p w14:paraId="52DEE5F1" w14:textId="77777777" w:rsidR="00B60E38" w:rsidRPr="00B845AF" w:rsidRDefault="00B60E38" w:rsidP="00B60E38">
      <w:pPr>
        <w:pStyle w:val="SCtext"/>
        <w:numPr>
          <w:ilvl w:val="0"/>
          <w:numId w:val="0"/>
        </w:numPr>
        <w:rPr>
          <w:rFonts w:asciiTheme="minorHAnsi" w:eastAsia="Batang" w:hAnsiTheme="minorHAnsi" w:cstheme="minorHAnsi"/>
          <w:b/>
          <w:bCs/>
          <w:lang w:val="en-US"/>
        </w:rPr>
      </w:pPr>
    </w:p>
    <w:p w14:paraId="5F8BC9A2" w14:textId="4ABE2447" w:rsidR="00B60E38" w:rsidRPr="00B845AF" w:rsidRDefault="00B60E38">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 xml:space="preserve">SC22 agreed that </w:t>
      </w:r>
      <w:r w:rsidR="00016DC0" w:rsidRPr="00B845AF">
        <w:rPr>
          <w:rFonts w:asciiTheme="minorHAnsi" w:eastAsia="Batang" w:hAnsiTheme="minorHAnsi" w:cstheme="minorHAnsi"/>
          <w:b/>
          <w:bCs/>
          <w:lang w:val="en-US"/>
        </w:rPr>
        <w:t>the lack of consensus</w:t>
      </w:r>
      <w:r w:rsidRPr="00B845AF">
        <w:rPr>
          <w:rFonts w:asciiTheme="minorHAnsi" w:eastAsia="Batang" w:hAnsiTheme="minorHAnsi" w:cstheme="minorHAnsi"/>
          <w:b/>
          <w:bCs/>
          <w:lang w:val="en-US"/>
        </w:rPr>
        <w:t xml:space="preserve"> o</w:t>
      </w:r>
      <w:r w:rsidR="00016DC0" w:rsidRPr="00B845AF">
        <w:rPr>
          <w:rFonts w:asciiTheme="minorHAnsi" w:eastAsia="Batang" w:hAnsiTheme="minorHAnsi" w:cstheme="minorHAnsi"/>
          <w:b/>
          <w:bCs/>
          <w:lang w:val="en-US"/>
        </w:rPr>
        <w:t>n</w:t>
      </w:r>
      <w:r w:rsidRPr="00B845AF">
        <w:rPr>
          <w:rFonts w:asciiTheme="minorHAnsi" w:eastAsia="Batang" w:hAnsiTheme="minorHAnsi" w:cstheme="minorHAnsi"/>
          <w:b/>
          <w:bCs/>
          <w:lang w:val="en-US"/>
        </w:rPr>
        <w:t xml:space="preserve"> the </w:t>
      </w:r>
      <w:r w:rsidR="0018141E" w:rsidRPr="00B845AF">
        <w:rPr>
          <w:rFonts w:asciiTheme="minorHAnsi" w:eastAsia="Batang" w:hAnsiTheme="minorHAnsi" w:cstheme="minorHAnsi"/>
          <w:b/>
          <w:bCs/>
          <w:lang w:val="en-US"/>
        </w:rPr>
        <w:t xml:space="preserve">2026 </w:t>
      </w:r>
      <w:r w:rsidRPr="00B845AF">
        <w:rPr>
          <w:rFonts w:asciiTheme="minorHAnsi" w:eastAsia="Batang" w:hAnsiTheme="minorHAnsi" w:cstheme="minorHAnsi"/>
          <w:b/>
          <w:bCs/>
          <w:lang w:val="en-US"/>
        </w:rPr>
        <w:t xml:space="preserve">stock assessment should not impede progress on the bigeye management procedure, noting that Commission consideration of a management procedure depends on the estimation method rather than directly on acceptance of the </w:t>
      </w:r>
      <w:r w:rsidR="0018141E" w:rsidRPr="00B845AF">
        <w:rPr>
          <w:rFonts w:asciiTheme="minorHAnsi" w:eastAsia="Batang" w:hAnsiTheme="minorHAnsi" w:cstheme="minorHAnsi"/>
          <w:b/>
          <w:bCs/>
          <w:lang w:val="en-US"/>
        </w:rPr>
        <w:t xml:space="preserve">most recent </w:t>
      </w:r>
      <w:r w:rsidRPr="00B845AF">
        <w:rPr>
          <w:rFonts w:asciiTheme="minorHAnsi" w:eastAsia="Batang" w:hAnsiTheme="minorHAnsi" w:cstheme="minorHAnsi"/>
          <w:b/>
          <w:bCs/>
          <w:lang w:val="en-US"/>
        </w:rPr>
        <w:t>stock assessment.</w:t>
      </w:r>
    </w:p>
    <w:p w14:paraId="53DC9C56" w14:textId="77777777" w:rsidR="00B60E38" w:rsidRPr="00B845AF" w:rsidRDefault="00B60E38" w:rsidP="00B60E38">
      <w:pPr>
        <w:pStyle w:val="SCtext"/>
        <w:numPr>
          <w:ilvl w:val="0"/>
          <w:numId w:val="0"/>
        </w:numPr>
        <w:rPr>
          <w:rFonts w:asciiTheme="minorHAnsi" w:eastAsia="Batang" w:hAnsiTheme="minorHAnsi" w:cstheme="minorHAnsi"/>
          <w:b/>
          <w:bCs/>
          <w:lang w:val="en-US"/>
        </w:rPr>
      </w:pPr>
    </w:p>
    <w:p w14:paraId="0A6E2C37" w14:textId="12258C71" w:rsidR="00947108" w:rsidRPr="00B845AF" w:rsidRDefault="00822930" w:rsidP="00501BC4">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 xml:space="preserve">SC22 noted that, within the harvest strategy framework, management advice should be generated through adopted management procedures, while stock assessments should primarily support </w:t>
      </w:r>
      <w:r w:rsidR="00501BC4" w:rsidRPr="00B845AF">
        <w:rPr>
          <w:rFonts w:asciiTheme="minorHAnsi" w:eastAsia="Batang" w:hAnsiTheme="minorHAnsi" w:cstheme="minorHAnsi"/>
          <w:b/>
          <w:bCs/>
          <w:lang w:val="en-US"/>
        </w:rPr>
        <w:t>monitoring</w:t>
      </w:r>
      <w:r w:rsidRPr="00B845AF">
        <w:rPr>
          <w:rFonts w:asciiTheme="minorHAnsi" w:eastAsia="Batang" w:hAnsiTheme="minorHAnsi" w:cstheme="minorHAnsi"/>
          <w:b/>
          <w:bCs/>
          <w:lang w:val="en-US"/>
        </w:rPr>
        <w:t>, evaluation and potential review of those procedures.</w:t>
      </w:r>
    </w:p>
    <w:p w14:paraId="0204EB9A" w14:textId="77777777" w:rsidR="004709D4" w:rsidRPr="00B845AF" w:rsidRDefault="004709D4" w:rsidP="00501BC4">
      <w:pPr>
        <w:pStyle w:val="SCtext"/>
        <w:numPr>
          <w:ilvl w:val="0"/>
          <w:numId w:val="0"/>
        </w:numPr>
        <w:rPr>
          <w:rFonts w:asciiTheme="minorHAnsi" w:eastAsia="Batang" w:hAnsiTheme="minorHAnsi" w:cstheme="minorHAnsi"/>
          <w:b/>
          <w:bCs/>
          <w:lang w:val="en-US"/>
        </w:rPr>
      </w:pPr>
    </w:p>
    <w:p w14:paraId="6522225B" w14:textId="594021D0" w:rsidR="00D649E0" w:rsidRPr="00B845AF" w:rsidRDefault="006A1D1E" w:rsidP="00501BC4">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eastAsia="ko-KR"/>
        </w:rPr>
      </w:pPr>
      <w:r w:rsidRPr="00B845AF">
        <w:rPr>
          <w:rFonts w:asciiTheme="minorHAnsi" w:eastAsia="Batang" w:hAnsiTheme="minorHAnsi" w:cstheme="minorHAnsi"/>
          <w:b/>
          <w:bCs/>
          <w:szCs w:val="22"/>
          <w:lang w:eastAsia="ko-KR"/>
        </w:rPr>
        <w:t>4.3.2.2</w:t>
      </w:r>
      <w:r w:rsidRPr="00B845AF">
        <w:rPr>
          <w:rFonts w:asciiTheme="minorHAnsi" w:eastAsia="Batang" w:hAnsiTheme="minorHAnsi" w:cstheme="minorHAnsi"/>
          <w:b/>
          <w:bCs/>
          <w:szCs w:val="22"/>
          <w:lang w:eastAsia="ko-KR"/>
        </w:rPr>
        <w:tab/>
      </w:r>
      <w:r w:rsidR="0085097E" w:rsidRPr="00B845AF">
        <w:rPr>
          <w:rFonts w:asciiTheme="minorHAnsi" w:eastAsia="Batang" w:hAnsiTheme="minorHAnsi" w:cstheme="minorHAnsi"/>
          <w:b/>
          <w:bCs/>
          <w:szCs w:val="22"/>
          <w:lang w:eastAsia="ko-KR"/>
        </w:rPr>
        <w:t>Provision of scientific information to the Commission</w:t>
      </w:r>
    </w:p>
    <w:p w14:paraId="451B85FC" w14:textId="77777777" w:rsidR="00501BC4" w:rsidRPr="00B845AF" w:rsidRDefault="00501BC4" w:rsidP="00501BC4">
      <w:pPr>
        <w:pStyle w:val="SCDR"/>
        <w:spacing w:after="0"/>
        <w:rPr>
          <w:rFonts w:asciiTheme="minorHAnsi" w:hAnsiTheme="minorHAnsi" w:cstheme="minorHAnsi"/>
          <w:lang w:eastAsia="ja-JP"/>
        </w:rPr>
      </w:pPr>
    </w:p>
    <w:p w14:paraId="5FF3B7B9" w14:textId="4589735D" w:rsidR="0061241D" w:rsidRPr="00B845AF" w:rsidRDefault="0061241D" w:rsidP="0061241D">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10127EA0" w14:textId="1AF412B5" w:rsidR="00350396" w:rsidRPr="00B845AF" w:rsidRDefault="00350396">
      <w:pPr>
        <w:pStyle w:val="SCtext"/>
        <w:rPr>
          <w:rFonts w:asciiTheme="minorHAnsi" w:hAnsiTheme="minorHAnsi" w:cstheme="minorHAnsi"/>
          <w:b/>
          <w:bCs/>
          <w:lang w:val="en-US"/>
        </w:rPr>
      </w:pPr>
      <w:r w:rsidRPr="00B845AF">
        <w:rPr>
          <w:rFonts w:asciiTheme="minorHAnsi" w:hAnsiTheme="minorHAnsi" w:cstheme="minorHAnsi"/>
          <w:b/>
          <w:bCs/>
          <w:lang w:val="en-US"/>
        </w:rPr>
        <w:t>SC22 reiterated the most recent stock status advice from SC19 that “the stock is very likely not experiencing overfishing (100% probability Frecent&lt;FMSY) and is not in an overfished condition (0% probability SBrecent/SBF=0&lt;LRP).”</w:t>
      </w:r>
    </w:p>
    <w:p w14:paraId="207E67A6" w14:textId="77777777" w:rsidR="00350396" w:rsidRPr="00B845AF" w:rsidRDefault="00350396" w:rsidP="00350396">
      <w:pPr>
        <w:pStyle w:val="SCtext"/>
        <w:numPr>
          <w:ilvl w:val="0"/>
          <w:numId w:val="0"/>
        </w:numPr>
        <w:rPr>
          <w:rFonts w:asciiTheme="minorHAnsi" w:hAnsiTheme="minorHAnsi" w:cstheme="minorHAnsi"/>
          <w:b/>
          <w:bCs/>
          <w:lang w:val="en-US"/>
        </w:rPr>
      </w:pPr>
    </w:p>
    <w:p w14:paraId="4BD5687A" w14:textId="03221F8C" w:rsidR="00350396" w:rsidRPr="00B845AF" w:rsidRDefault="00350396">
      <w:pPr>
        <w:pStyle w:val="SCtext"/>
        <w:rPr>
          <w:rFonts w:asciiTheme="minorHAnsi" w:hAnsiTheme="minorHAnsi" w:cstheme="minorHAnsi"/>
          <w:b/>
          <w:bCs/>
          <w:lang w:val="en-US"/>
        </w:rPr>
      </w:pPr>
      <w:r w:rsidRPr="00B845AF">
        <w:rPr>
          <w:rFonts w:asciiTheme="minorHAnsi" w:hAnsiTheme="minorHAnsi" w:cstheme="minorHAnsi"/>
          <w:b/>
          <w:bCs/>
          <w:lang w:val="en-US"/>
        </w:rPr>
        <w:t>SC22 noted the most recent accepted assessment at SC19 had an error in model specification and accordingly recommended interpreting the previous results with caution.</w:t>
      </w:r>
    </w:p>
    <w:p w14:paraId="4F20EB31" w14:textId="77777777" w:rsidR="00350396" w:rsidRPr="00B845AF" w:rsidRDefault="00350396" w:rsidP="00350396">
      <w:pPr>
        <w:pStyle w:val="SCtext"/>
        <w:numPr>
          <w:ilvl w:val="0"/>
          <w:numId w:val="0"/>
        </w:numPr>
        <w:rPr>
          <w:rFonts w:asciiTheme="minorHAnsi" w:hAnsiTheme="minorHAnsi" w:cstheme="minorHAnsi"/>
          <w:b/>
          <w:bCs/>
          <w:lang w:val="en-US"/>
        </w:rPr>
      </w:pPr>
    </w:p>
    <w:p w14:paraId="5D7DD1D6" w14:textId="0EC1AFDD" w:rsidR="0061241D" w:rsidRPr="00B845AF" w:rsidRDefault="00350396">
      <w:pPr>
        <w:pStyle w:val="SCtext"/>
        <w:rPr>
          <w:rFonts w:asciiTheme="minorHAnsi" w:hAnsiTheme="minorHAnsi" w:cstheme="minorHAnsi"/>
          <w:b/>
          <w:bCs/>
          <w:lang w:val="en-US"/>
        </w:rPr>
      </w:pPr>
      <w:r w:rsidRPr="00B845AF">
        <w:rPr>
          <w:rFonts w:asciiTheme="minorHAnsi" w:hAnsiTheme="minorHAnsi" w:cstheme="minorHAnsi"/>
          <w:b/>
          <w:bCs/>
          <w:lang w:val="en-US"/>
        </w:rPr>
        <w:lastRenderedPageBreak/>
        <w:t>SC22 recommended</w:t>
      </w:r>
      <w:r w:rsidR="00ED3E13" w:rsidRPr="00B845AF">
        <w:rPr>
          <w:rFonts w:asciiTheme="minorHAnsi" w:hAnsiTheme="minorHAnsi" w:cstheme="minorHAnsi"/>
          <w:b/>
          <w:bCs/>
          <w:lang w:val="en-US"/>
        </w:rPr>
        <w:t xml:space="preserve"> </w:t>
      </w:r>
      <w:r w:rsidR="00AA47C0" w:rsidRPr="00B845AF">
        <w:rPr>
          <w:rFonts w:asciiTheme="minorHAnsi" w:hAnsiTheme="minorHAnsi" w:cstheme="minorHAnsi"/>
          <w:b/>
          <w:bCs/>
          <w:lang w:val="en-US"/>
        </w:rPr>
        <w:t>ensuring that catch and/or effort levels remain consistent with the evaluations of the bigeye management procedure and recommended the Commission adopt a bigeye management procedure, noting that the evaluations have yet to be finalized.</w:t>
      </w:r>
    </w:p>
    <w:p w14:paraId="1AF9CB85" w14:textId="7C016117" w:rsidR="0085097E" w:rsidRPr="00B845AF" w:rsidRDefault="0085097E" w:rsidP="0085097E">
      <w:pPr>
        <w:pStyle w:val="SCtext"/>
        <w:numPr>
          <w:ilvl w:val="0"/>
          <w:numId w:val="0"/>
        </w:numPr>
        <w:rPr>
          <w:rFonts w:asciiTheme="minorHAnsi" w:hAnsiTheme="minorHAnsi" w:cstheme="minorHAnsi"/>
          <w:lang w:val="en-US"/>
        </w:rPr>
      </w:pPr>
    </w:p>
    <w:p w14:paraId="2E5AB81E" w14:textId="1B812F86" w:rsidR="0085097E" w:rsidRPr="00B845AF" w:rsidRDefault="0085097E">
      <w:pPr>
        <w:pStyle w:val="SC3"/>
        <w:rPr>
          <w:rFonts w:asciiTheme="minorHAnsi" w:hAnsiTheme="minorHAnsi" w:cstheme="minorHAnsi"/>
        </w:rPr>
      </w:pPr>
      <w:r w:rsidRPr="00B845AF">
        <w:rPr>
          <w:rFonts w:asciiTheme="minorHAnsi" w:hAnsiTheme="minorHAnsi" w:cstheme="minorHAnsi"/>
        </w:rPr>
        <w:t>Fisheries indicators for target tuna stocks</w:t>
      </w:r>
    </w:p>
    <w:p w14:paraId="5A0E0401" w14:textId="26666494" w:rsidR="008768B8" w:rsidRPr="00B845AF" w:rsidRDefault="008768B8" w:rsidP="004F06D5">
      <w:pPr>
        <w:pStyle w:val="SCtext"/>
        <w:spacing w:line="259" w:lineRule="auto"/>
        <w:rPr>
          <w:rFonts w:asciiTheme="minorHAnsi" w:hAnsiTheme="minorHAnsi" w:cstheme="minorHAnsi"/>
          <w:lang w:val="en-US"/>
        </w:rPr>
      </w:pPr>
      <w:r w:rsidRPr="00B845AF">
        <w:rPr>
          <w:rFonts w:asciiTheme="minorHAnsi" w:eastAsia="MS Mincho" w:hAnsiTheme="minorHAnsi" w:cstheme="minorHAnsi"/>
          <w:lang w:val="en-US" w:eastAsia="ja-JP"/>
        </w:rPr>
        <w:t xml:space="preserve">The SSP presented </w:t>
      </w:r>
      <w:r w:rsidR="53B3F082" w:rsidRPr="00B845AF">
        <w:rPr>
          <w:rFonts w:asciiTheme="minorHAnsi" w:eastAsia="MS Mincho" w:hAnsiTheme="minorHAnsi" w:cstheme="minorHAnsi"/>
          <w:lang w:val="en-US" w:eastAsia="ja-JP"/>
        </w:rPr>
        <w:t>WCPFC-SC22-2026-SA-WP07</w:t>
      </w:r>
      <w:r w:rsidR="050DFE2A"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 xml:space="preserve"> the annual compendium of fisheries indicators for the four target tuna stocks (catch by gear, </w:t>
      </w:r>
      <w:r w:rsidR="413286F4" w:rsidRPr="00B845AF">
        <w:rPr>
          <w:rFonts w:asciiTheme="minorHAnsi" w:eastAsia="MS Mincho" w:hAnsiTheme="minorHAnsi" w:cstheme="minorHAnsi"/>
          <w:lang w:val="en-US" w:eastAsia="ja-JP"/>
        </w:rPr>
        <w:t xml:space="preserve">nominal </w:t>
      </w:r>
      <w:r w:rsidR="050DFE2A" w:rsidRPr="00B845AF">
        <w:rPr>
          <w:rFonts w:asciiTheme="minorHAnsi" w:eastAsia="MS Mincho" w:hAnsiTheme="minorHAnsi" w:cstheme="minorHAnsi"/>
          <w:lang w:val="en-US" w:eastAsia="ja-JP"/>
        </w:rPr>
        <w:t xml:space="preserve">CPUE </w:t>
      </w:r>
      <w:r w:rsidR="23204165" w:rsidRPr="00B845AF">
        <w:rPr>
          <w:rFonts w:asciiTheme="minorHAnsi" w:eastAsia="MS Mincho" w:hAnsiTheme="minorHAnsi" w:cstheme="minorHAnsi"/>
          <w:lang w:val="en-US" w:eastAsia="ja-JP"/>
        </w:rPr>
        <w:t>time series</w:t>
      </w:r>
      <w:r w:rsidRPr="00B845AF">
        <w:rPr>
          <w:rFonts w:asciiTheme="minorHAnsi" w:eastAsia="MS Mincho" w:hAnsiTheme="minorHAnsi" w:cstheme="minorHAnsi"/>
          <w:lang w:val="en-US" w:eastAsia="ja-JP"/>
        </w:rPr>
        <w:t xml:space="preserve">, spatial distribution of catch and CPUE, size composition, and short-term stochastic projections), noting that a companion paper on South Pacific albacore (SA-IP09) also contributes </w:t>
      </w:r>
      <w:r w:rsidR="58B838E8" w:rsidRPr="00B845AF">
        <w:rPr>
          <w:rFonts w:asciiTheme="minorHAnsi" w:eastAsia="MS Mincho" w:hAnsiTheme="minorHAnsi" w:cstheme="minorHAnsi"/>
          <w:lang w:val="en-US" w:eastAsia="ja-JP"/>
        </w:rPr>
        <w:t>information for this stock</w:t>
      </w:r>
      <w:r w:rsidRPr="00B845AF">
        <w:rPr>
          <w:rFonts w:asciiTheme="minorHAnsi" w:eastAsia="MS Mincho" w:hAnsiTheme="minorHAnsi" w:cstheme="minorHAnsi"/>
          <w:lang w:val="en-US" w:eastAsia="ja-JP"/>
        </w:rPr>
        <w:t xml:space="preserve">. </w:t>
      </w:r>
    </w:p>
    <w:p w14:paraId="66B46135" w14:textId="77777777" w:rsidR="008768B8" w:rsidRPr="00B845AF" w:rsidRDefault="008768B8" w:rsidP="008768B8">
      <w:pPr>
        <w:pStyle w:val="SCtext"/>
        <w:numPr>
          <w:ilvl w:val="0"/>
          <w:numId w:val="0"/>
        </w:numPr>
        <w:rPr>
          <w:rFonts w:asciiTheme="minorHAnsi" w:eastAsia="MS Mincho" w:hAnsiTheme="minorHAnsi" w:cstheme="minorHAnsi"/>
          <w:lang w:val="en-US" w:eastAsia="ja-JP"/>
        </w:rPr>
      </w:pPr>
    </w:p>
    <w:p w14:paraId="2361F4B8" w14:textId="43FC37A4" w:rsidR="0085097E" w:rsidRPr="00B845AF" w:rsidRDefault="008768B8" w:rsidP="008662C9">
      <w:pPr>
        <w:pStyle w:val="SCtext"/>
        <w:numPr>
          <w:ilvl w:val="0"/>
          <w:numId w:val="0"/>
        </w:numPr>
        <w:spacing w:line="259" w:lineRule="auto"/>
        <w:rPr>
          <w:rFonts w:asciiTheme="minorHAnsi" w:hAnsiTheme="minorHAnsi" w:cstheme="minorHAnsi"/>
          <w:lang w:val="en-US"/>
        </w:rPr>
      </w:pPr>
      <w:r w:rsidRPr="00B845AF">
        <w:rPr>
          <w:rFonts w:asciiTheme="minorHAnsi" w:eastAsia="MS Mincho" w:hAnsiTheme="minorHAnsi" w:cstheme="minorHAnsi"/>
          <w:lang w:val="en-US" w:eastAsia="ja-JP"/>
        </w:rPr>
        <w:t xml:space="preserve">For skipjack, 2025 catch fell 19% to 1,668,409 mt, with the FAD-associated share of purse seine catch rising from 40% to 58% and pole-and-line catch at its lowest in 50 years, while short-term projections showed a median 2027 SB/SB(F=0) of 0.53 against a TRP of 0.52 and zero risk of overfishing or an overfished condition. South Pacific albacore catch was 55,570 mt (WCPFC only), the </w:t>
      </w:r>
      <w:r w:rsidR="008662C9" w:rsidRPr="00B845AF">
        <w:rPr>
          <w:rFonts w:asciiTheme="minorHAnsi" w:eastAsia="MS Mincho" w:hAnsiTheme="minorHAnsi" w:cstheme="minorHAnsi"/>
          <w:lang w:val="en-US" w:eastAsia="ja-JP"/>
        </w:rPr>
        <w:t>second lowest</w:t>
      </w:r>
      <w:r w:rsidRPr="00B845AF">
        <w:rPr>
          <w:rFonts w:asciiTheme="minorHAnsi" w:eastAsia="MS Mincho" w:hAnsiTheme="minorHAnsi" w:cstheme="minorHAnsi"/>
          <w:lang w:val="en-US" w:eastAsia="ja-JP"/>
        </w:rPr>
        <w:t xml:space="preserve"> in 20 years, with longline CPUE broadly stable apart from a small 2024-2025 decline and a notable increase for the Chinese Taipei fleet; projections indicated a median 2027 SB/SB(F=0) of 0.53 against a TRP of 0.50, again with zero projected risk of overfishing or an overfished condition. Bigeye catch reached 155,864 mt, the highest since 2018, driven by a reversal of the decadal trend with a 43% increase in purse seine bigeye catch </w:t>
      </w:r>
      <w:r w:rsidR="5E523CA3" w:rsidRPr="00B845AF">
        <w:rPr>
          <w:rFonts w:asciiTheme="minorHAnsi" w:eastAsia="MS Mincho" w:hAnsiTheme="minorHAnsi" w:cstheme="minorHAnsi"/>
          <w:lang w:val="en-US" w:eastAsia="ja-JP"/>
        </w:rPr>
        <w:t>in 202</w:t>
      </w:r>
      <w:r w:rsidR="5D9E655F" w:rsidRPr="00B845AF">
        <w:rPr>
          <w:rFonts w:asciiTheme="minorHAnsi" w:eastAsia="MS Mincho" w:hAnsiTheme="minorHAnsi" w:cstheme="minorHAnsi"/>
          <w:lang w:val="en-US" w:eastAsia="ja-JP"/>
        </w:rPr>
        <w:t>5</w:t>
      </w:r>
      <w:r w:rsidR="40142A5E" w:rsidRPr="00B845AF">
        <w:rPr>
          <w:rFonts w:asciiTheme="minorHAnsi" w:eastAsia="MS Mincho" w:hAnsiTheme="minorHAnsi" w:cstheme="minorHAnsi"/>
          <w:lang w:val="en-US" w:eastAsia="ja-JP"/>
        </w:rPr>
        <w:t xml:space="preserve"> compared </w:t>
      </w:r>
      <w:r w:rsidR="60E2B569" w:rsidRPr="00B845AF">
        <w:rPr>
          <w:rFonts w:asciiTheme="minorHAnsi" w:eastAsia="MS Mincho" w:hAnsiTheme="minorHAnsi" w:cstheme="minorHAnsi"/>
          <w:lang w:val="en-US" w:eastAsia="ja-JP"/>
        </w:rPr>
        <w:t>to 202</w:t>
      </w:r>
      <w:r w:rsidR="399D4858" w:rsidRPr="00B845AF">
        <w:rPr>
          <w:rFonts w:asciiTheme="minorHAnsi" w:eastAsia="MS Mincho" w:hAnsiTheme="minorHAnsi" w:cstheme="minorHAnsi"/>
          <w:lang w:val="en-US" w:eastAsia="ja-JP"/>
        </w:rPr>
        <w:t>4</w:t>
      </w:r>
      <w:r w:rsidR="5E523CA3"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lang w:val="en-US" w:eastAsia="ja-JP"/>
        </w:rPr>
        <w:t xml:space="preserve">and a continued rise in the “Other” gear </w:t>
      </w:r>
      <w:r w:rsidR="6EE87235" w:rsidRPr="00B845AF">
        <w:rPr>
          <w:rFonts w:asciiTheme="minorHAnsi" w:eastAsia="MS Mincho" w:hAnsiTheme="minorHAnsi" w:cstheme="minorHAnsi"/>
          <w:lang w:val="en-US" w:eastAsia="ja-JP"/>
        </w:rPr>
        <w:t>catch</w:t>
      </w:r>
      <w:r w:rsidRPr="00B845AF">
        <w:rPr>
          <w:rFonts w:asciiTheme="minorHAnsi" w:eastAsia="MS Mincho" w:hAnsiTheme="minorHAnsi" w:cstheme="minorHAnsi"/>
          <w:lang w:val="en-US" w:eastAsia="ja-JP"/>
        </w:rPr>
        <w:t xml:space="preserve">; yellowfin catch was 677,123 mt, described as </w:t>
      </w:r>
      <w:r w:rsidR="17A0E9E4" w:rsidRPr="00B845AF">
        <w:rPr>
          <w:rFonts w:asciiTheme="minorHAnsi" w:eastAsia="MS Mincho" w:hAnsiTheme="minorHAnsi" w:cstheme="minorHAnsi"/>
          <w:lang w:val="en-US" w:eastAsia="ja-JP"/>
        </w:rPr>
        <w:t>a steady</w:t>
      </w:r>
      <w:r w:rsidRPr="00B845AF">
        <w:rPr>
          <w:rFonts w:asciiTheme="minorHAnsi" w:eastAsia="MS Mincho" w:hAnsiTheme="minorHAnsi" w:cstheme="minorHAnsi"/>
          <w:lang w:val="en-US" w:eastAsia="ja-JP"/>
        </w:rPr>
        <w:t xml:space="preserve"> fishery, with the purse seine share at its lowest since 1997 and the “Other” gear share at a record high. No short-term projections were presented for bigeye or yellowfin, since a new assessment was undertaken in 2026 and a final model grid has yet to be selected by SC22.</w:t>
      </w:r>
    </w:p>
    <w:p w14:paraId="2EAFBFA3" w14:textId="27578B1C" w:rsidR="004709D4" w:rsidRPr="00B845AF" w:rsidRDefault="004709D4" w:rsidP="004709D4">
      <w:pPr>
        <w:pStyle w:val="SCtext"/>
        <w:numPr>
          <w:ilvl w:val="0"/>
          <w:numId w:val="0"/>
        </w:numPr>
        <w:rPr>
          <w:rFonts w:asciiTheme="minorHAnsi" w:eastAsia="MS Mincho" w:hAnsiTheme="minorHAnsi" w:cstheme="minorHAnsi"/>
          <w:lang w:val="en-US" w:eastAsia="ja-JP"/>
        </w:rPr>
      </w:pPr>
    </w:p>
    <w:p w14:paraId="6480822B" w14:textId="2E5A03E6" w:rsidR="004709D4" w:rsidRPr="00B845AF" w:rsidRDefault="004709D4" w:rsidP="004709D4">
      <w:pPr>
        <w:pStyle w:val="SCDR"/>
        <w:keepNext w:val="0"/>
        <w:widowControl w:val="0"/>
        <w:rPr>
          <w:rFonts w:asciiTheme="minorHAnsi" w:hAnsiTheme="minorHAnsi" w:cstheme="minorHAnsi"/>
        </w:rPr>
      </w:pPr>
      <w:r w:rsidRPr="00B845AF">
        <w:rPr>
          <w:rFonts w:asciiTheme="minorHAnsi" w:hAnsiTheme="minorHAnsi" w:cstheme="minorHAnsi"/>
        </w:rPr>
        <w:t>Discussion</w:t>
      </w:r>
    </w:p>
    <w:p w14:paraId="748C4F23" w14:textId="3360512A" w:rsidR="004709D4" w:rsidRPr="00B845AF" w:rsidRDefault="0034464B">
      <w:pPr>
        <w:pStyle w:val="SCtext"/>
        <w:rPr>
          <w:rFonts w:asciiTheme="minorHAnsi" w:hAnsiTheme="minorHAnsi" w:cstheme="minorHAnsi"/>
          <w:lang w:val="en-US"/>
        </w:rPr>
      </w:pPr>
      <w:r w:rsidRPr="00B845AF">
        <w:rPr>
          <w:rFonts w:asciiTheme="minorHAnsi" w:eastAsia="MS Mincho" w:hAnsiTheme="minorHAnsi" w:cstheme="minorHAnsi"/>
          <w:lang w:val="en-US" w:eastAsia="ja-JP"/>
        </w:rPr>
        <w:t>Chinese Taipei asked about the sharp decline in nominal Japanese longline CPUE observed in the paper, with bigeye down approximately 72% and yellowfin down more than 80%, compared with a much smaller change in the Korean series, and asked whether recent within-area declines in Japanese longline bigeye mean weight were still apparent after accounting for spatial distribution, and whether the 2026 assessment offered any indication that recruitment, growth, or selectivity might be involved. The SSP responded that the longer-term trend in bigeye mean weight since 2000 appeared stable and that the recent decline did not appear especially significant, possibly reflecting recruitment cycles, but that this would need to be discussed with the Japanese delegation, and that the assessment likely did not contain information capable of distinguishing changes in selectivity over the last year or two. Chinese Taipei later clarified that its original question on bigeye mean weight had been based on a misreading of the figures and withdrew that point.</w:t>
      </w:r>
    </w:p>
    <w:p w14:paraId="11167BEC" w14:textId="77777777" w:rsidR="0034464B" w:rsidRPr="00B845AF" w:rsidRDefault="0034464B" w:rsidP="0034464B">
      <w:pPr>
        <w:pStyle w:val="SCtext"/>
        <w:numPr>
          <w:ilvl w:val="0"/>
          <w:numId w:val="0"/>
        </w:numPr>
        <w:rPr>
          <w:rFonts w:asciiTheme="minorHAnsi" w:hAnsiTheme="minorHAnsi" w:cstheme="minorHAnsi"/>
          <w:lang w:val="en-US"/>
        </w:rPr>
      </w:pPr>
    </w:p>
    <w:p w14:paraId="6F33DADD" w14:textId="082A5CA1" w:rsidR="0034464B" w:rsidRPr="00B845AF" w:rsidRDefault="0034464B">
      <w:pPr>
        <w:pStyle w:val="SCtext"/>
        <w:rPr>
          <w:rFonts w:asciiTheme="minorHAnsi" w:hAnsiTheme="minorHAnsi" w:cstheme="minorHAnsi"/>
          <w:lang w:val="en-US"/>
        </w:rPr>
      </w:pPr>
      <w:r w:rsidRPr="00B845AF">
        <w:rPr>
          <w:rFonts w:asciiTheme="minorHAnsi" w:hAnsiTheme="minorHAnsi" w:cstheme="minorHAnsi"/>
          <w:lang w:val="en-US"/>
        </w:rPr>
        <w:t>Solomon Islands, on behalf of the FFA members, recognized the value of the indicators in tracking annual changes in catch, catch rates, fish size, and distribution, noted that changes had been observed across a number of fisheries in 2025, invited CCMs whose fleets had experienced significant catch rate changes to share their views on possible drivers, and encouraged the SSP to continue monitoring the indicators to determine whether the 2025 changes were short-term or part of a longer-term trend warranting further consideration.</w:t>
      </w:r>
    </w:p>
    <w:p w14:paraId="5C303014" w14:textId="77777777" w:rsidR="0099112E" w:rsidRPr="00B845AF" w:rsidRDefault="0099112E" w:rsidP="0099112E">
      <w:pPr>
        <w:pStyle w:val="SCtext"/>
        <w:numPr>
          <w:ilvl w:val="0"/>
          <w:numId w:val="0"/>
        </w:numPr>
        <w:rPr>
          <w:rFonts w:asciiTheme="minorHAnsi" w:hAnsiTheme="minorHAnsi" w:cstheme="minorHAnsi"/>
          <w:lang w:val="en-US"/>
        </w:rPr>
      </w:pPr>
    </w:p>
    <w:p w14:paraId="5EEEBF36" w14:textId="2A5F6C52" w:rsidR="0099112E" w:rsidRPr="00B845AF" w:rsidRDefault="0099112E" w:rsidP="009A4F45">
      <w:pPr>
        <w:pStyle w:val="SCtext"/>
        <w:spacing w:line="259" w:lineRule="auto"/>
        <w:rPr>
          <w:rFonts w:asciiTheme="minorHAnsi" w:hAnsiTheme="minorHAnsi" w:cstheme="minorHAnsi"/>
          <w:lang w:val="en-US"/>
        </w:rPr>
      </w:pPr>
      <w:r w:rsidRPr="00B845AF">
        <w:rPr>
          <w:rFonts w:asciiTheme="minorHAnsi" w:hAnsiTheme="minorHAnsi" w:cstheme="minorHAnsi"/>
          <w:lang w:val="en-US"/>
        </w:rPr>
        <w:t xml:space="preserve">Japan suggested that the paper be considered part of the broader monitoring strategy, potentially reducing the SSP’s workload, and asked for an update on the previously discussed sudden change in bigeye </w:t>
      </w:r>
      <w:r w:rsidRPr="00B845AF">
        <w:rPr>
          <w:rFonts w:asciiTheme="minorHAnsi" w:hAnsiTheme="minorHAnsi" w:cstheme="minorHAnsi"/>
          <w:lang w:val="en-US"/>
        </w:rPr>
        <w:lastRenderedPageBreak/>
        <w:t xml:space="preserve">catch </w:t>
      </w:r>
      <w:r w:rsidR="3BCB7C79" w:rsidRPr="00B845AF">
        <w:rPr>
          <w:rFonts w:asciiTheme="minorHAnsi" w:hAnsiTheme="minorHAnsi" w:cstheme="minorHAnsi"/>
          <w:lang w:val="en-US"/>
        </w:rPr>
        <w:t>level</w:t>
      </w:r>
      <w:r w:rsidRPr="00B845AF">
        <w:rPr>
          <w:rFonts w:asciiTheme="minorHAnsi" w:hAnsiTheme="minorHAnsi" w:cstheme="minorHAnsi"/>
          <w:lang w:val="en-US"/>
        </w:rPr>
        <w:t xml:space="preserve"> attributed to Indonesian fisheries. The SSP noted that the paper presents nominal, not standardized, catch rates, and that Indonesia was better placed to speak to the catch attribution issue directly, but indicated that workshops had been conducted to address attribution of catch between the small and large fish handline sectors, that progress had been made and was reflected in recent catch data, and that the remaining question was how to address the issue historically, which was being worked on through the WPEA project.</w:t>
      </w:r>
    </w:p>
    <w:p w14:paraId="71FFF2FE" w14:textId="77777777" w:rsidR="0099112E" w:rsidRPr="00B845AF" w:rsidRDefault="0099112E" w:rsidP="0099112E">
      <w:pPr>
        <w:pStyle w:val="SCtext"/>
        <w:numPr>
          <w:ilvl w:val="0"/>
          <w:numId w:val="0"/>
        </w:numPr>
        <w:rPr>
          <w:rFonts w:asciiTheme="minorHAnsi" w:hAnsiTheme="minorHAnsi" w:cstheme="minorHAnsi"/>
          <w:lang w:val="en-US"/>
        </w:rPr>
      </w:pPr>
    </w:p>
    <w:p w14:paraId="4BCD78D8" w14:textId="4D66F4F5" w:rsidR="0099112E" w:rsidRPr="00B845AF" w:rsidRDefault="0099112E">
      <w:pPr>
        <w:pStyle w:val="SCtext"/>
        <w:rPr>
          <w:rFonts w:asciiTheme="minorHAnsi" w:hAnsiTheme="minorHAnsi" w:cstheme="minorHAnsi"/>
          <w:lang w:val="en-US"/>
        </w:rPr>
      </w:pPr>
      <w:r w:rsidRPr="00B845AF">
        <w:rPr>
          <w:rFonts w:asciiTheme="minorHAnsi" w:hAnsiTheme="minorHAnsi" w:cstheme="minorHAnsi"/>
          <w:lang w:val="en-US"/>
        </w:rPr>
        <w:t xml:space="preserve">New Caledonia welcomed the stochastic projection showing the stock remaining above the target reference point in the short term but noted a 23% drop in South Pacific albacore </w:t>
      </w:r>
      <w:r w:rsidR="0E0E898A" w:rsidRPr="00B845AF">
        <w:rPr>
          <w:rFonts w:asciiTheme="minorHAnsi" w:hAnsiTheme="minorHAnsi" w:cstheme="minorHAnsi"/>
          <w:lang w:val="en-US"/>
        </w:rPr>
        <w:t xml:space="preserve">longline </w:t>
      </w:r>
      <w:r w:rsidR="6983B9E5" w:rsidRPr="00B845AF">
        <w:rPr>
          <w:rFonts w:asciiTheme="minorHAnsi" w:hAnsiTheme="minorHAnsi" w:cstheme="minorHAnsi"/>
          <w:lang w:val="en-US"/>
        </w:rPr>
        <w:t xml:space="preserve">catch in 2025 </w:t>
      </w:r>
      <w:r w:rsidR="0E3F7725" w:rsidRPr="00B845AF">
        <w:rPr>
          <w:rFonts w:asciiTheme="minorHAnsi" w:hAnsiTheme="minorHAnsi" w:cstheme="minorHAnsi"/>
          <w:lang w:val="en-US"/>
        </w:rPr>
        <w:t>compared to 2024,</w:t>
      </w:r>
      <w:r w:rsidRPr="00B845AF">
        <w:rPr>
          <w:rFonts w:asciiTheme="minorHAnsi" w:hAnsiTheme="minorHAnsi" w:cstheme="minorHAnsi"/>
          <w:lang w:val="en-US"/>
        </w:rPr>
        <w:t xml:space="preserve"> to one of the lowest levels since 2000, along with significant spatial shifts including a sharp CPUE decline in longline catch around southern Melanesia, particularly the waters surrounding New Caledonia, Vanuatu, and Fiji, and asked whether the SSP attributed this localized decline to oceanographic conditions, underlying shifts in fleet effort distribution, or another explanation. The SSP stated that no explanation could be offered at this stage, noting that the paper is an indicators paper rather than an explanatory one, but agreed to raise the question with SPC colleagues.</w:t>
      </w:r>
    </w:p>
    <w:p w14:paraId="0EFADD66" w14:textId="77777777" w:rsidR="0099112E" w:rsidRPr="00B845AF" w:rsidRDefault="0099112E" w:rsidP="0099112E">
      <w:pPr>
        <w:pStyle w:val="SCtext"/>
        <w:numPr>
          <w:ilvl w:val="0"/>
          <w:numId w:val="0"/>
        </w:numPr>
        <w:rPr>
          <w:rFonts w:asciiTheme="minorHAnsi" w:hAnsiTheme="minorHAnsi" w:cstheme="minorHAnsi"/>
          <w:lang w:val="en-US"/>
        </w:rPr>
      </w:pPr>
    </w:p>
    <w:p w14:paraId="56823AAC" w14:textId="69A41490" w:rsidR="0099112E" w:rsidRPr="00B845AF" w:rsidRDefault="0099112E">
      <w:pPr>
        <w:pStyle w:val="SCtext"/>
        <w:rPr>
          <w:rFonts w:asciiTheme="minorHAnsi" w:hAnsiTheme="minorHAnsi" w:cstheme="minorHAnsi"/>
          <w:lang w:val="en-US"/>
        </w:rPr>
      </w:pPr>
      <w:r w:rsidRPr="00B845AF">
        <w:rPr>
          <w:rFonts w:asciiTheme="minorHAnsi" w:hAnsiTheme="minorHAnsi" w:cstheme="minorHAnsi"/>
          <w:lang w:val="en-US"/>
        </w:rPr>
        <w:t>FSM, on behalf of the PNA and Vanuatu, supported the FFA statement and supported Japan</w:t>
      </w:r>
      <w:r w:rsidR="00A94F3A" w:rsidRPr="00B845AF">
        <w:rPr>
          <w:rFonts w:asciiTheme="minorHAnsi" w:hAnsiTheme="minorHAnsi" w:cstheme="minorHAnsi"/>
          <w:lang w:val="en-US"/>
        </w:rPr>
        <w:t>’</w:t>
      </w:r>
      <w:r w:rsidRPr="00B845AF">
        <w:rPr>
          <w:rFonts w:asciiTheme="minorHAnsi" w:hAnsiTheme="minorHAnsi" w:cstheme="minorHAnsi"/>
          <w:lang w:val="en-US"/>
        </w:rPr>
        <w:t xml:space="preserve">s proposal to recommend to the Commission that the monitoring strategy process become a standing agenda item with relevant papers consolidated, and stated an expectation that any consolidation retain, </w:t>
      </w:r>
      <w:r w:rsidR="000D2AE7" w:rsidRPr="00B845AF">
        <w:rPr>
          <w:rFonts w:asciiTheme="minorHAnsi" w:hAnsiTheme="minorHAnsi" w:cstheme="minorHAnsi"/>
          <w:lang w:val="en-US"/>
        </w:rPr>
        <w:t>in some way, the projections currently included in the Compendium of Indicators paper that are not currently identified as elements of the monitoring strategy.</w:t>
      </w:r>
    </w:p>
    <w:p w14:paraId="640CFC57" w14:textId="77777777" w:rsidR="00A94F3A" w:rsidRPr="00B845AF" w:rsidRDefault="00A94F3A" w:rsidP="00A94F3A">
      <w:pPr>
        <w:pStyle w:val="SCtext"/>
        <w:numPr>
          <w:ilvl w:val="0"/>
          <w:numId w:val="0"/>
        </w:numPr>
        <w:rPr>
          <w:rFonts w:asciiTheme="minorHAnsi" w:hAnsiTheme="minorHAnsi" w:cstheme="minorHAnsi"/>
          <w:lang w:val="en-US"/>
        </w:rPr>
      </w:pPr>
    </w:p>
    <w:p w14:paraId="3958DFE0" w14:textId="1326B6A6" w:rsidR="00A94F3A" w:rsidRPr="00B845AF" w:rsidRDefault="00A94F3A">
      <w:pPr>
        <w:pStyle w:val="SCtext"/>
        <w:rPr>
          <w:rFonts w:asciiTheme="minorHAnsi" w:hAnsiTheme="minorHAnsi" w:cstheme="minorHAnsi"/>
          <w:lang w:val="en-US"/>
        </w:rPr>
      </w:pPr>
      <w:r w:rsidRPr="00B845AF">
        <w:rPr>
          <w:rFonts w:asciiTheme="minorHAnsi" w:hAnsiTheme="minorHAnsi" w:cstheme="minorHAnsi"/>
          <w:lang w:val="en-US"/>
        </w:rPr>
        <w:t>Niue asked, given the substantial contribution of WPEA fisheries to skipjack and yellowfin catches, whether the observed declines in those catches were partly attributable to changes in WPEA reporting or estimation methods rather than to real changes in the stocks.</w:t>
      </w:r>
    </w:p>
    <w:p w14:paraId="4F39C0EA" w14:textId="77777777" w:rsidR="00A94F3A" w:rsidRPr="00B845AF" w:rsidRDefault="00A94F3A" w:rsidP="00A94F3A">
      <w:pPr>
        <w:pStyle w:val="SCtext"/>
        <w:numPr>
          <w:ilvl w:val="0"/>
          <w:numId w:val="0"/>
        </w:numPr>
        <w:rPr>
          <w:rFonts w:asciiTheme="minorHAnsi" w:hAnsiTheme="minorHAnsi" w:cstheme="minorHAnsi"/>
          <w:lang w:val="en-US"/>
        </w:rPr>
      </w:pPr>
    </w:p>
    <w:p w14:paraId="575FD978" w14:textId="336B0097" w:rsidR="00A94F3A" w:rsidRPr="00B845AF" w:rsidRDefault="00A94F3A">
      <w:pPr>
        <w:pStyle w:val="SCtext"/>
        <w:rPr>
          <w:rFonts w:asciiTheme="minorHAnsi" w:hAnsiTheme="minorHAnsi" w:cstheme="minorHAnsi"/>
          <w:lang w:val="en-US"/>
        </w:rPr>
      </w:pPr>
      <w:r w:rsidRPr="00B845AF">
        <w:rPr>
          <w:rFonts w:asciiTheme="minorHAnsi" w:hAnsiTheme="minorHAnsi" w:cstheme="minorHAnsi"/>
          <w:lang w:val="en-US"/>
        </w:rPr>
        <w:t xml:space="preserve">The EU stated that this information is essential to the monitoring strategy and asked two questions: first, how purse seine CPUE is estimated across different set types when a vessel uses multiple set types within a single day, and how this is incorporated into the assessment; and second, given the increase in handline fishery catch and its likely different selectivity pattern, how significant an impact this might have on stock assessment outcomes and whether it should be flagged as a major priority for future work. In response, </w:t>
      </w:r>
      <w:r w:rsidR="003967EF" w:rsidRPr="00B845AF">
        <w:rPr>
          <w:rFonts w:asciiTheme="minorHAnsi" w:hAnsiTheme="minorHAnsi" w:cstheme="minorHAnsi"/>
          <w:lang w:val="en-US"/>
        </w:rPr>
        <w:t>the SSP</w:t>
      </w:r>
      <w:r w:rsidRPr="00B845AF">
        <w:rPr>
          <w:rFonts w:asciiTheme="minorHAnsi" w:hAnsiTheme="minorHAnsi" w:cstheme="minorHAnsi"/>
          <w:lang w:val="en-US"/>
        </w:rPr>
        <w:t xml:space="preserve"> explained that purse seine effort is apportioned across set types by splitting a vessel</w:t>
      </w:r>
      <w:r w:rsidR="003967EF" w:rsidRPr="00B845AF">
        <w:rPr>
          <w:rFonts w:asciiTheme="minorHAnsi" w:hAnsiTheme="minorHAnsi" w:cstheme="minorHAnsi"/>
          <w:lang w:val="en-US"/>
        </w:rPr>
        <w:t>’</w:t>
      </w:r>
      <w:r w:rsidRPr="00B845AF">
        <w:rPr>
          <w:rFonts w:asciiTheme="minorHAnsi" w:hAnsiTheme="minorHAnsi" w:cstheme="minorHAnsi"/>
          <w:lang w:val="en-US"/>
        </w:rPr>
        <w:t>s calendar day into fractional portions corresponding to each activity, and that in the skipjack assessment catch by gear type is currently treated as fully accounted for, whereas the CPUE analysis uses free-school set catch and travel distance as the effort metric, representing a somewhat different treatment. On the handline question, the SSP stated that working through the issue with Indonesia to find an appropriate approach was important, that it would affect assessment outcomes including maximum sustainable yield calculations, and that an historical correction should be considered an important priority for the next assessment.</w:t>
      </w:r>
    </w:p>
    <w:p w14:paraId="2B027B5F" w14:textId="77777777" w:rsidR="003967EF" w:rsidRPr="00B845AF" w:rsidRDefault="003967EF" w:rsidP="003967EF">
      <w:pPr>
        <w:pStyle w:val="SCtext"/>
        <w:numPr>
          <w:ilvl w:val="0"/>
          <w:numId w:val="0"/>
        </w:numPr>
        <w:rPr>
          <w:rFonts w:asciiTheme="minorHAnsi" w:hAnsiTheme="minorHAnsi" w:cstheme="minorHAnsi"/>
          <w:lang w:val="en-US"/>
        </w:rPr>
      </w:pPr>
    </w:p>
    <w:p w14:paraId="1DA3E3E8" w14:textId="2C3EE59B" w:rsidR="003967EF" w:rsidRPr="00B845AF" w:rsidRDefault="003967EF">
      <w:pPr>
        <w:pStyle w:val="SCtext"/>
        <w:rPr>
          <w:rFonts w:asciiTheme="minorHAnsi" w:hAnsiTheme="minorHAnsi" w:cstheme="minorHAnsi"/>
          <w:lang w:val="en-US"/>
        </w:rPr>
      </w:pPr>
      <w:r w:rsidRPr="00B845AF">
        <w:rPr>
          <w:rFonts w:asciiTheme="minorHAnsi" w:hAnsiTheme="minorHAnsi" w:cstheme="minorHAnsi"/>
          <w:lang w:val="en-US"/>
        </w:rPr>
        <w:t>The USA reiterated a caution previously raised at SC20 regarding the presentation and interpretation of unstandardized trends in size composition and catch rate indices, noting that changes in catchability and sampling distribution can make such trends unrepresentative of actual stock changes, and suggested that the catch and effort summaries, which it considered the paper</w:t>
      </w:r>
      <w:r w:rsidR="007749FF" w:rsidRPr="00B845AF">
        <w:rPr>
          <w:rFonts w:asciiTheme="minorHAnsi" w:hAnsiTheme="minorHAnsi" w:cstheme="minorHAnsi"/>
          <w:lang w:val="en-US"/>
        </w:rPr>
        <w:t>’</w:t>
      </w:r>
      <w:r w:rsidRPr="00B845AF">
        <w:rPr>
          <w:rFonts w:asciiTheme="minorHAnsi" w:hAnsiTheme="minorHAnsi" w:cstheme="minorHAnsi"/>
          <w:lang w:val="en-US"/>
        </w:rPr>
        <w:t>s most useful component, could be moved into the Gen 1 paper to reduce the SSP</w:t>
      </w:r>
      <w:r w:rsidR="007749FF" w:rsidRPr="00B845AF">
        <w:rPr>
          <w:rFonts w:asciiTheme="minorHAnsi" w:hAnsiTheme="minorHAnsi" w:cstheme="minorHAnsi"/>
          <w:lang w:val="en-US"/>
        </w:rPr>
        <w:t>’</w:t>
      </w:r>
      <w:r w:rsidRPr="00B845AF">
        <w:rPr>
          <w:rFonts w:asciiTheme="minorHAnsi" w:hAnsiTheme="minorHAnsi" w:cstheme="minorHAnsi"/>
          <w:lang w:val="en-US"/>
        </w:rPr>
        <w:t>s workload and free up agenda time.</w:t>
      </w:r>
    </w:p>
    <w:p w14:paraId="03FB48C0" w14:textId="77777777" w:rsidR="007749FF" w:rsidRPr="00B845AF" w:rsidRDefault="007749FF" w:rsidP="007749FF">
      <w:pPr>
        <w:pStyle w:val="SCtext"/>
        <w:numPr>
          <w:ilvl w:val="0"/>
          <w:numId w:val="0"/>
        </w:numPr>
        <w:rPr>
          <w:rFonts w:asciiTheme="minorHAnsi" w:hAnsiTheme="minorHAnsi" w:cstheme="minorHAnsi"/>
          <w:lang w:val="en-US"/>
        </w:rPr>
      </w:pPr>
    </w:p>
    <w:p w14:paraId="1D0A3924" w14:textId="44117884" w:rsidR="007749FF" w:rsidRPr="00B845AF" w:rsidRDefault="007749FF">
      <w:pPr>
        <w:pStyle w:val="SCtext"/>
        <w:rPr>
          <w:rFonts w:asciiTheme="minorHAnsi" w:hAnsiTheme="minorHAnsi" w:cstheme="minorHAnsi"/>
          <w:lang w:val="en-US"/>
        </w:rPr>
      </w:pPr>
      <w:r w:rsidRPr="00B845AF">
        <w:rPr>
          <w:rFonts w:asciiTheme="minorHAnsi" w:hAnsiTheme="minorHAnsi" w:cstheme="minorHAnsi"/>
          <w:lang w:val="en-US"/>
        </w:rPr>
        <w:lastRenderedPageBreak/>
        <w:t>Indonesia thanked the SSP for the paper and requested that it continue to be provided at future meetings, then reported on a three-year collaborative effort with SPC involving annual catch reconciliation workshops with data providers, NGOs, and industry, supported by the WPEA program and the Government of New Zealand, with details set out in WCPFC-SC22-2026-ST-IP05. Indonesia stated that further monitoring of handline fishery performance was planned under a tuna fisheries characterization study supporting the WPEA program, and requested continued close collaboration with SPC to improve incorporation of handline catch into the stock assessment process for yellowfin and bigeye.</w:t>
      </w:r>
    </w:p>
    <w:p w14:paraId="6D493EBC" w14:textId="77777777" w:rsidR="007749FF" w:rsidRPr="00B845AF" w:rsidRDefault="007749FF" w:rsidP="007749FF">
      <w:pPr>
        <w:pStyle w:val="SCtext"/>
        <w:numPr>
          <w:ilvl w:val="0"/>
          <w:numId w:val="0"/>
        </w:numPr>
        <w:rPr>
          <w:rFonts w:asciiTheme="minorHAnsi" w:hAnsiTheme="minorHAnsi" w:cstheme="minorHAnsi"/>
          <w:lang w:val="en-US"/>
        </w:rPr>
      </w:pPr>
    </w:p>
    <w:p w14:paraId="551FE7EE" w14:textId="24AF2D3E" w:rsidR="007749FF" w:rsidRPr="00B845AF" w:rsidRDefault="007749FF">
      <w:pPr>
        <w:pStyle w:val="SCtext"/>
        <w:rPr>
          <w:rFonts w:asciiTheme="minorHAnsi" w:hAnsiTheme="minorHAnsi" w:cstheme="minorHAnsi"/>
          <w:lang w:val="en-US"/>
        </w:rPr>
      </w:pPr>
      <w:r w:rsidRPr="00B845AF">
        <w:rPr>
          <w:rFonts w:asciiTheme="minorHAnsi" w:hAnsiTheme="minorHAnsi" w:cstheme="minorHAnsi"/>
          <w:lang w:val="en-US"/>
        </w:rPr>
        <w:t>Kiribati, on behalf of the PNA and Vanuatu, stated an understanding that SC22 places greater emphasis on longer-term, standardized data, reiterated that the paper is considered useful to managers, and proposed that the paper be prepared initially for TCC and subsequently presented to the Commission, which would help reduce the SSP’s workload around the time of TCC.</w:t>
      </w:r>
    </w:p>
    <w:p w14:paraId="6F675785" w14:textId="77777777" w:rsidR="007749FF" w:rsidRPr="00B845AF" w:rsidRDefault="007749FF" w:rsidP="007749FF">
      <w:pPr>
        <w:pStyle w:val="SCtext"/>
        <w:numPr>
          <w:ilvl w:val="0"/>
          <w:numId w:val="0"/>
        </w:numPr>
        <w:rPr>
          <w:rFonts w:asciiTheme="minorHAnsi" w:hAnsiTheme="minorHAnsi" w:cstheme="minorHAnsi"/>
          <w:lang w:val="en-US"/>
        </w:rPr>
      </w:pPr>
    </w:p>
    <w:p w14:paraId="28000AE8" w14:textId="467E505C" w:rsidR="007749FF" w:rsidRPr="00B845AF" w:rsidRDefault="007749FF">
      <w:pPr>
        <w:pStyle w:val="SCtext"/>
        <w:rPr>
          <w:rFonts w:asciiTheme="minorHAnsi" w:hAnsiTheme="minorHAnsi" w:cstheme="minorHAnsi"/>
          <w:lang w:val="en-US"/>
        </w:rPr>
      </w:pPr>
      <w:r w:rsidRPr="00B845AF">
        <w:rPr>
          <w:rFonts w:asciiTheme="minorHAnsi" w:hAnsiTheme="minorHAnsi" w:cstheme="minorHAnsi"/>
          <w:lang w:val="en-US"/>
        </w:rPr>
        <w:t>Japan thanked Indonesia for the additional information and endorsed the USA</w:t>
      </w:r>
      <w:r w:rsidR="00961F3A" w:rsidRPr="00B845AF">
        <w:rPr>
          <w:rFonts w:asciiTheme="minorHAnsi" w:hAnsiTheme="minorHAnsi" w:cstheme="minorHAnsi"/>
          <w:lang w:val="en-US"/>
        </w:rPr>
        <w:t>’</w:t>
      </w:r>
      <w:r w:rsidRPr="00B845AF">
        <w:rPr>
          <w:rFonts w:asciiTheme="minorHAnsi" w:hAnsiTheme="minorHAnsi" w:cstheme="minorHAnsi"/>
          <w:lang w:val="en-US"/>
        </w:rPr>
        <w:t>s proposal to limit the paper to catch and effort information as part of the Gen 1 paper, favoring more streamlined information provision over unstandardized CPUE, while noting uncertainty as to whether this aligned with the proposal from the PNA and Vanuatu.</w:t>
      </w:r>
    </w:p>
    <w:p w14:paraId="76DDBFD9" w14:textId="77777777" w:rsidR="00961F3A" w:rsidRPr="00B845AF" w:rsidRDefault="00961F3A" w:rsidP="00961F3A">
      <w:pPr>
        <w:pStyle w:val="SCtext"/>
        <w:numPr>
          <w:ilvl w:val="0"/>
          <w:numId w:val="0"/>
        </w:numPr>
        <w:rPr>
          <w:rFonts w:asciiTheme="minorHAnsi" w:hAnsiTheme="minorHAnsi" w:cstheme="minorHAnsi"/>
          <w:lang w:val="en-US"/>
        </w:rPr>
      </w:pPr>
    </w:p>
    <w:p w14:paraId="5D2DF0DE" w14:textId="196267A0" w:rsidR="00961F3A" w:rsidRPr="00B845AF" w:rsidRDefault="00961F3A">
      <w:pPr>
        <w:pStyle w:val="SCtext"/>
        <w:rPr>
          <w:rFonts w:asciiTheme="minorHAnsi" w:hAnsiTheme="minorHAnsi" w:cstheme="minorHAnsi"/>
          <w:lang w:val="en-US"/>
        </w:rPr>
      </w:pPr>
      <w:r w:rsidRPr="00B845AF">
        <w:rPr>
          <w:rFonts w:asciiTheme="minorHAnsi" w:hAnsiTheme="minorHAnsi" w:cstheme="minorHAnsi"/>
          <w:lang w:val="en-US"/>
        </w:rPr>
        <w:t>The co-convener observed that the paper’s content overlaps with the general working paper, that the USA had proposed reducing this redundancy, and that Japan had identified elements of the paper as relevant to the monitoring strategy under the MI theme, noting that streamlining information across themes would need to be considered at SC23, including in connection with the discussion on the Scientific Committee’s future operations under Agenda Item 11.</w:t>
      </w:r>
    </w:p>
    <w:p w14:paraId="6F2E257C" w14:textId="5861075F" w:rsidR="008D176B" w:rsidRPr="00B845AF" w:rsidRDefault="008D176B" w:rsidP="008D176B">
      <w:pPr>
        <w:pStyle w:val="SCtext"/>
        <w:numPr>
          <w:ilvl w:val="0"/>
          <w:numId w:val="0"/>
        </w:numPr>
        <w:rPr>
          <w:rFonts w:asciiTheme="minorHAnsi" w:hAnsiTheme="minorHAnsi" w:cstheme="minorHAnsi"/>
          <w:lang w:val="en-US"/>
        </w:rPr>
      </w:pPr>
    </w:p>
    <w:p w14:paraId="1D64B522" w14:textId="708F28A6" w:rsidR="008D176B" w:rsidRPr="00B845AF" w:rsidRDefault="008D176B" w:rsidP="008D176B">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5117CEB9" w14:textId="7D9824BA" w:rsidR="008D176B" w:rsidRPr="00B845AF" w:rsidRDefault="002F5EBE">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recommended that the catch and effort summary component of </w:t>
      </w:r>
      <w:r w:rsidR="00352EAC" w:rsidRPr="00B845AF">
        <w:rPr>
          <w:rFonts w:asciiTheme="minorHAnsi" w:hAnsiTheme="minorHAnsi" w:cstheme="minorHAnsi"/>
          <w:b/>
          <w:bCs/>
          <w:lang w:val="en-US"/>
        </w:rPr>
        <w:t>WCPFC-SC22-2026-</w:t>
      </w:r>
      <w:r w:rsidRPr="00B845AF">
        <w:rPr>
          <w:rFonts w:asciiTheme="minorHAnsi" w:hAnsiTheme="minorHAnsi" w:cstheme="minorHAnsi"/>
          <w:b/>
          <w:bCs/>
          <w:lang w:val="en-US"/>
        </w:rPr>
        <w:t>SA-WP07, recognizing the limitations of the non-standardized CPUE and size data</w:t>
      </w:r>
      <w:r w:rsidR="004F06D5" w:rsidRPr="00B845AF">
        <w:rPr>
          <w:rFonts w:asciiTheme="minorHAnsi" w:hAnsiTheme="minorHAnsi" w:cstheme="minorHAnsi"/>
          <w:b/>
          <w:bCs/>
          <w:lang w:val="en-US"/>
        </w:rPr>
        <w:t>,</w:t>
      </w:r>
      <w:r w:rsidRPr="00B845AF">
        <w:rPr>
          <w:rFonts w:asciiTheme="minorHAnsi" w:hAnsiTheme="minorHAnsi" w:cstheme="minorHAnsi"/>
          <w:b/>
          <w:bCs/>
          <w:lang w:val="en-US"/>
        </w:rPr>
        <w:t xml:space="preserve"> be consolidated into the </w:t>
      </w:r>
      <w:r w:rsidR="009D46D9" w:rsidRPr="00B845AF">
        <w:rPr>
          <w:rFonts w:asciiTheme="minorHAnsi" w:hAnsiTheme="minorHAnsi" w:cstheme="minorHAnsi"/>
          <w:b/>
          <w:bCs/>
          <w:lang w:val="en-US"/>
        </w:rPr>
        <w:t>WCPFC-SC22-2026-</w:t>
      </w:r>
      <w:r w:rsidRPr="00B845AF">
        <w:rPr>
          <w:rFonts w:asciiTheme="minorHAnsi" w:hAnsiTheme="minorHAnsi" w:cstheme="minorHAnsi"/>
          <w:b/>
          <w:bCs/>
          <w:lang w:val="en-US"/>
        </w:rPr>
        <w:t>GN-WP01 from SC23 onward.</w:t>
      </w:r>
    </w:p>
    <w:p w14:paraId="305F9E6B" w14:textId="77777777" w:rsidR="002F5EBE" w:rsidRPr="00B845AF" w:rsidRDefault="002F5EBE" w:rsidP="002F5EBE">
      <w:pPr>
        <w:pStyle w:val="SCtext"/>
        <w:numPr>
          <w:ilvl w:val="0"/>
          <w:numId w:val="0"/>
        </w:numPr>
        <w:rPr>
          <w:rFonts w:asciiTheme="minorHAnsi" w:hAnsiTheme="minorHAnsi" w:cstheme="minorHAnsi"/>
          <w:b/>
          <w:bCs/>
          <w:lang w:val="en-US"/>
        </w:rPr>
      </w:pPr>
    </w:p>
    <w:p w14:paraId="62CBF312" w14:textId="6A4A5372" w:rsidR="002F5EBE" w:rsidRPr="00B845AF" w:rsidRDefault="008321A3">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recognized the value of positioning indicator monitoring as a standing element of its work and requested </w:t>
      </w:r>
      <w:r w:rsidR="00636785" w:rsidRPr="00B845AF">
        <w:rPr>
          <w:rFonts w:asciiTheme="minorHAnsi" w:hAnsiTheme="minorHAnsi" w:cstheme="minorHAnsi"/>
          <w:b/>
          <w:bCs/>
          <w:lang w:val="en-US"/>
        </w:rPr>
        <w:t>SSP</w:t>
      </w:r>
      <w:r w:rsidRPr="00B845AF">
        <w:rPr>
          <w:rFonts w:asciiTheme="minorHAnsi" w:hAnsiTheme="minorHAnsi" w:cstheme="minorHAnsi"/>
          <w:b/>
          <w:bCs/>
          <w:lang w:val="en-US"/>
        </w:rPr>
        <w:t xml:space="preserve"> to continue monitoring fisheries indicators for the SC, including changes observed in 2025, to determine whether they represent short-term fluctuations or form part of longer-term trends that may require further consideration.</w:t>
      </w:r>
    </w:p>
    <w:p w14:paraId="698CEB34" w14:textId="77777777" w:rsidR="00D649E0" w:rsidRPr="00B845AF" w:rsidRDefault="00D649E0" w:rsidP="00D649E0">
      <w:pPr>
        <w:adjustRightInd w:val="0"/>
        <w:snapToGrid w:val="0"/>
        <w:ind w:left="720"/>
        <w:jc w:val="both"/>
        <w:rPr>
          <w:rFonts w:asciiTheme="minorHAnsi" w:hAnsiTheme="minorHAnsi" w:cstheme="minorHAnsi"/>
          <w:szCs w:val="22"/>
        </w:rPr>
      </w:pPr>
    </w:p>
    <w:p w14:paraId="06F6F418" w14:textId="77777777" w:rsidR="00D649E0" w:rsidRPr="00B845AF" w:rsidRDefault="00D649E0">
      <w:pPr>
        <w:pStyle w:val="SC2"/>
        <w:rPr>
          <w:rFonts w:asciiTheme="minorHAnsi" w:eastAsia="Batang" w:hAnsiTheme="minorHAnsi" w:cstheme="minorHAnsi"/>
          <w:lang w:eastAsia="ko-KR"/>
        </w:rPr>
      </w:pPr>
      <w:bookmarkStart w:id="32" w:name="_Hlk166567854"/>
      <w:r w:rsidRPr="00B845AF">
        <w:rPr>
          <w:rFonts w:asciiTheme="minorHAnsi" w:eastAsia="Batang" w:hAnsiTheme="minorHAnsi" w:cstheme="minorHAnsi"/>
          <w:lang w:eastAsia="ko-KR"/>
        </w:rPr>
        <w:t xml:space="preserve">Northern stocks </w:t>
      </w:r>
    </w:p>
    <w:bookmarkEnd w:id="32"/>
    <w:p w14:paraId="0753CA92" w14:textId="79B3B965" w:rsidR="00D649E0" w:rsidRPr="00B845AF" w:rsidRDefault="0085097E">
      <w:pPr>
        <w:pStyle w:val="SC3"/>
        <w:rPr>
          <w:rFonts w:asciiTheme="minorHAnsi" w:hAnsiTheme="minorHAnsi" w:cstheme="minorHAnsi"/>
        </w:rPr>
      </w:pPr>
      <w:r w:rsidRPr="00B845AF">
        <w:rPr>
          <w:rFonts w:asciiTheme="minorHAnsi" w:hAnsiTheme="minorHAnsi" w:cstheme="minorHAnsi"/>
        </w:rPr>
        <w:t>Provision of scientific information from the International Scientific Committee for Tuna and Tuna-like Species in the North Pacific Ocean</w:t>
      </w:r>
    </w:p>
    <w:p w14:paraId="509D2B23" w14:textId="77777777" w:rsidR="004F06D5" w:rsidRPr="00B845AF" w:rsidRDefault="00287B03">
      <w:pPr>
        <w:pStyle w:val="SCtext"/>
        <w:widowControl w:val="0"/>
        <w:rPr>
          <w:rFonts w:asciiTheme="minorHAnsi" w:hAnsiTheme="minorHAnsi" w:cstheme="minorHAnsi"/>
          <w:lang w:val="en-US"/>
        </w:rPr>
      </w:pPr>
      <w:r w:rsidRPr="00B845AF">
        <w:rPr>
          <w:rFonts w:asciiTheme="minorHAnsi" w:hAnsiTheme="minorHAnsi" w:cstheme="minorHAnsi"/>
          <w:lang w:val="en-US"/>
        </w:rPr>
        <w:t>R</w:t>
      </w:r>
      <w:r w:rsidR="00EA0143" w:rsidRPr="00B845AF">
        <w:rPr>
          <w:rFonts w:asciiTheme="minorHAnsi" w:hAnsiTheme="minorHAnsi" w:cstheme="minorHAnsi"/>
          <w:lang w:val="en-US"/>
        </w:rPr>
        <w:t>.</w:t>
      </w:r>
      <w:r w:rsidRPr="00B845AF">
        <w:rPr>
          <w:rFonts w:asciiTheme="minorHAnsi" w:hAnsiTheme="minorHAnsi" w:cstheme="minorHAnsi"/>
          <w:lang w:val="en-US"/>
        </w:rPr>
        <w:t xml:space="preserve"> Ahrens, ISC chair, </w:t>
      </w:r>
      <w:r w:rsidR="008C4E37" w:rsidRPr="00B845AF">
        <w:rPr>
          <w:rFonts w:asciiTheme="minorHAnsi" w:hAnsiTheme="minorHAnsi" w:cstheme="minorHAnsi"/>
          <w:lang w:val="en-US"/>
        </w:rPr>
        <w:t xml:space="preserve">presented </w:t>
      </w:r>
      <w:hyperlink r:id="rId42" w:history="1">
        <w:r w:rsidR="008C4E37" w:rsidRPr="00B845AF">
          <w:rPr>
            <w:rStyle w:val="Hyperlink"/>
            <w:rFonts w:asciiTheme="minorHAnsi" w:hAnsiTheme="minorHAnsi" w:cstheme="minorHAnsi"/>
            <w:lang w:val="en-US"/>
          </w:rPr>
          <w:t>WCPFC-SC22-2026-GN-WP03_Rev01</w:t>
        </w:r>
      </w:hyperlink>
      <w:r w:rsidR="008C4E37" w:rsidRPr="00B845AF">
        <w:rPr>
          <w:rFonts w:asciiTheme="minorHAnsi" w:hAnsiTheme="minorHAnsi" w:cstheme="minorHAnsi"/>
          <w:lang w:val="en-US"/>
        </w:rPr>
        <w:t xml:space="preserve">, summarizing 2025 retained catch and stock status for North Pacific stocks. </w:t>
      </w:r>
    </w:p>
    <w:p w14:paraId="45682297" w14:textId="77777777" w:rsidR="004F06D5" w:rsidRPr="00B845AF" w:rsidRDefault="004F06D5" w:rsidP="004F06D5">
      <w:pPr>
        <w:pStyle w:val="SCtext"/>
        <w:widowControl w:val="0"/>
        <w:numPr>
          <w:ilvl w:val="0"/>
          <w:numId w:val="0"/>
        </w:numPr>
        <w:rPr>
          <w:rFonts w:asciiTheme="minorHAnsi" w:hAnsiTheme="minorHAnsi" w:cstheme="minorHAnsi"/>
          <w:lang w:val="en-US"/>
        </w:rPr>
      </w:pPr>
    </w:p>
    <w:p w14:paraId="67F02BAF" w14:textId="459021A9" w:rsidR="00287B03" w:rsidRPr="00B845AF" w:rsidRDefault="008C4E37" w:rsidP="004F06D5">
      <w:pPr>
        <w:pStyle w:val="SCtext"/>
        <w:widowControl w:val="0"/>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North Pacific albacore and swordfish were reported not overfished and not subject to overfishing relative to their respective reference points; Pacific bluefin tuna was reported to have exceeded its second rebuilding target, with no adopted reference points; blue marlin was reported above SSBMSY with fishing mortality well below FMSY, also with no adopted reference points; striped marlin was reported very likely overfished and likely subject to overfishing; and blue shark and shortfin mako shark, both without adopted reference points, were reported within or near </w:t>
      </w:r>
      <w:r w:rsidRPr="00B845AF">
        <w:rPr>
          <w:rFonts w:asciiTheme="minorHAnsi" w:hAnsiTheme="minorHAnsi" w:cstheme="minorHAnsi"/>
          <w:lang w:val="en-US"/>
        </w:rPr>
        <w:lastRenderedPageBreak/>
        <w:t>sustainable levels. The ISC also reported on 2026 activities, including benchmark assessments for albacore and blue marlin, a peer review of the 2024 bluefin assessment, TAC calculations for the first bluefin management period under HCRs 17 and 18, and new MSE work for North Pacific swordfish. Recommendations included continued follow-up on bluefin peer review items, an ALBWG review of the albacore assessment framework, and Northern Committee decisions on the swordfish MSE workplan and a revised 2029 swordfish benchmark schedule.</w:t>
      </w:r>
    </w:p>
    <w:p w14:paraId="53B229DF" w14:textId="566A6581" w:rsidR="000D6A69" w:rsidRPr="00B845AF" w:rsidRDefault="000D6A69" w:rsidP="00376AD8">
      <w:pPr>
        <w:widowControl w:val="0"/>
        <w:rPr>
          <w:rFonts w:asciiTheme="minorHAnsi" w:eastAsiaTheme="minorEastAsia" w:hAnsiTheme="minorHAnsi" w:cstheme="minorHAnsi"/>
          <w:szCs w:val="22"/>
          <w:lang w:eastAsia="ko-KR"/>
        </w:rPr>
      </w:pPr>
    </w:p>
    <w:p w14:paraId="50136275" w14:textId="362CCEFC" w:rsidR="00625B42" w:rsidRPr="00B845AF" w:rsidRDefault="00625B42" w:rsidP="00376AD8">
      <w:pPr>
        <w:pStyle w:val="SCDR"/>
        <w:keepNext w:val="0"/>
        <w:widowControl w:val="0"/>
        <w:rPr>
          <w:rFonts w:asciiTheme="minorHAnsi" w:hAnsiTheme="minorHAnsi" w:cstheme="minorHAnsi"/>
        </w:rPr>
      </w:pPr>
      <w:r w:rsidRPr="00B845AF">
        <w:rPr>
          <w:rFonts w:asciiTheme="minorHAnsi" w:hAnsiTheme="minorHAnsi" w:cstheme="minorHAnsi"/>
        </w:rPr>
        <w:t>Discussion</w:t>
      </w:r>
    </w:p>
    <w:p w14:paraId="2A8A2C04" w14:textId="7D7CB393" w:rsidR="00B95FE4" w:rsidRPr="00B845AF" w:rsidRDefault="00E03752">
      <w:pPr>
        <w:pStyle w:val="SCtext"/>
        <w:widowControl w:val="0"/>
        <w:rPr>
          <w:rFonts w:asciiTheme="minorHAnsi" w:eastAsia="Batang" w:hAnsiTheme="minorHAnsi" w:cstheme="minorHAnsi"/>
          <w:lang w:val="en-US"/>
        </w:rPr>
      </w:pPr>
      <w:r w:rsidRPr="00B845AF">
        <w:rPr>
          <w:rFonts w:asciiTheme="minorHAnsi" w:eastAsia="Batang" w:hAnsiTheme="minorHAnsi" w:cstheme="minorHAnsi"/>
          <w:lang w:val="en-US"/>
        </w:rPr>
        <w:t>Cook Islands, on behalf of the FFA members, thanked the ISC for its continued contributions to the scientific advice provided to the Commission. The FFA members noted concern regarding the ongoing overfished status of North Pacific striped marlin and encouraged continued scientific and management attention to this stock. The FFA members also acknowledged the positive status reported for the other northern stocks and expressed support for continued efforts to maintain their sustainability.</w:t>
      </w:r>
    </w:p>
    <w:p w14:paraId="535E47A3" w14:textId="77777777" w:rsidR="002D3048" w:rsidRPr="00B845AF" w:rsidRDefault="002D3048" w:rsidP="00376AD8">
      <w:pPr>
        <w:pStyle w:val="SCtext"/>
        <w:widowControl w:val="0"/>
        <w:numPr>
          <w:ilvl w:val="0"/>
          <w:numId w:val="0"/>
        </w:numPr>
        <w:rPr>
          <w:rFonts w:asciiTheme="minorHAnsi" w:eastAsia="Batang" w:hAnsiTheme="minorHAnsi" w:cstheme="minorHAnsi"/>
          <w:lang w:val="en-US"/>
        </w:rPr>
      </w:pPr>
    </w:p>
    <w:p w14:paraId="60688023" w14:textId="314F118C" w:rsidR="00F5248D" w:rsidRPr="00B845AF" w:rsidRDefault="00E03752">
      <w:pPr>
        <w:pStyle w:val="SCtext"/>
        <w:widowControl w:val="0"/>
        <w:rPr>
          <w:rFonts w:asciiTheme="minorHAnsi" w:eastAsia="Batang" w:hAnsiTheme="minorHAnsi" w:cstheme="minorHAnsi"/>
          <w:lang w:val="en-US"/>
        </w:rPr>
      </w:pPr>
      <w:r w:rsidRPr="00B845AF">
        <w:rPr>
          <w:rFonts w:asciiTheme="minorHAnsi" w:eastAsia="Batang" w:hAnsiTheme="minorHAnsi" w:cstheme="minorHAnsi"/>
          <w:lang w:val="en-US"/>
        </w:rPr>
        <w:t>The ISC thanked Cook Islands for the intervention and noted that a peer review of the North Pacific striped marlin assessment had been conducted. The ISC stated that it looked forward to seeing the outcomes of that peer review and the extent to which its recommendations would help inform future assessment work on the stock.</w:t>
      </w:r>
    </w:p>
    <w:p w14:paraId="51C08FB1" w14:textId="77777777" w:rsidR="00D31AD6" w:rsidRPr="00B845AF" w:rsidRDefault="00D31AD6" w:rsidP="00376AD8">
      <w:pPr>
        <w:pStyle w:val="SCtext"/>
        <w:widowControl w:val="0"/>
        <w:numPr>
          <w:ilvl w:val="0"/>
          <w:numId w:val="0"/>
        </w:numPr>
        <w:rPr>
          <w:rFonts w:asciiTheme="minorHAnsi" w:eastAsia="Batang" w:hAnsiTheme="minorHAnsi" w:cstheme="minorHAnsi"/>
          <w:lang w:val="en-US"/>
        </w:rPr>
      </w:pPr>
    </w:p>
    <w:p w14:paraId="081673E3" w14:textId="6C2064FF" w:rsidR="00F5248D" w:rsidRPr="00B845AF" w:rsidRDefault="00E03752">
      <w:pPr>
        <w:pStyle w:val="SCtext"/>
        <w:rPr>
          <w:rFonts w:asciiTheme="minorHAnsi" w:hAnsiTheme="minorHAnsi" w:cstheme="minorHAnsi"/>
          <w:lang w:val="en-US"/>
        </w:rPr>
      </w:pPr>
      <w:r w:rsidRPr="00B845AF">
        <w:rPr>
          <w:rFonts w:asciiTheme="minorHAnsi" w:hAnsiTheme="minorHAnsi" w:cstheme="minorHAnsi"/>
          <w:lang w:val="en-US"/>
        </w:rPr>
        <w:t xml:space="preserve">Japan thanked the ISC for the presentation and noted the importance of the ISC’s work to the Commission. Japan observed that the ISC conducts stock assessments across a wide range of stocks beyond </w:t>
      </w:r>
      <w:r w:rsidR="00501BC4" w:rsidRPr="00B845AF">
        <w:rPr>
          <w:rFonts w:asciiTheme="minorHAnsi" w:hAnsiTheme="minorHAnsi" w:cstheme="minorHAnsi"/>
          <w:lang w:val="en-US"/>
        </w:rPr>
        <w:t>tuna and</w:t>
      </w:r>
      <w:r w:rsidRPr="00B845AF">
        <w:rPr>
          <w:rFonts w:asciiTheme="minorHAnsi" w:hAnsiTheme="minorHAnsi" w:cstheme="minorHAnsi"/>
          <w:lang w:val="en-US"/>
        </w:rPr>
        <w:t xml:space="preserve"> encouraged further collaboration between the ISC and the Commission going forward.</w:t>
      </w:r>
    </w:p>
    <w:p w14:paraId="78BAAF1B" w14:textId="77777777" w:rsidR="00287B03" w:rsidRPr="00B845AF" w:rsidRDefault="00287B03" w:rsidP="00D649E0">
      <w:pPr>
        <w:widowControl w:val="0"/>
        <w:kinsoku w:val="0"/>
        <w:overflowPunct w:val="0"/>
        <w:autoSpaceDE w:val="0"/>
        <w:autoSpaceDN w:val="0"/>
        <w:adjustRightInd w:val="0"/>
        <w:snapToGrid w:val="0"/>
        <w:jc w:val="both"/>
        <w:rPr>
          <w:rFonts w:asciiTheme="minorHAnsi" w:eastAsia="Batang" w:hAnsiTheme="minorHAnsi" w:cstheme="minorHAnsi"/>
          <w:b/>
          <w:bCs/>
          <w:szCs w:val="22"/>
          <w:lang w:eastAsia="ko-KR"/>
        </w:rPr>
      </w:pPr>
    </w:p>
    <w:p w14:paraId="68A5DB31" w14:textId="5D0FB9D5" w:rsidR="000D6A69" w:rsidRPr="00B845AF" w:rsidRDefault="00625B42" w:rsidP="000D6A69">
      <w:pPr>
        <w:pStyle w:val="SCDR"/>
        <w:rPr>
          <w:rFonts w:asciiTheme="minorHAnsi" w:hAnsiTheme="minorHAnsi" w:cstheme="minorHAnsi"/>
          <w:lang w:eastAsia="ko-KR"/>
        </w:rPr>
      </w:pPr>
      <w:r w:rsidRPr="00B845AF">
        <w:rPr>
          <w:rFonts w:asciiTheme="minorHAnsi" w:hAnsiTheme="minorHAnsi" w:cstheme="minorHAnsi"/>
          <w:lang w:eastAsia="ko-KR"/>
        </w:rPr>
        <w:t>Outcomes</w:t>
      </w:r>
    </w:p>
    <w:p w14:paraId="2DB7ED9D" w14:textId="3B919BD6" w:rsidR="000D6A69" w:rsidRPr="00B845AF" w:rsidRDefault="002524DE">
      <w:pPr>
        <w:pStyle w:val="SCtext"/>
        <w:rPr>
          <w:rFonts w:asciiTheme="minorHAnsi" w:hAnsiTheme="minorHAnsi" w:cstheme="minorHAnsi"/>
          <w:b/>
          <w:bCs/>
          <w:lang w:val="en-US"/>
        </w:rPr>
      </w:pPr>
      <w:r w:rsidRPr="00B845AF">
        <w:rPr>
          <w:rFonts w:asciiTheme="minorHAnsi" w:hAnsiTheme="minorHAnsi" w:cstheme="minorHAnsi"/>
          <w:b/>
          <w:bCs/>
          <w:lang w:val="en-US"/>
        </w:rPr>
        <w:t>SC22 expressed concern that western and central North Pacific striped marlin remains in an overfished condition and called for continued scientific and management attention to this stock, while also supporting efforts to maintain the sustainability of other North Pacific stocks.</w:t>
      </w:r>
    </w:p>
    <w:p w14:paraId="18C2F82D" w14:textId="77777777" w:rsidR="000D6A69" w:rsidRPr="00B845AF" w:rsidRDefault="000D6A69" w:rsidP="000D6A69">
      <w:pPr>
        <w:pStyle w:val="SCtext"/>
        <w:numPr>
          <w:ilvl w:val="0"/>
          <w:numId w:val="0"/>
        </w:numPr>
        <w:rPr>
          <w:rFonts w:asciiTheme="minorHAnsi" w:hAnsiTheme="minorHAnsi" w:cstheme="minorHAnsi"/>
          <w:lang w:val="en-US"/>
        </w:rPr>
      </w:pPr>
    </w:p>
    <w:p w14:paraId="042364D3" w14:textId="28611001" w:rsidR="000D6A69" w:rsidRPr="00B845AF" w:rsidRDefault="000F62A3">
      <w:pPr>
        <w:pStyle w:val="SCtext"/>
        <w:rPr>
          <w:rFonts w:asciiTheme="minorHAnsi" w:hAnsiTheme="minorHAnsi" w:cstheme="minorHAnsi"/>
          <w:b/>
          <w:bCs/>
          <w:lang w:val="en-US"/>
        </w:rPr>
      </w:pPr>
      <w:r w:rsidRPr="00B845AF">
        <w:rPr>
          <w:rFonts w:asciiTheme="minorHAnsi" w:hAnsiTheme="minorHAnsi" w:cstheme="minorHAnsi"/>
          <w:b/>
          <w:bCs/>
          <w:lang w:val="en-US"/>
        </w:rPr>
        <w:t>SC22 encouraged further scientific collaboration and joint work between the ISC and WCPFC, extending beyond North Pacific stocks to support the conservation and management of other stocks throughout the Convention Area.</w:t>
      </w:r>
    </w:p>
    <w:p w14:paraId="6F2EEE02" w14:textId="77777777" w:rsidR="000D6A69" w:rsidRPr="00B845AF" w:rsidRDefault="000D6A69" w:rsidP="00D649E0">
      <w:pPr>
        <w:widowControl w:val="0"/>
        <w:kinsoku w:val="0"/>
        <w:overflowPunct w:val="0"/>
        <w:autoSpaceDE w:val="0"/>
        <w:autoSpaceDN w:val="0"/>
        <w:adjustRightInd w:val="0"/>
        <w:snapToGrid w:val="0"/>
        <w:jc w:val="both"/>
        <w:rPr>
          <w:rFonts w:asciiTheme="minorHAnsi" w:eastAsia="Batang" w:hAnsiTheme="minorHAnsi" w:cstheme="minorHAnsi"/>
          <w:b/>
          <w:bCs/>
          <w:szCs w:val="22"/>
          <w:lang w:eastAsia="ko-KR"/>
        </w:rPr>
      </w:pPr>
    </w:p>
    <w:p w14:paraId="724A91DD" w14:textId="5531600A" w:rsidR="00D649E0" w:rsidRPr="00B845AF" w:rsidRDefault="0085097E">
      <w:pPr>
        <w:pStyle w:val="SC3"/>
        <w:rPr>
          <w:rFonts w:asciiTheme="minorHAnsi" w:hAnsiTheme="minorHAnsi" w:cstheme="minorHAnsi"/>
        </w:rPr>
      </w:pPr>
      <w:r w:rsidRPr="00B845AF">
        <w:rPr>
          <w:rFonts w:asciiTheme="minorHAnsi" w:hAnsiTheme="minorHAnsi" w:cstheme="minorHAnsi"/>
        </w:rPr>
        <w:t>North Pacific albacore (</w:t>
      </w:r>
      <w:r w:rsidRPr="00B845AF">
        <w:rPr>
          <w:rFonts w:asciiTheme="minorHAnsi" w:hAnsiTheme="minorHAnsi" w:cstheme="minorHAnsi"/>
          <w:i/>
          <w:iCs/>
        </w:rPr>
        <w:t>Thunnus alalunga</w:t>
      </w:r>
      <w:r w:rsidRPr="00B845AF">
        <w:rPr>
          <w:rFonts w:asciiTheme="minorHAnsi" w:hAnsiTheme="minorHAnsi" w:cstheme="minorHAnsi"/>
        </w:rPr>
        <w:t>)</w:t>
      </w:r>
      <w:r w:rsidR="00D649E0" w:rsidRPr="00B845AF">
        <w:rPr>
          <w:rFonts w:asciiTheme="minorHAnsi" w:hAnsiTheme="minorHAnsi" w:cstheme="minorHAnsi"/>
        </w:rPr>
        <w:t xml:space="preserve"> </w:t>
      </w:r>
    </w:p>
    <w:p w14:paraId="48A8D1B7" w14:textId="5A2002D9" w:rsidR="00D649E0" w:rsidRPr="00B845AF" w:rsidRDefault="006A1D1E" w:rsidP="006A1D1E">
      <w:pPr>
        <w:widowControl w:val="0"/>
        <w:kinsoku w:val="0"/>
        <w:overflowPunct w:val="0"/>
        <w:autoSpaceDE w:val="0"/>
        <w:autoSpaceDN w:val="0"/>
        <w:adjustRightInd w:val="0"/>
        <w:snapToGrid w:val="0"/>
        <w:jc w:val="both"/>
        <w:rPr>
          <w:rFonts w:asciiTheme="minorHAnsi" w:hAnsiTheme="minorHAnsi" w:cstheme="minorHAnsi"/>
          <w:b/>
          <w:szCs w:val="22"/>
        </w:rPr>
      </w:pPr>
      <w:r w:rsidRPr="00B845AF">
        <w:rPr>
          <w:rFonts w:asciiTheme="minorHAnsi" w:hAnsiTheme="minorHAnsi" w:cstheme="minorHAnsi"/>
          <w:b/>
          <w:szCs w:val="22"/>
        </w:rPr>
        <w:t>4.4.</w:t>
      </w:r>
      <w:r w:rsidR="0074406D" w:rsidRPr="00B845AF">
        <w:rPr>
          <w:rFonts w:asciiTheme="minorHAnsi" w:hAnsiTheme="minorHAnsi" w:cstheme="minorHAnsi"/>
          <w:b/>
          <w:szCs w:val="22"/>
        </w:rPr>
        <w:t>2.1</w:t>
      </w:r>
      <w:r w:rsidR="0074406D" w:rsidRPr="00B845AF">
        <w:rPr>
          <w:rFonts w:asciiTheme="minorHAnsi" w:hAnsiTheme="minorHAnsi" w:cstheme="minorHAnsi"/>
          <w:b/>
          <w:szCs w:val="22"/>
        </w:rPr>
        <w:tab/>
      </w:r>
      <w:r w:rsidR="00D649E0" w:rsidRPr="00B845AF">
        <w:rPr>
          <w:rFonts w:asciiTheme="minorHAnsi" w:hAnsiTheme="minorHAnsi" w:cstheme="minorHAnsi"/>
          <w:b/>
          <w:szCs w:val="22"/>
        </w:rPr>
        <w:t xml:space="preserve">Research </w:t>
      </w:r>
      <w:r w:rsidR="0085097E" w:rsidRPr="00B845AF">
        <w:rPr>
          <w:rFonts w:asciiTheme="minorHAnsi" w:hAnsiTheme="minorHAnsi" w:cstheme="minorHAnsi"/>
          <w:b/>
          <w:szCs w:val="22"/>
        </w:rPr>
        <w:t>and information</w:t>
      </w:r>
    </w:p>
    <w:p w14:paraId="191A2317" w14:textId="1AC0DE2F" w:rsidR="0085097E" w:rsidRPr="00B845AF" w:rsidRDefault="0085097E" w:rsidP="006A1D1E">
      <w:pPr>
        <w:widowControl w:val="0"/>
        <w:kinsoku w:val="0"/>
        <w:overflowPunct w:val="0"/>
        <w:autoSpaceDE w:val="0"/>
        <w:autoSpaceDN w:val="0"/>
        <w:adjustRightInd w:val="0"/>
        <w:snapToGrid w:val="0"/>
        <w:jc w:val="both"/>
        <w:rPr>
          <w:rFonts w:asciiTheme="minorHAnsi" w:hAnsiTheme="minorHAnsi" w:cstheme="minorHAnsi"/>
          <w:b/>
          <w:szCs w:val="22"/>
        </w:rPr>
      </w:pPr>
    </w:p>
    <w:p w14:paraId="551CE98A" w14:textId="77777777" w:rsidR="004F06D5" w:rsidRPr="00B845AF" w:rsidRDefault="00014A01">
      <w:pPr>
        <w:pStyle w:val="SCtext"/>
        <w:rPr>
          <w:rFonts w:asciiTheme="minorHAnsi" w:hAnsiTheme="minorHAnsi" w:cstheme="minorHAnsi"/>
          <w:lang w:val="en-US"/>
        </w:rPr>
      </w:pPr>
      <w:r w:rsidRPr="00B845AF">
        <w:rPr>
          <w:rFonts w:asciiTheme="minorHAnsi" w:hAnsiTheme="minorHAnsi" w:cstheme="minorHAnsi"/>
          <w:lang w:val="en-US"/>
        </w:rPr>
        <w:t xml:space="preserve">P. Kuriyama (ISC) presented the 2026 North Pacific albacore stock assessment on behalf of the ISC Albacore Working Group. </w:t>
      </w:r>
    </w:p>
    <w:p w14:paraId="30963710" w14:textId="77777777" w:rsidR="004F06D5" w:rsidRPr="00B845AF" w:rsidRDefault="004F06D5" w:rsidP="004F06D5">
      <w:pPr>
        <w:pStyle w:val="SCtext"/>
        <w:numPr>
          <w:ilvl w:val="0"/>
          <w:numId w:val="0"/>
        </w:numPr>
        <w:rPr>
          <w:rFonts w:asciiTheme="minorHAnsi" w:hAnsiTheme="minorHAnsi" w:cstheme="minorHAnsi"/>
          <w:lang w:val="en-US"/>
        </w:rPr>
      </w:pPr>
    </w:p>
    <w:p w14:paraId="49B407B7" w14:textId="36FA04C8" w:rsidR="0085097E" w:rsidRPr="00B845AF" w:rsidRDefault="00014A01" w:rsidP="004F06D5">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assessment updated the 2023 benchmark, using Stock Synthesis v3.30.24 over the 1994-2024 model period, with catch, index of abundance, and size composition data extended through 2024. The Japan longline index (Area 2, April-June) remained the primary index of abundance for population scale, selected </w:t>
      </w:r>
      <w:proofErr w:type="gramStart"/>
      <w:r w:rsidRPr="00B845AF">
        <w:rPr>
          <w:rFonts w:asciiTheme="minorHAnsi" w:hAnsiTheme="minorHAnsi" w:cstheme="minorHAnsi"/>
          <w:lang w:val="en-US"/>
        </w:rPr>
        <w:t>on the basis of</w:t>
      </w:r>
      <w:proofErr w:type="gramEnd"/>
      <w:r w:rsidRPr="00B845AF">
        <w:rPr>
          <w:rFonts w:asciiTheme="minorHAnsi" w:hAnsiTheme="minorHAnsi" w:cstheme="minorHAnsi"/>
          <w:lang w:val="en-US"/>
        </w:rPr>
        <w:t xml:space="preserve"> model diagnostics; other candidate indices considered included Japan longline across all ISC areas and an EPO surface juvenile index, and a Chinese Taipei longline juvenile index. Model diagnostics, including jitter runs, age-structured production models, hindcasting, and retrospective analysis, showed no major convergence issues and demonstrated predictive skill at </w:t>
      </w:r>
      <w:proofErr w:type="gramStart"/>
      <w:r w:rsidRPr="00B845AF">
        <w:rPr>
          <w:rFonts w:asciiTheme="minorHAnsi" w:hAnsiTheme="minorHAnsi" w:cstheme="minorHAnsi"/>
          <w:lang w:val="en-US"/>
        </w:rPr>
        <w:t>1-4 year</w:t>
      </w:r>
      <w:proofErr w:type="gramEnd"/>
      <w:r w:rsidRPr="00B845AF">
        <w:rPr>
          <w:rFonts w:asciiTheme="minorHAnsi" w:hAnsiTheme="minorHAnsi" w:cstheme="minorHAnsi"/>
          <w:lang w:val="en-US"/>
        </w:rPr>
        <w:t xml:space="preserve"> horizons. Estimated female spawning stock biomass declined from the </w:t>
      </w:r>
      <w:r w:rsidRPr="00B845AF">
        <w:rPr>
          <w:rFonts w:asciiTheme="minorHAnsi" w:hAnsiTheme="minorHAnsi" w:cstheme="minorHAnsi"/>
          <w:lang w:val="en-US"/>
        </w:rPr>
        <w:lastRenderedPageBreak/>
        <w:t xml:space="preserve">1990s to around 2020 before increasing, with strong recruitment estimated in 2017, 2019, and 2022, though uncertainty was higher at the beginning and end of the time series. Sensitivity analyses to natural mortality, growth parameters, and choice of abundance index all fell within the green (acceptable) zone of the stock status </w:t>
      </w:r>
      <w:proofErr w:type="spellStart"/>
      <w:r w:rsidRPr="00B845AF">
        <w:rPr>
          <w:rFonts w:asciiTheme="minorHAnsi" w:hAnsiTheme="minorHAnsi" w:cstheme="minorHAnsi"/>
          <w:lang w:val="en-US"/>
        </w:rPr>
        <w:t>kobe</w:t>
      </w:r>
      <w:proofErr w:type="spellEnd"/>
      <w:r w:rsidRPr="00B845AF">
        <w:rPr>
          <w:rFonts w:asciiTheme="minorHAnsi" w:hAnsiTheme="minorHAnsi" w:cstheme="minorHAnsi"/>
          <w:lang w:val="en-US"/>
        </w:rPr>
        <w:t xml:space="preserve"> plot. The stock was assessed as not overfished and not experiencing overfishing relative to the WCPFC/IATTC-adopted reference points, and future projections under both a constant recent-fishing-intensity scenario and a resampled historical (2005-2019) fishing intensity scenario indicated the stock would very likely remain above the limit reference point over the next ten years, though with differing probabilities of remaining at or below the target fishing intensity. The ALBWG found no evidence of exceptional circumstances warranting suspension or modification of the current harvest strategy, and ISC26 Plenary accepted the assessment as the best available science, endorsing the updated stock status and conservation information while flagging research priorities for the 2029 benchmark</w:t>
      </w:r>
      <w:r w:rsidR="0085097E" w:rsidRPr="00B845AF">
        <w:rPr>
          <w:rFonts w:asciiTheme="minorHAnsi" w:hAnsiTheme="minorHAnsi" w:cstheme="minorHAnsi"/>
          <w:lang w:val="en-US"/>
        </w:rPr>
        <w:t xml:space="preserve">. </w:t>
      </w:r>
    </w:p>
    <w:p w14:paraId="25B6259F" w14:textId="57CE1DED" w:rsidR="00014A01" w:rsidRPr="00B845AF" w:rsidRDefault="00014A01" w:rsidP="00014A01">
      <w:pPr>
        <w:pStyle w:val="SCtext"/>
        <w:numPr>
          <w:ilvl w:val="0"/>
          <w:numId w:val="0"/>
        </w:numPr>
        <w:rPr>
          <w:rFonts w:asciiTheme="minorHAnsi" w:hAnsiTheme="minorHAnsi" w:cstheme="minorHAnsi"/>
          <w:lang w:val="en-US"/>
        </w:rPr>
      </w:pPr>
    </w:p>
    <w:p w14:paraId="24964844" w14:textId="3B579F61" w:rsidR="00014A01" w:rsidRPr="00B845AF" w:rsidRDefault="00014A01" w:rsidP="00BC741F">
      <w:pPr>
        <w:pStyle w:val="SCDR"/>
        <w:rPr>
          <w:rFonts w:asciiTheme="minorHAnsi" w:eastAsia="MS Mincho" w:hAnsiTheme="minorHAnsi" w:cstheme="minorHAnsi"/>
          <w:lang w:eastAsia="ja-JP"/>
        </w:rPr>
      </w:pPr>
      <w:r w:rsidRPr="00B845AF">
        <w:rPr>
          <w:rFonts w:asciiTheme="minorHAnsi" w:hAnsiTheme="minorHAnsi" w:cstheme="minorHAnsi"/>
          <w:lang w:eastAsia="ja-JP"/>
        </w:rPr>
        <w:t>Discussion</w:t>
      </w:r>
    </w:p>
    <w:p w14:paraId="611F7976" w14:textId="4001D98F" w:rsidR="00014A01" w:rsidRPr="00B845AF" w:rsidRDefault="008B4D72">
      <w:pPr>
        <w:pStyle w:val="SCtext"/>
        <w:rPr>
          <w:rFonts w:asciiTheme="minorHAnsi" w:hAnsiTheme="minorHAnsi" w:cstheme="minorHAnsi"/>
          <w:lang w:val="en-US"/>
        </w:rPr>
      </w:pPr>
      <w:r w:rsidRPr="00B845AF">
        <w:rPr>
          <w:rFonts w:asciiTheme="minorHAnsi" w:hAnsiTheme="minorHAnsi" w:cstheme="minorHAnsi"/>
          <w:lang w:val="en-US"/>
        </w:rPr>
        <w:t>China noted that the assessment does not represent stock structure or migration dynamics, and that this variation may instead be absorbed into time-varying selectivity; China asked that the estimated changes be clearly interpreted and validated against independent information on fishing areas, gear, and size composition, noting that fishing technology and efficiency may change over time, and suggested examining time-varying capacity or effort creep scenarios in sensitivity analysis. China also suggested replacing the term “country” with “member” throughout the report. In response, the ISC addressed the movement assumptions, noting the paucity of tagging data, with a mid-2010s study tagging around 1,000 fish in the EPO but only 10 to 15 tag returns, and stating that albacore is not strongly targeted in the North Pacific, such that catch is driven more by availability than effort, with EPO pole-and-line catch and composition data fluctuating considerably year to year; the ISC concluded that current data are insufficient to justify a more explicit treatment of movement beyond the existing area structure.</w:t>
      </w:r>
    </w:p>
    <w:p w14:paraId="4AE62D1A" w14:textId="77777777" w:rsidR="00014A01" w:rsidRPr="00B845AF" w:rsidRDefault="00014A01" w:rsidP="00014A01">
      <w:pPr>
        <w:pStyle w:val="SCtext"/>
        <w:numPr>
          <w:ilvl w:val="0"/>
          <w:numId w:val="0"/>
        </w:numPr>
        <w:rPr>
          <w:rFonts w:asciiTheme="minorHAnsi" w:hAnsiTheme="minorHAnsi" w:cstheme="minorHAnsi"/>
          <w:lang w:val="en-US"/>
        </w:rPr>
      </w:pPr>
    </w:p>
    <w:p w14:paraId="6E0BF2A3" w14:textId="37E0E4A8" w:rsidR="00014A01" w:rsidRPr="00B845AF" w:rsidRDefault="008B4D72">
      <w:pPr>
        <w:pStyle w:val="SCtext"/>
        <w:rPr>
          <w:rFonts w:asciiTheme="minorHAnsi" w:hAnsiTheme="minorHAnsi" w:cstheme="minorHAnsi"/>
          <w:lang w:val="en-US"/>
        </w:rPr>
      </w:pPr>
      <w:r w:rsidRPr="00B845AF">
        <w:rPr>
          <w:rFonts w:asciiTheme="minorHAnsi" w:hAnsiTheme="minorHAnsi" w:cstheme="minorHAnsi"/>
          <w:lang w:val="en-US"/>
        </w:rPr>
        <w:t>Canada thanked the ALBWG for the assessment and asked whether the working group had views on the cause of the recent decrease in estimated fishing intensity relative to the target. The ISC responded that this reflects a combination of effort and fish availability by fleet and season, related to market conditions given albacore</w:t>
      </w:r>
      <w:r w:rsidR="001D0D00" w:rsidRPr="00B845AF">
        <w:rPr>
          <w:rFonts w:asciiTheme="minorHAnsi" w:hAnsiTheme="minorHAnsi" w:cstheme="minorHAnsi"/>
          <w:lang w:val="en-US"/>
        </w:rPr>
        <w:t>’</w:t>
      </w:r>
      <w:r w:rsidRPr="00B845AF">
        <w:rPr>
          <w:rFonts w:asciiTheme="minorHAnsi" w:hAnsiTheme="minorHAnsi" w:cstheme="minorHAnsi"/>
          <w:lang w:val="en-US"/>
        </w:rPr>
        <w:t>s relatively low value, noting as an example that United States fuel prices had risen 30% this year, leading to fewer vessels fishing for albacore, and that the pattern reflects a multitude of factors including market conditions and fish availability.</w:t>
      </w:r>
    </w:p>
    <w:p w14:paraId="49B0C690" w14:textId="77777777" w:rsidR="001D0D00" w:rsidRPr="00B845AF" w:rsidRDefault="001D0D00" w:rsidP="001D0D00">
      <w:pPr>
        <w:pStyle w:val="SCtext"/>
        <w:numPr>
          <w:ilvl w:val="0"/>
          <w:numId w:val="0"/>
        </w:numPr>
        <w:rPr>
          <w:rFonts w:asciiTheme="minorHAnsi" w:hAnsiTheme="minorHAnsi" w:cstheme="minorHAnsi"/>
          <w:lang w:val="en-US"/>
        </w:rPr>
      </w:pPr>
    </w:p>
    <w:p w14:paraId="461934DC" w14:textId="44FE9B46" w:rsidR="001D0D00" w:rsidRPr="00B845AF" w:rsidRDefault="001D0D00">
      <w:pPr>
        <w:pStyle w:val="SCtext"/>
        <w:rPr>
          <w:rFonts w:asciiTheme="minorHAnsi" w:hAnsiTheme="minorHAnsi" w:cstheme="minorHAnsi"/>
          <w:lang w:val="en-US"/>
        </w:rPr>
      </w:pPr>
      <w:r w:rsidRPr="00B845AF">
        <w:rPr>
          <w:rFonts w:asciiTheme="minorHAnsi" w:hAnsiTheme="minorHAnsi" w:cstheme="minorHAnsi"/>
          <w:lang w:val="en-US"/>
        </w:rPr>
        <w:t>Vanuatu, on behalf of the FFA members, thanked the ISC for the assessment and noted that the outcomes indicate the stock remains healthy, with 2024 female SSB and fishing intensity below the target reference point and below the 2002-2004 reference period, the stock not overfished, and projections showing a 100.0% probability of female SSB remaining above the 14%SSB(current,</w:t>
      </w:r>
      <w:r w:rsidR="0021373A" w:rsidRPr="00B845AF">
        <w:rPr>
          <w:rFonts w:asciiTheme="minorHAnsi" w:hAnsiTheme="minorHAnsi" w:cstheme="minorHAnsi"/>
          <w:lang w:val="en-US"/>
        </w:rPr>
        <w:t xml:space="preserve"> </w:t>
      </w:r>
      <w:r w:rsidRPr="00B845AF">
        <w:rPr>
          <w:rFonts w:asciiTheme="minorHAnsi" w:hAnsiTheme="minorHAnsi" w:cstheme="minorHAnsi"/>
          <w:lang w:val="en-US"/>
        </w:rPr>
        <w:t xml:space="preserve">F=0) LRP over the next decade under a constant recent-fishing-intensity scenario, with a 95.3% probability of fishing intensity remaining at or below the F45%SPR target under that same scenario. Vanuatu asked, however, about the assessment’s use of a relatively short time series compared to the full catch history, and about the use of a single CPUE index as the primary abundance index despite alternative CPUE indices being presented as sensitivities, seeking the rationale for not incorporating a longer time series or alternative indices and what impact incorporating a longer time series might have. Vanuatu further requested that the WCPFC stock assessment reporting template be used going forward to assist CCMs with consistent review. </w:t>
      </w:r>
    </w:p>
    <w:p w14:paraId="39C362D9" w14:textId="77777777" w:rsidR="001D0D00" w:rsidRPr="00B845AF" w:rsidRDefault="001D0D00" w:rsidP="001D0D00">
      <w:pPr>
        <w:pStyle w:val="SCtext"/>
        <w:numPr>
          <w:ilvl w:val="0"/>
          <w:numId w:val="0"/>
        </w:numPr>
        <w:rPr>
          <w:rFonts w:asciiTheme="minorHAnsi" w:hAnsiTheme="minorHAnsi" w:cstheme="minorHAnsi"/>
          <w:lang w:val="en-US"/>
        </w:rPr>
      </w:pPr>
    </w:p>
    <w:p w14:paraId="286B4FCB" w14:textId="0CBA60ED" w:rsidR="001D0D00" w:rsidRPr="00B845AF" w:rsidRDefault="001D0D00">
      <w:pPr>
        <w:pStyle w:val="SCtext"/>
        <w:rPr>
          <w:rFonts w:asciiTheme="minorHAnsi" w:hAnsiTheme="minorHAnsi" w:cstheme="minorHAnsi"/>
          <w:lang w:val="en-US"/>
        </w:rPr>
      </w:pPr>
      <w:r w:rsidRPr="00B845AF">
        <w:rPr>
          <w:rFonts w:asciiTheme="minorHAnsi" w:hAnsiTheme="minorHAnsi" w:cstheme="minorHAnsi"/>
          <w:lang w:val="en-US"/>
        </w:rPr>
        <w:t xml:space="preserve">The ISC replied that the ALBWG’s goal was to capture recent stock trends over the 1994-2024 period, capturing multiple cohorts of North Pacific albacore, and that extending the model further back </w:t>
      </w:r>
      <w:r w:rsidRPr="00B845AF">
        <w:rPr>
          <w:rFonts w:asciiTheme="minorHAnsi" w:hAnsiTheme="minorHAnsi" w:cstheme="minorHAnsi"/>
          <w:lang w:val="en-US"/>
        </w:rPr>
        <w:lastRenderedPageBreak/>
        <w:t>would rely on less reliable historical catch data; the working group judged the benefit of extending the time period further back did not justify this given the aim of capturing recent trends rather than stock status several decades ago.</w:t>
      </w:r>
    </w:p>
    <w:p w14:paraId="65250F7B" w14:textId="77777777" w:rsidR="001D0D00" w:rsidRPr="00B845AF" w:rsidRDefault="001D0D00" w:rsidP="001D0D00">
      <w:pPr>
        <w:pStyle w:val="SCtext"/>
        <w:numPr>
          <w:ilvl w:val="0"/>
          <w:numId w:val="0"/>
        </w:numPr>
        <w:rPr>
          <w:rFonts w:asciiTheme="minorHAnsi" w:hAnsiTheme="minorHAnsi" w:cstheme="minorHAnsi"/>
          <w:lang w:val="en-US"/>
        </w:rPr>
      </w:pPr>
    </w:p>
    <w:p w14:paraId="444E5908" w14:textId="3AAF7DB6" w:rsidR="001D0D00" w:rsidRPr="00B845AF" w:rsidRDefault="001D0D00">
      <w:pPr>
        <w:pStyle w:val="SCtext"/>
        <w:rPr>
          <w:rFonts w:asciiTheme="minorHAnsi" w:hAnsiTheme="minorHAnsi" w:cstheme="minorHAnsi"/>
          <w:lang w:val="en-US"/>
        </w:rPr>
      </w:pPr>
      <w:r w:rsidRPr="00B845AF">
        <w:rPr>
          <w:rFonts w:asciiTheme="minorHAnsi" w:hAnsiTheme="minorHAnsi" w:cstheme="minorHAnsi"/>
          <w:lang w:val="en-US"/>
        </w:rPr>
        <w:t>The USA, following up on the point raised by Vanuatu on behalf of FFA, noted that the ALBWG has been tasked by the SC to evaluate the feasibility, scope, and timing of an independent peer review of the North Pacific albacore stock assessment, noting a similar discussion this year regarding data inputs, and asked the ISC working group to evaluate the possibility of a peer review process with greater focus on data inputs and report back to the ISC in 2027.</w:t>
      </w:r>
    </w:p>
    <w:p w14:paraId="79768176" w14:textId="77777777" w:rsidR="001D0D00" w:rsidRPr="00B845AF" w:rsidRDefault="001D0D00" w:rsidP="001D0D00">
      <w:pPr>
        <w:pStyle w:val="SCtext"/>
        <w:numPr>
          <w:ilvl w:val="0"/>
          <w:numId w:val="0"/>
        </w:numPr>
        <w:rPr>
          <w:rFonts w:asciiTheme="minorHAnsi" w:hAnsiTheme="minorHAnsi" w:cstheme="minorHAnsi"/>
          <w:lang w:val="en-US"/>
        </w:rPr>
      </w:pPr>
    </w:p>
    <w:p w14:paraId="7842EDF3" w14:textId="25D610F5" w:rsidR="001D0D00" w:rsidRPr="00B845AF" w:rsidRDefault="001D0D00">
      <w:pPr>
        <w:pStyle w:val="SCtext"/>
        <w:rPr>
          <w:rFonts w:asciiTheme="minorHAnsi" w:hAnsiTheme="minorHAnsi" w:cstheme="minorHAnsi"/>
          <w:lang w:val="en-US"/>
        </w:rPr>
      </w:pPr>
      <w:r w:rsidRPr="00B845AF">
        <w:rPr>
          <w:rFonts w:asciiTheme="minorHAnsi" w:hAnsiTheme="minorHAnsi" w:cstheme="minorHAnsi"/>
          <w:lang w:val="en-US"/>
        </w:rPr>
        <w:t>Japan thanked the ISC for another robust stock assessment and, addressing the reporting-template question raised by Vanuatu, noted that relevant guidance is attached at the bottom of the stock assessment paper, though it may be hard to find, and stated that this is intended to help construct the WCPFC report; Japan noted the ISC is following the SC</w:t>
      </w:r>
      <w:r w:rsidR="00FC7149" w:rsidRPr="00B845AF">
        <w:rPr>
          <w:rFonts w:asciiTheme="minorHAnsi" w:hAnsiTheme="minorHAnsi" w:cstheme="minorHAnsi"/>
          <w:lang w:val="en-US"/>
        </w:rPr>
        <w:t>’</w:t>
      </w:r>
      <w:r w:rsidRPr="00B845AF">
        <w:rPr>
          <w:rFonts w:asciiTheme="minorHAnsi" w:hAnsiTheme="minorHAnsi" w:cstheme="minorHAnsi"/>
          <w:lang w:val="en-US"/>
        </w:rPr>
        <w:t>s agreement to move toward a streamlined and unified stock assessment reporting format.</w:t>
      </w:r>
    </w:p>
    <w:p w14:paraId="20555AB3" w14:textId="77777777" w:rsidR="00FC7149" w:rsidRPr="00B845AF" w:rsidRDefault="00FC7149" w:rsidP="00FC7149">
      <w:pPr>
        <w:pStyle w:val="SCtext"/>
        <w:numPr>
          <w:ilvl w:val="0"/>
          <w:numId w:val="0"/>
        </w:numPr>
        <w:rPr>
          <w:rFonts w:asciiTheme="minorHAnsi" w:hAnsiTheme="minorHAnsi" w:cstheme="minorHAnsi"/>
          <w:lang w:val="en-US"/>
        </w:rPr>
      </w:pPr>
    </w:p>
    <w:p w14:paraId="67F10EEA" w14:textId="5AD89980" w:rsidR="00FC7149" w:rsidRPr="00B845AF" w:rsidRDefault="00367A9A">
      <w:pPr>
        <w:pStyle w:val="SCtext"/>
        <w:rPr>
          <w:rFonts w:asciiTheme="minorHAnsi" w:hAnsiTheme="minorHAnsi" w:cstheme="minorHAnsi"/>
          <w:lang w:val="en-US"/>
        </w:rPr>
      </w:pPr>
      <w:r w:rsidRPr="00B845AF">
        <w:rPr>
          <w:rFonts w:asciiTheme="minorHAnsi" w:hAnsiTheme="minorHAnsi" w:cstheme="minorHAnsi"/>
          <w:lang w:val="en-US"/>
        </w:rPr>
        <w:t xml:space="preserve">Indonesia acknowledged the work of the ALBWG and stated that Indonesia also had catch of North Pacific albacore, noting that 480 tonnes had been reported for the previous year. Indonesia stated that it was unclear whether this catch was included in the total catch considered by the working group and whether the albacore caught in Indonesian waters was North Pacific </w:t>
      </w:r>
      <w:proofErr w:type="gramStart"/>
      <w:r w:rsidR="00501BC4" w:rsidRPr="00B845AF">
        <w:rPr>
          <w:rFonts w:asciiTheme="minorHAnsi" w:hAnsiTheme="minorHAnsi" w:cstheme="minorHAnsi"/>
          <w:lang w:val="en-US"/>
        </w:rPr>
        <w:t>albacore</w:t>
      </w:r>
      <w:r w:rsidR="0021373A" w:rsidRPr="00B845AF">
        <w:rPr>
          <w:rFonts w:asciiTheme="minorHAnsi" w:hAnsiTheme="minorHAnsi" w:cstheme="minorHAnsi"/>
          <w:lang w:val="en-US"/>
        </w:rPr>
        <w:t>,</w:t>
      </w:r>
      <w:r w:rsidR="00501BC4" w:rsidRPr="00B845AF">
        <w:rPr>
          <w:rFonts w:asciiTheme="minorHAnsi" w:hAnsiTheme="minorHAnsi" w:cstheme="minorHAnsi"/>
          <w:lang w:val="en-US"/>
        </w:rPr>
        <w:t xml:space="preserve"> but</w:t>
      </w:r>
      <w:proofErr w:type="gramEnd"/>
      <w:r w:rsidRPr="00B845AF">
        <w:rPr>
          <w:rFonts w:asciiTheme="minorHAnsi" w:hAnsiTheme="minorHAnsi" w:cstheme="minorHAnsi"/>
          <w:lang w:val="en-US"/>
        </w:rPr>
        <w:t xml:space="preserve"> noted that the trend in albacore catch was increasing year on year. In response, the ISC stated that it did not believe a specific catch value had been incorporated and noted that, if additional data were available, it would be useful for these to be submitted through the relevant data managers.</w:t>
      </w:r>
    </w:p>
    <w:p w14:paraId="741866B8" w14:textId="1A98CB2E" w:rsidR="0085097E" w:rsidRPr="00B845AF" w:rsidRDefault="0085097E" w:rsidP="006A1D1E">
      <w:pPr>
        <w:widowControl w:val="0"/>
        <w:kinsoku w:val="0"/>
        <w:overflowPunct w:val="0"/>
        <w:autoSpaceDE w:val="0"/>
        <w:autoSpaceDN w:val="0"/>
        <w:adjustRightInd w:val="0"/>
        <w:snapToGrid w:val="0"/>
        <w:jc w:val="both"/>
        <w:rPr>
          <w:rFonts w:asciiTheme="minorHAnsi" w:eastAsia="MS Mincho" w:hAnsiTheme="minorHAnsi" w:cstheme="minorHAnsi"/>
          <w:b/>
          <w:iCs/>
          <w:szCs w:val="22"/>
          <w:lang w:eastAsia="ja-JP"/>
        </w:rPr>
      </w:pPr>
    </w:p>
    <w:p w14:paraId="72B75310" w14:textId="30B0BE87" w:rsidR="0085097E" w:rsidRPr="00B845AF" w:rsidRDefault="0085097E" w:rsidP="006A1D1E">
      <w:pPr>
        <w:widowControl w:val="0"/>
        <w:kinsoku w:val="0"/>
        <w:overflowPunct w:val="0"/>
        <w:autoSpaceDE w:val="0"/>
        <w:autoSpaceDN w:val="0"/>
        <w:adjustRightInd w:val="0"/>
        <w:snapToGrid w:val="0"/>
        <w:jc w:val="both"/>
        <w:rPr>
          <w:rFonts w:asciiTheme="minorHAnsi" w:hAnsiTheme="minorHAnsi" w:cstheme="minorHAnsi"/>
          <w:b/>
          <w:szCs w:val="22"/>
        </w:rPr>
      </w:pPr>
      <w:r w:rsidRPr="00B845AF">
        <w:rPr>
          <w:rFonts w:asciiTheme="minorHAnsi" w:hAnsiTheme="minorHAnsi" w:cstheme="minorHAnsi"/>
          <w:b/>
          <w:szCs w:val="22"/>
        </w:rPr>
        <w:t>4.4.2.2</w:t>
      </w:r>
      <w:r w:rsidRPr="00B845AF">
        <w:rPr>
          <w:rFonts w:asciiTheme="minorHAnsi" w:hAnsiTheme="minorHAnsi" w:cstheme="minorHAnsi"/>
          <w:b/>
          <w:szCs w:val="22"/>
        </w:rPr>
        <w:tab/>
        <w:t>Provision of scientific information to the Commission</w:t>
      </w:r>
    </w:p>
    <w:p w14:paraId="078A0861" w14:textId="77777777" w:rsidR="00014A01" w:rsidRPr="00B845AF" w:rsidRDefault="00014A01" w:rsidP="006A1D1E">
      <w:pPr>
        <w:widowControl w:val="0"/>
        <w:kinsoku w:val="0"/>
        <w:overflowPunct w:val="0"/>
        <w:autoSpaceDE w:val="0"/>
        <w:autoSpaceDN w:val="0"/>
        <w:adjustRightInd w:val="0"/>
        <w:snapToGrid w:val="0"/>
        <w:jc w:val="both"/>
        <w:rPr>
          <w:rFonts w:asciiTheme="minorHAnsi" w:eastAsia="MS Mincho" w:hAnsiTheme="minorHAnsi" w:cstheme="minorHAnsi"/>
          <w:b/>
          <w:iCs/>
          <w:szCs w:val="22"/>
          <w:lang w:eastAsia="ja-JP"/>
        </w:rPr>
      </w:pPr>
    </w:p>
    <w:p w14:paraId="41231DD7" w14:textId="2D83448F" w:rsidR="00C179AF" w:rsidRPr="00B845AF" w:rsidRDefault="00C179AF">
      <w:pPr>
        <w:pStyle w:val="SCtext"/>
        <w:rPr>
          <w:rFonts w:asciiTheme="minorHAnsi" w:hAnsiTheme="minorHAnsi" w:cstheme="minorHAnsi"/>
          <w:lang w:val="en-US"/>
        </w:rPr>
      </w:pPr>
      <w:r w:rsidRPr="00B845AF">
        <w:rPr>
          <w:rFonts w:asciiTheme="minorHAnsi" w:hAnsiTheme="minorHAnsi" w:cstheme="minorHAnsi"/>
          <w:lang w:val="en-US"/>
        </w:rPr>
        <w:t>SC22 noted that the ISC provided the following conclusions on the stock status of North Pacific albacore:</w:t>
      </w:r>
    </w:p>
    <w:p w14:paraId="1FE9EBC2" w14:textId="77777777" w:rsidR="00FE1374" w:rsidRPr="00B845AF" w:rsidRDefault="00FE1374" w:rsidP="00FE1374">
      <w:pPr>
        <w:pStyle w:val="SCtext"/>
        <w:numPr>
          <w:ilvl w:val="0"/>
          <w:numId w:val="0"/>
        </w:numPr>
        <w:rPr>
          <w:rFonts w:asciiTheme="minorHAnsi" w:hAnsiTheme="minorHAnsi" w:cstheme="minorHAnsi"/>
          <w:lang w:val="en-US"/>
        </w:rPr>
      </w:pPr>
    </w:p>
    <w:p w14:paraId="54B65E3F" w14:textId="05DADB01"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North Pacific albacore (</w:t>
      </w:r>
      <w:r w:rsidRPr="00B845AF">
        <w:rPr>
          <w:rFonts w:asciiTheme="minorHAnsi" w:hAnsiTheme="minorHAnsi" w:cstheme="minorHAnsi"/>
          <w:i/>
          <w:iCs/>
          <w:lang w:val="en-US"/>
        </w:rPr>
        <w:t>Thunnus alalunga</w:t>
      </w:r>
      <w:r w:rsidRPr="00B845AF">
        <w:rPr>
          <w:rFonts w:asciiTheme="minorHAnsi" w:hAnsiTheme="minorHAnsi" w:cstheme="minorHAnsi"/>
          <w:lang w:val="en-US"/>
        </w:rPr>
        <w:t>) is considered a single, well</w:t>
      </w:r>
      <w:r w:rsidRPr="00B845AF">
        <w:rPr>
          <w:rFonts w:asciiTheme="minorHAnsi" w:hAnsiTheme="minorHAnsi" w:cstheme="minorHAnsi"/>
          <w:lang w:val="en-US"/>
        </w:rPr>
        <w:noBreakHyphen/>
        <w:t>mixed stock distributed throughout the North Pacific Ocean north of the equator (Table A</w:t>
      </w:r>
      <w:r w:rsidRPr="00B845AF">
        <w:rPr>
          <w:rFonts w:asciiTheme="minorHAnsi" w:hAnsiTheme="minorHAnsi" w:cstheme="minorHAnsi"/>
          <w:lang w:val="en-US"/>
        </w:rPr>
        <w:noBreakHyphen/>
        <w:t>01, Figure A</w:t>
      </w:r>
      <w:r w:rsidRPr="00B845AF">
        <w:rPr>
          <w:rFonts w:asciiTheme="minorHAnsi" w:hAnsiTheme="minorHAnsi" w:cstheme="minorHAnsi"/>
          <w:lang w:val="en-US"/>
        </w:rPr>
        <w:noBreakHyphen/>
        <w:t>01). For the 2026 stock assessment, all available fishery data from International Scientific Committee (ISC) members and contributing fleets were incorporated, including data from both Western and Central Pacific Fisheries Commission (WCPFC) and Inter-American Tropical Tuna Commission (IATTC) regions. The stock was modeled under the assumption of instantaneous mixing across the stock area on a quarterly time step using a fleets</w:t>
      </w:r>
      <w:r w:rsidRPr="00B845AF">
        <w:rPr>
          <w:rFonts w:asciiTheme="minorHAnsi" w:hAnsiTheme="minorHAnsi" w:cstheme="minorHAnsi"/>
          <w:lang w:val="en-US"/>
        </w:rPr>
        <w:noBreakHyphen/>
        <w:t>as</w:t>
      </w:r>
      <w:r w:rsidRPr="00B845AF">
        <w:rPr>
          <w:rFonts w:asciiTheme="minorHAnsi" w:hAnsiTheme="minorHAnsi" w:cstheme="minorHAnsi"/>
          <w:lang w:val="en-US"/>
        </w:rPr>
        <w:noBreakHyphen/>
        <w:t>areas approach, with no explicit spatial structure.</w:t>
      </w:r>
    </w:p>
    <w:p w14:paraId="381063AB" w14:textId="77777777" w:rsidR="00FE1374" w:rsidRPr="00B845AF" w:rsidRDefault="00FE1374" w:rsidP="00FE1374">
      <w:pPr>
        <w:pStyle w:val="SCtext"/>
        <w:numPr>
          <w:ilvl w:val="0"/>
          <w:numId w:val="0"/>
        </w:numPr>
        <w:rPr>
          <w:rFonts w:asciiTheme="minorHAnsi" w:hAnsiTheme="minorHAnsi" w:cstheme="minorHAnsi"/>
          <w:lang w:val="en-US"/>
        </w:rPr>
      </w:pPr>
    </w:p>
    <w:p w14:paraId="734A69AE" w14:textId="67CC7AB3"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Catch, standardized catch</w:t>
      </w:r>
      <w:r w:rsidRPr="00B845AF">
        <w:rPr>
          <w:rFonts w:asciiTheme="minorHAnsi" w:hAnsiTheme="minorHAnsi" w:cstheme="minorHAnsi"/>
          <w:lang w:val="en-US"/>
        </w:rPr>
        <w:noBreakHyphen/>
        <w:t>per</w:t>
      </w:r>
      <w:r w:rsidRPr="00B845AF">
        <w:rPr>
          <w:rFonts w:asciiTheme="minorHAnsi" w:hAnsiTheme="minorHAnsi" w:cstheme="minorHAnsi"/>
          <w:lang w:val="en-US"/>
        </w:rPr>
        <w:noBreakHyphen/>
        <w:t>unit</w:t>
      </w:r>
      <w:r w:rsidRPr="00B845AF">
        <w:rPr>
          <w:rFonts w:asciiTheme="minorHAnsi" w:hAnsiTheme="minorHAnsi" w:cstheme="minorHAnsi"/>
          <w:lang w:val="en-US"/>
        </w:rPr>
        <w:noBreakHyphen/>
        <w:t>effort (CPUE), and size composition data were compiled from ISC member countries (Canada, China, Chinese Taipei, Japan, Korea, Mexico, and the USA) and cooperating non</w:t>
      </w:r>
      <w:r w:rsidRPr="00B845AF">
        <w:rPr>
          <w:rFonts w:asciiTheme="minorHAnsi" w:hAnsiTheme="minorHAnsi" w:cstheme="minorHAnsi"/>
          <w:lang w:val="en-US"/>
        </w:rPr>
        <w:noBreakHyphen/>
        <w:t xml:space="preserve">member countries. The primary abundance index used in the base model was the Japanese longline CPUE index (F10; 1996–2024), which was considered the most representative indicator of adult female albacore abundance. Length composition data were available for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fleets, representing surface (troll and pole</w:t>
      </w:r>
      <w:r w:rsidRPr="00B845AF">
        <w:rPr>
          <w:rFonts w:asciiTheme="minorHAnsi" w:hAnsiTheme="minorHAnsi" w:cstheme="minorHAnsi"/>
          <w:lang w:val="en-US"/>
        </w:rPr>
        <w:noBreakHyphen/>
        <w:t>and</w:t>
      </w:r>
      <w:r w:rsidRPr="00B845AF">
        <w:rPr>
          <w:rFonts w:asciiTheme="minorHAnsi" w:hAnsiTheme="minorHAnsi" w:cstheme="minorHAnsi"/>
          <w:lang w:val="en-US"/>
        </w:rPr>
        <w:noBreakHyphen/>
        <w:t>line) and longline fisheries. Sex composition data were also available for a subset of samples but were not included in the base model.</w:t>
      </w:r>
    </w:p>
    <w:p w14:paraId="2A8C0E3A" w14:textId="77777777" w:rsidR="00FE1374" w:rsidRPr="00B845AF" w:rsidRDefault="00FE1374" w:rsidP="00FE1374">
      <w:pPr>
        <w:pStyle w:val="SCtext"/>
        <w:numPr>
          <w:ilvl w:val="0"/>
          <w:numId w:val="0"/>
        </w:numPr>
        <w:rPr>
          <w:rFonts w:asciiTheme="minorHAnsi" w:hAnsiTheme="minorHAnsi" w:cstheme="minorHAnsi"/>
          <w:lang w:val="en-US"/>
        </w:rPr>
      </w:pPr>
    </w:p>
    <w:p w14:paraId="08C52D67" w14:textId="5A0AA1CF"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Biological parameters, including sex</w:t>
      </w:r>
      <w:r w:rsidRPr="00B845AF">
        <w:rPr>
          <w:rFonts w:asciiTheme="minorHAnsi" w:hAnsiTheme="minorHAnsi" w:cstheme="minorHAnsi"/>
          <w:lang w:val="en-US"/>
        </w:rPr>
        <w:noBreakHyphen/>
        <w:t>specific growth, natural mortality, and maturity, were based on the best available scientific information from previous studies and were fixed in the base case model. The Beverton</w:t>
      </w:r>
      <w:r w:rsidRPr="00B845AF">
        <w:rPr>
          <w:rFonts w:asciiTheme="minorHAnsi" w:hAnsiTheme="minorHAnsi" w:cstheme="minorHAnsi"/>
          <w:lang w:val="en-US"/>
        </w:rPr>
        <w:noBreakHyphen/>
        <w:t xml:space="preserve">Holt stock recruitment relationship was assumed </w:t>
      </w:r>
      <w:proofErr w:type="gramStart"/>
      <w:r w:rsidRPr="00B845AF">
        <w:rPr>
          <w:rFonts w:asciiTheme="minorHAnsi" w:hAnsiTheme="minorHAnsi" w:cstheme="minorHAnsi"/>
          <w:lang w:val="en-US"/>
        </w:rPr>
        <w:t>with</w:t>
      </w:r>
      <w:proofErr w:type="gramEnd"/>
      <w:r w:rsidRPr="00B845AF">
        <w:rPr>
          <w:rFonts w:asciiTheme="minorHAnsi" w:hAnsiTheme="minorHAnsi" w:cstheme="minorHAnsi"/>
          <w:lang w:val="en-US"/>
        </w:rPr>
        <w:t xml:space="preserve"> a steepness parameter (</w:t>
      </w:r>
      <w:r w:rsidRPr="00B845AF">
        <w:rPr>
          <w:rFonts w:asciiTheme="minorHAnsi" w:hAnsiTheme="minorHAnsi" w:cstheme="minorHAnsi"/>
          <w:i/>
          <w:iCs/>
          <w:lang w:val="en-US"/>
        </w:rPr>
        <w:t>h</w:t>
      </w:r>
      <w:r w:rsidRPr="00B845AF">
        <w:rPr>
          <w:rFonts w:asciiTheme="minorHAnsi" w:hAnsiTheme="minorHAnsi" w:cstheme="minorHAnsi"/>
          <w:lang w:val="en-US"/>
        </w:rPr>
        <w:t xml:space="preserve">) of 0.9. The </w:t>
      </w:r>
      <w:r w:rsidRPr="00B845AF">
        <w:rPr>
          <w:rFonts w:asciiTheme="minorHAnsi" w:hAnsiTheme="minorHAnsi" w:cstheme="minorHAnsi"/>
          <w:lang w:val="en-US"/>
        </w:rPr>
        <w:lastRenderedPageBreak/>
        <w:t>assessment was conducted using an integrated statistical, age</w:t>
      </w:r>
      <w:r w:rsidRPr="00B845AF">
        <w:rPr>
          <w:rFonts w:asciiTheme="minorHAnsi" w:hAnsiTheme="minorHAnsi" w:cstheme="minorHAnsi"/>
          <w:lang w:val="en-US"/>
        </w:rPr>
        <w:noBreakHyphen/>
        <w:t>, length</w:t>
      </w:r>
      <w:r w:rsidRPr="00B845AF">
        <w:rPr>
          <w:rFonts w:asciiTheme="minorHAnsi" w:hAnsiTheme="minorHAnsi" w:cstheme="minorHAnsi"/>
          <w:lang w:val="en-US"/>
        </w:rPr>
        <w:noBreakHyphen/>
        <w:t>, and sex</w:t>
      </w:r>
      <w:r w:rsidRPr="00B845AF">
        <w:rPr>
          <w:rFonts w:asciiTheme="minorHAnsi" w:hAnsiTheme="minorHAnsi" w:cstheme="minorHAnsi"/>
          <w:lang w:val="en-US"/>
        </w:rPr>
        <w:noBreakHyphen/>
        <w:t>structured Stock Synthesis (SS3) model fitted to the CPUE and size composition data within a likelihood</w:t>
      </w:r>
      <w:r w:rsidRPr="00B845AF">
        <w:rPr>
          <w:rFonts w:asciiTheme="minorHAnsi" w:hAnsiTheme="minorHAnsi" w:cstheme="minorHAnsi"/>
          <w:lang w:val="en-US"/>
        </w:rPr>
        <w:noBreakHyphen/>
        <w:t>based framework.</w:t>
      </w:r>
    </w:p>
    <w:p w14:paraId="64EE5AC3" w14:textId="77777777" w:rsidR="00FE1374" w:rsidRPr="00B845AF" w:rsidRDefault="00FE1374" w:rsidP="00FE1374">
      <w:pPr>
        <w:pStyle w:val="SCtext"/>
        <w:numPr>
          <w:ilvl w:val="0"/>
          <w:numId w:val="0"/>
        </w:numPr>
        <w:rPr>
          <w:rFonts w:asciiTheme="minorHAnsi" w:hAnsiTheme="minorHAnsi" w:cstheme="minorHAnsi"/>
          <w:lang w:val="en-US"/>
        </w:rPr>
      </w:pPr>
    </w:p>
    <w:p w14:paraId="0F6B7F32" w14:textId="271CDF81"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A series of sensitivity analyses were conducted to evaluate the influence of model assumptions and data inputs on estimates of biomass and fishing intensity. Model configurations explored uncertainty in key biological parameters (e.g., growth, natural mortality, steepness), fishery processes (e.g., selectivity and fleet structure), and input data (e.g., abundance indices, data weighting, and size composition). Additional model runs evaluated alternative assumptions regarding initial conditions, selectivity patterns, and alternative abundance indices (e.g., inclusion of juvenile indices). Key sources of uncertainty considered in the assessment are summarized in Table A</w:t>
      </w:r>
      <w:r w:rsidRPr="00B845AF">
        <w:rPr>
          <w:rFonts w:asciiTheme="minorHAnsi" w:hAnsiTheme="minorHAnsi" w:cstheme="minorHAnsi"/>
          <w:lang w:val="en-US"/>
        </w:rPr>
        <w:noBreakHyphen/>
        <w:t>02.</w:t>
      </w:r>
    </w:p>
    <w:p w14:paraId="19B72A96" w14:textId="77777777" w:rsidR="00FE1374" w:rsidRPr="00B845AF" w:rsidRDefault="00FE1374" w:rsidP="00FE1374">
      <w:pPr>
        <w:pStyle w:val="SCtext"/>
        <w:numPr>
          <w:ilvl w:val="0"/>
          <w:numId w:val="0"/>
        </w:numPr>
        <w:rPr>
          <w:rFonts w:asciiTheme="minorHAnsi" w:hAnsiTheme="minorHAnsi" w:cstheme="minorHAnsi"/>
          <w:lang w:val="en-US"/>
        </w:rPr>
      </w:pPr>
    </w:p>
    <w:p w14:paraId="29FB4C2D" w14:textId="22E9845A"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Total reported catch of North Pacific albacore increased from the beginning of the assessment period to a maximum of approximately 119,000 t in 1999 (Figure NPALB</w:t>
      </w:r>
      <w:r w:rsidRPr="00B845AF">
        <w:rPr>
          <w:rFonts w:asciiTheme="minorHAnsi" w:hAnsiTheme="minorHAnsi" w:cstheme="minorHAnsi"/>
          <w:lang w:val="en-US"/>
        </w:rPr>
        <w:noBreakHyphen/>
        <w:t xml:space="preserve">02). Since the early 2000s, catches have declined and stabilized, with recent catches averaging approximately 45,000 t since 2021. Surface gears, which primarily target juvenile albacore, have historically accounted for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the catch (~51%), while longline fisheries, which target older age classes, account for approximately 45% of removals. Japanese fleets have dominated the catch in recent years, followed by USA and Chinese Taipei fleets.</w:t>
      </w:r>
    </w:p>
    <w:p w14:paraId="73872B96" w14:textId="77777777" w:rsidR="00FE1374" w:rsidRPr="00B845AF" w:rsidRDefault="00FE1374" w:rsidP="00FE1374">
      <w:pPr>
        <w:pStyle w:val="SCtext"/>
        <w:numPr>
          <w:ilvl w:val="0"/>
          <w:numId w:val="0"/>
        </w:numPr>
        <w:rPr>
          <w:rFonts w:asciiTheme="minorHAnsi" w:hAnsiTheme="minorHAnsi" w:cstheme="minorHAnsi"/>
          <w:lang w:val="en-US"/>
        </w:rPr>
      </w:pPr>
    </w:p>
    <w:p w14:paraId="28A617DE" w14:textId="188CECD1"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Trends in the primary CPUE index (F10) indicate moderate fluctuations in relative abundance over time, with declines in the early 2000s followed by more stable or increasing trends in recent years (Figure A</w:t>
      </w:r>
      <w:r w:rsidRPr="00B845AF">
        <w:rPr>
          <w:rFonts w:asciiTheme="minorHAnsi" w:hAnsiTheme="minorHAnsi" w:cstheme="minorHAnsi"/>
          <w:lang w:val="en-US"/>
        </w:rPr>
        <w:noBreakHyphen/>
        <w:t>03). Because this index reflects adult female abundance during the spawning season, it was considered informative for both population trends and population scale. However, CPUE trends may also reflect changes in availability, spatial distribution, or fishery behavior, and therefore contribute to uncertainty in the assessment.</w:t>
      </w:r>
    </w:p>
    <w:p w14:paraId="7165DE79" w14:textId="77777777" w:rsidR="001F5838" w:rsidRPr="00B845AF" w:rsidRDefault="001F5838" w:rsidP="001F5838">
      <w:pPr>
        <w:pStyle w:val="SCtext"/>
        <w:numPr>
          <w:ilvl w:val="0"/>
          <w:numId w:val="0"/>
        </w:numPr>
        <w:rPr>
          <w:rFonts w:asciiTheme="minorHAnsi" w:hAnsiTheme="minorHAnsi" w:cstheme="minorHAnsi"/>
          <w:lang w:val="en-US"/>
        </w:rPr>
      </w:pPr>
    </w:p>
    <w:p w14:paraId="06EE5800" w14:textId="6C14ABE9"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Estimated recruitment showed substantial interannual variability throughout the assessment period (Figure NPALB</w:t>
      </w:r>
      <w:r w:rsidRPr="00B845AF">
        <w:rPr>
          <w:rFonts w:asciiTheme="minorHAnsi" w:hAnsiTheme="minorHAnsi" w:cstheme="minorHAnsi"/>
          <w:lang w:val="en-US"/>
        </w:rPr>
        <w:noBreakHyphen/>
        <w:t>04c), with several strong year classes in recent years (e.g., 2017, 2019, and 2022). These strong recruitment events contributed to increases in total biomass estimates after 2018 (Figure NPALB</w:t>
      </w:r>
      <w:r w:rsidRPr="00B845AF">
        <w:rPr>
          <w:rFonts w:asciiTheme="minorHAnsi" w:hAnsiTheme="minorHAnsi" w:cstheme="minorHAnsi"/>
          <w:lang w:val="en-US"/>
        </w:rPr>
        <w:noBreakHyphen/>
        <w:t>04a/b). However, recruitment estimates in the terminal years (2020–2024) are highly uncertain and should be interpreted with caution.</w:t>
      </w:r>
    </w:p>
    <w:p w14:paraId="7013EF78" w14:textId="77777777" w:rsidR="001F5838" w:rsidRPr="00B845AF" w:rsidRDefault="001F5838" w:rsidP="001F5838">
      <w:pPr>
        <w:pStyle w:val="SCtext"/>
        <w:numPr>
          <w:ilvl w:val="0"/>
          <w:numId w:val="0"/>
        </w:numPr>
        <w:rPr>
          <w:rFonts w:asciiTheme="minorHAnsi" w:hAnsiTheme="minorHAnsi" w:cstheme="minorHAnsi"/>
          <w:lang w:val="en-US"/>
        </w:rPr>
      </w:pPr>
    </w:p>
    <w:p w14:paraId="00B29BE5" w14:textId="47D6C91A"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Fishing intensity, expressed as spawning potential ratio (SPR), has declined in recent years (Figure A</w:t>
      </w:r>
      <w:r w:rsidRPr="00B845AF">
        <w:rPr>
          <w:rFonts w:asciiTheme="minorHAnsi" w:hAnsiTheme="minorHAnsi" w:cstheme="minorHAnsi"/>
          <w:lang w:val="en-US"/>
        </w:rPr>
        <w:noBreakHyphen/>
        <w:t>05b). The average fishing intensity for 2021–2023 was estimated at F66%SPR, which is below the target reference point (F45%SPR), indicating relatively moderate exploitation levels. Historically, fishing intensity exceeded the target reference point during the late 1990s through the mid</w:t>
      </w:r>
      <w:r w:rsidRPr="00B845AF">
        <w:rPr>
          <w:rFonts w:asciiTheme="minorHAnsi" w:hAnsiTheme="minorHAnsi" w:cstheme="minorHAnsi"/>
          <w:lang w:val="en-US"/>
        </w:rPr>
        <w:noBreakHyphen/>
        <w:t>2010s but has remained below the target since approximately 2019.</w:t>
      </w:r>
    </w:p>
    <w:p w14:paraId="15EDC3B0" w14:textId="77777777" w:rsidR="001F5838" w:rsidRPr="00B845AF" w:rsidRDefault="001F5838" w:rsidP="001F5838">
      <w:pPr>
        <w:pStyle w:val="SCtext"/>
        <w:numPr>
          <w:ilvl w:val="0"/>
          <w:numId w:val="0"/>
        </w:numPr>
        <w:rPr>
          <w:rFonts w:asciiTheme="minorHAnsi" w:hAnsiTheme="minorHAnsi" w:cstheme="minorHAnsi"/>
          <w:lang w:val="en-US"/>
        </w:rPr>
      </w:pPr>
    </w:p>
    <w:p w14:paraId="5F1353E4" w14:textId="5D78F739"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Estimates of total biomass (age</w:t>
      </w:r>
      <w:r w:rsidRPr="00B845AF">
        <w:rPr>
          <w:rFonts w:asciiTheme="minorHAnsi" w:hAnsiTheme="minorHAnsi" w:cstheme="minorHAnsi"/>
          <w:lang w:val="en-US"/>
        </w:rPr>
        <w:noBreakHyphen/>
        <w:t>1+) declined from the beginning of the assessment period through the early 2000s, remained relatively stable until the late 2010s, and increased thereafter due to strong recruitment (Figure A</w:t>
      </w:r>
      <w:r w:rsidRPr="00B845AF">
        <w:rPr>
          <w:rFonts w:asciiTheme="minorHAnsi" w:hAnsiTheme="minorHAnsi" w:cstheme="minorHAnsi"/>
          <w:lang w:val="en-US"/>
        </w:rPr>
        <w:noBreakHyphen/>
        <w:t>04). Female spawning stock biomass (SSB) followed a similar trajectory, with an initial decline until approximately 2007, followed by fluctuations without a clear long</w:t>
      </w:r>
      <w:r w:rsidRPr="00B845AF">
        <w:rPr>
          <w:rFonts w:asciiTheme="minorHAnsi" w:hAnsiTheme="minorHAnsi" w:cstheme="minorHAnsi"/>
          <w:lang w:val="en-US"/>
        </w:rPr>
        <w:noBreakHyphen/>
        <w:t>term trend through 2020, and increases in the most recent years. The estimated SSB in 2024 represents approximately 60% of the unfished spawning biomass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and has remained well above both the threshold and limit reference points throughout the assessment period.</w:t>
      </w:r>
    </w:p>
    <w:p w14:paraId="04B14012" w14:textId="77777777" w:rsidR="001F5838" w:rsidRPr="00B845AF" w:rsidRDefault="001F5838" w:rsidP="001F5838">
      <w:pPr>
        <w:pStyle w:val="SCtext"/>
        <w:numPr>
          <w:ilvl w:val="0"/>
          <w:numId w:val="0"/>
        </w:numPr>
        <w:rPr>
          <w:rFonts w:asciiTheme="minorHAnsi" w:hAnsiTheme="minorHAnsi" w:cstheme="minorHAnsi"/>
          <w:lang w:val="en-US"/>
        </w:rPr>
      </w:pPr>
    </w:p>
    <w:p w14:paraId="03863869" w14:textId="1EF39768"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The 2026 assessment builds on previous assessments (2017, 2020, and 2023) and incorporates several updates to model structure and data inputs, including revisions to the primary CPUE index, </w:t>
      </w:r>
      <w:r w:rsidRPr="00B845AF">
        <w:rPr>
          <w:rFonts w:asciiTheme="minorHAnsi" w:hAnsiTheme="minorHAnsi" w:cstheme="minorHAnsi"/>
          <w:lang w:val="en-US"/>
        </w:rPr>
        <w:lastRenderedPageBreak/>
        <w:t>updates to fleet structure, implementation of time</w:t>
      </w:r>
      <w:r w:rsidRPr="00B845AF">
        <w:rPr>
          <w:rFonts w:asciiTheme="minorHAnsi" w:hAnsiTheme="minorHAnsi" w:cstheme="minorHAnsi"/>
          <w:lang w:val="en-US"/>
        </w:rPr>
        <w:noBreakHyphen/>
        <w:t>varying selectivity using a two</w:t>
      </w:r>
      <w:r w:rsidRPr="00B845AF">
        <w:rPr>
          <w:rFonts w:asciiTheme="minorHAnsi" w:hAnsiTheme="minorHAnsi" w:cstheme="minorHAnsi"/>
          <w:lang w:val="en-US"/>
        </w:rPr>
        <w:noBreakHyphen/>
        <w:t xml:space="preserve">dimensional autoregressive approach, and inclusion of additional size composition data from China and Vanuatu fleets. These changes improved model </w:t>
      </w:r>
      <w:proofErr w:type="gramStart"/>
      <w:r w:rsidRPr="00B845AF">
        <w:rPr>
          <w:rFonts w:asciiTheme="minorHAnsi" w:hAnsiTheme="minorHAnsi" w:cstheme="minorHAnsi"/>
          <w:lang w:val="en-US"/>
        </w:rPr>
        <w:t>fit</w:t>
      </w:r>
      <w:proofErr w:type="gramEnd"/>
      <w:r w:rsidRPr="00B845AF">
        <w:rPr>
          <w:rFonts w:asciiTheme="minorHAnsi" w:hAnsiTheme="minorHAnsi" w:cstheme="minorHAnsi"/>
          <w:lang w:val="en-US"/>
        </w:rPr>
        <w:t xml:space="preserve"> and stability but did not fundamentally alter the overall trends in biomass and fishing intensity observed in previous assessments.</w:t>
      </w:r>
    </w:p>
    <w:p w14:paraId="02043259" w14:textId="77777777" w:rsidR="001F5838" w:rsidRPr="00B845AF" w:rsidRDefault="001F5838" w:rsidP="001F5838">
      <w:pPr>
        <w:pStyle w:val="SCtext"/>
        <w:numPr>
          <w:ilvl w:val="0"/>
          <w:numId w:val="0"/>
        </w:numPr>
        <w:rPr>
          <w:rFonts w:asciiTheme="minorHAnsi" w:hAnsiTheme="minorHAnsi" w:cstheme="minorHAnsi"/>
          <w:lang w:val="en-US"/>
        </w:rPr>
      </w:pPr>
    </w:p>
    <w:p w14:paraId="4F2EC645" w14:textId="77777777"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Overall, the results of the 2026 stock assessment indicate that the North Pacific albacore stock has experienced moderate exploitation, with recent increases in biomass driven by strong recruitment, and current fishing intensity levels below the target reference point (Table A-03).</w:t>
      </w:r>
    </w:p>
    <w:p w14:paraId="507932C3" w14:textId="77777777" w:rsidR="00FE1374" w:rsidRPr="00B845AF" w:rsidRDefault="00FE1374" w:rsidP="001F5838">
      <w:pPr>
        <w:pStyle w:val="SCtext"/>
        <w:numPr>
          <w:ilvl w:val="0"/>
          <w:numId w:val="0"/>
        </w:numPr>
        <w:rPr>
          <w:rFonts w:asciiTheme="minorHAnsi" w:hAnsiTheme="minorHAnsi" w:cstheme="minorHAnsi"/>
          <w:b/>
          <w:bCs/>
          <w:lang w:val="en-US"/>
        </w:rPr>
      </w:pPr>
    </w:p>
    <w:p w14:paraId="549D39AE" w14:textId="7AB98576" w:rsidR="00FE1374" w:rsidRPr="00B845AF" w:rsidRDefault="00FE1374" w:rsidP="001F5838">
      <w:pPr>
        <w:pStyle w:val="SCtext"/>
        <w:numPr>
          <w:ilvl w:val="0"/>
          <w:numId w:val="0"/>
        </w:numPr>
        <w:rPr>
          <w:rFonts w:asciiTheme="minorHAnsi" w:hAnsiTheme="minorHAnsi" w:cstheme="minorHAnsi"/>
          <w:b/>
          <w:bCs/>
          <w:i/>
          <w:iCs/>
          <w:lang w:val="en-US"/>
        </w:rPr>
      </w:pPr>
      <w:r w:rsidRPr="00B845AF">
        <w:rPr>
          <w:rFonts w:asciiTheme="minorHAnsi" w:hAnsiTheme="minorHAnsi" w:cstheme="minorHAnsi"/>
          <w:b/>
          <w:bCs/>
          <w:i/>
          <w:iCs/>
          <w:lang w:val="en-US"/>
        </w:rPr>
        <w:t xml:space="preserve">Stock status </w:t>
      </w:r>
    </w:p>
    <w:p w14:paraId="16381CF5" w14:textId="77777777" w:rsidR="001F5838" w:rsidRPr="00B845AF" w:rsidRDefault="001F5838" w:rsidP="001F5838">
      <w:pPr>
        <w:pStyle w:val="SCtext"/>
        <w:numPr>
          <w:ilvl w:val="0"/>
          <w:numId w:val="0"/>
        </w:numPr>
        <w:rPr>
          <w:rFonts w:asciiTheme="minorHAnsi" w:hAnsiTheme="minorHAnsi" w:cstheme="minorHAnsi"/>
          <w:b/>
          <w:bCs/>
          <w:i/>
          <w:iCs/>
          <w:lang w:val="en-US"/>
        </w:rPr>
      </w:pPr>
    </w:p>
    <w:p w14:paraId="2EBAB60F" w14:textId="01BB94FC"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Estimated summary biomass (males and females at age-1+) declined at the beginning of the time series until 2004. Subsequently, the summary biomass fluctuated without a clear trend until 2018, after which the biomass increased to values higher than those at the beginning of the model </w:t>
      </w:r>
      <w:proofErr w:type="gramStart"/>
      <w:r w:rsidRPr="00B845AF">
        <w:rPr>
          <w:rFonts w:asciiTheme="minorHAnsi" w:hAnsiTheme="minorHAnsi" w:cstheme="minorHAnsi"/>
          <w:lang w:val="en-US"/>
        </w:rPr>
        <w:t>time period</w:t>
      </w:r>
      <w:proofErr w:type="gramEnd"/>
      <w:r w:rsidRPr="00B845AF">
        <w:rPr>
          <w:rFonts w:asciiTheme="minorHAnsi" w:hAnsiTheme="minorHAnsi" w:cstheme="minorHAnsi"/>
          <w:lang w:val="en-US"/>
        </w:rPr>
        <w:t>. It should be noted that the high summary biomass estimates since 2018 also had increasing uncertainty. These high summary biomass estimates can be largely attributed to several strong recruitment estimates in 2017 (~297 million fish; 95% CI: 215– 381million fish), 2019 (~292 million fish; 95% CI: 187 to 396 million fish), and 2022 (~314 million fish; 95% CI: 93-536 million fish). However, it should be noted that the recruitment estimates in the last 5 years (2020-2024) were highly uncertain and should be treated with caution. Estimated female SSB exhibited a similar trend to the summary biomass, albeit with a lag of several years, and showed an initial decline until 2007 followed by fluctuations without a clear trend through 2020 (Figure A-04).</w:t>
      </w:r>
    </w:p>
    <w:p w14:paraId="144F40F2" w14:textId="77777777" w:rsidR="001F5838" w:rsidRPr="00B845AF" w:rsidRDefault="001F5838" w:rsidP="001F5838">
      <w:pPr>
        <w:pStyle w:val="SCtext"/>
        <w:numPr>
          <w:ilvl w:val="0"/>
          <w:numId w:val="0"/>
        </w:numPr>
        <w:rPr>
          <w:rFonts w:asciiTheme="minorHAnsi" w:hAnsiTheme="minorHAnsi" w:cstheme="minorHAnsi"/>
          <w:lang w:val="en-US"/>
        </w:rPr>
      </w:pPr>
    </w:p>
    <w:p w14:paraId="4BE71BDD" w14:textId="749F9C72"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The average fishing intensity during 2021 – 2023 was estimated to be F66</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(95% CI: F74</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 F57</w:t>
      </w:r>
      <w:r w:rsidRPr="00B845AF">
        <w:rPr>
          <w:rFonts w:asciiTheme="minorHAnsi" w:hAnsiTheme="minorHAnsi" w:cstheme="minorHAnsi"/>
          <w:vertAlign w:val="subscript"/>
          <w:lang w:val="en-US"/>
        </w:rPr>
        <w:t>%SPR</w:t>
      </w:r>
      <w:r w:rsidRPr="00B845AF">
        <w:rPr>
          <w:rFonts w:asciiTheme="minorHAnsi" w:hAnsiTheme="minorHAnsi" w:cstheme="minorHAnsi"/>
          <w:lang w:val="en-US"/>
        </w:rPr>
        <w:t>), which was relatively moderate and resulted in a population with an SPR of approximately 66%. Instantaneous fishing mortality at age (F-at-age) was similar in both sexes through age-5, peaking at age-4 and declining to a low at age-6, after which males experienced higher F-at-age than females up to age 14 (Figure A-06). Juvenile albacore aged 2 to 4 years comprised approximately 76% of the annual catch-at-age in numbers between 1994 and 2024 (Figure A-07) due to the larger fishery impact of surface fisheries (primarily troll, pole-and-line), which remove juvenile fish, relative to longline fisheries, which primarily remove adult fish (Figure A-08).</w:t>
      </w:r>
    </w:p>
    <w:p w14:paraId="2A41BA0D" w14:textId="77777777" w:rsidR="004323E0" w:rsidRPr="00B845AF" w:rsidRDefault="004323E0" w:rsidP="004323E0">
      <w:pPr>
        <w:pStyle w:val="SCtext"/>
        <w:numPr>
          <w:ilvl w:val="0"/>
          <w:numId w:val="0"/>
        </w:numPr>
        <w:rPr>
          <w:rFonts w:asciiTheme="minorHAnsi" w:hAnsiTheme="minorHAnsi" w:cstheme="minorHAnsi"/>
          <w:lang w:val="en-US"/>
        </w:rPr>
      </w:pPr>
    </w:p>
    <w:p w14:paraId="7C24D2E2" w14:textId="368B4948"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Stock status is depicted in relation to the target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threshold (30%</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and limit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reference points (Figure A-05; Table A-03). The estimated female SSB has never fallen below the threshold and limit reference points since 1994, albeit with large uncertainty in the terminal year (2024) estimates. The historical fishing intensity was estimated to have exceeded </w:t>
      </w:r>
      <w:proofErr w:type="gramStart"/>
      <w:r w:rsidRPr="00B845AF">
        <w:rPr>
          <w:rFonts w:asciiTheme="minorHAnsi" w:hAnsiTheme="minorHAnsi" w:cstheme="minorHAnsi"/>
          <w:lang w:val="en-US"/>
        </w:rPr>
        <w:t>the target</w:t>
      </w:r>
      <w:proofErr w:type="gramEnd"/>
      <w:r w:rsidRPr="00B845AF">
        <w:rPr>
          <w:rFonts w:asciiTheme="minorHAnsi" w:hAnsiTheme="minorHAnsi" w:cstheme="minorHAnsi"/>
          <w:lang w:val="en-US"/>
        </w:rPr>
        <w:t xml:space="preserve"> reference point for most years between 1997-2018. However, the estimated fishing intensity has been declining since 2019 and has been below the target reference point for the last six years. Even when alternative hypotheses about key model uncertainties such as growth were evaluated, the point estimate of female SSB in 2024 (SSB2024) did not fall below the threshold and limit reference points (Figure A-09). Estimated average fishing intensity during 2021-2023 (F2021-2023) did not exceed the target reference point under the alternative hypotheses (Figure A-09; Table A-03). Average fishing intensity from 2021-2023 also did not exceed the average fishing intensity during 2002-2004 (Table A-03).</w:t>
      </w:r>
    </w:p>
    <w:p w14:paraId="188730B7" w14:textId="77777777" w:rsidR="004323E0" w:rsidRPr="00B845AF" w:rsidRDefault="004323E0" w:rsidP="004323E0">
      <w:pPr>
        <w:pStyle w:val="SCtext"/>
        <w:numPr>
          <w:ilvl w:val="0"/>
          <w:numId w:val="0"/>
        </w:numPr>
        <w:rPr>
          <w:rFonts w:asciiTheme="minorHAnsi" w:hAnsiTheme="minorHAnsi" w:cstheme="minorHAnsi"/>
          <w:lang w:val="en-US"/>
        </w:rPr>
      </w:pPr>
    </w:p>
    <w:p w14:paraId="3CF2BCCA" w14:textId="77777777" w:rsidR="00E22F5F"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The SSB2024 was estimated to be approximately 60% (95% CI: 38 – 83%) of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and 2.01 (95% CI: 1.26 – 2.76) times greater than the estimated threshold reference point (Table A-03). The estimated current fishing intensity (F2021-2023) was estimated to be F66</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(95% CI: F74</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 F57</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w:t>
      </w:r>
      <w:r w:rsidRPr="00B845AF">
        <w:rPr>
          <w:rFonts w:asciiTheme="minorHAnsi" w:hAnsiTheme="minorHAnsi" w:cstheme="minorHAnsi"/>
          <w:lang w:val="en-US"/>
        </w:rPr>
        <w:lastRenderedPageBreak/>
        <w:t>and was lower than both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target reference point and the average fishing intensity during 2002 – 2004 (Table A-03). </w:t>
      </w:r>
    </w:p>
    <w:p w14:paraId="474153D8" w14:textId="77777777" w:rsidR="00E22F5F" w:rsidRPr="00B845AF" w:rsidRDefault="00E22F5F" w:rsidP="00E22F5F">
      <w:pPr>
        <w:pStyle w:val="ListParagraph"/>
        <w:rPr>
          <w:rFonts w:asciiTheme="minorHAnsi" w:hAnsiTheme="minorHAnsi" w:cstheme="minorHAnsi"/>
        </w:rPr>
      </w:pPr>
    </w:p>
    <w:p w14:paraId="2BBB33FF" w14:textId="1F0F653B"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Based on these findings, the following information on the status of the </w:t>
      </w:r>
      <w:r w:rsidR="009A3BBD" w:rsidRPr="00B845AF">
        <w:rPr>
          <w:rFonts w:asciiTheme="minorHAnsi" w:hAnsiTheme="minorHAnsi" w:cstheme="minorHAnsi"/>
          <w:lang w:val="en-US"/>
        </w:rPr>
        <w:t>North Pacific</w:t>
      </w:r>
      <w:r w:rsidRPr="00B845AF">
        <w:rPr>
          <w:rFonts w:asciiTheme="minorHAnsi" w:hAnsiTheme="minorHAnsi" w:cstheme="minorHAnsi"/>
          <w:lang w:val="en-US"/>
        </w:rPr>
        <w:t xml:space="preserve"> albacore stock is provided:</w:t>
      </w:r>
    </w:p>
    <w:p w14:paraId="47C675E8" w14:textId="06809CDF" w:rsidR="00FE1374" w:rsidRDefault="00FE1374" w:rsidP="00A12D3B">
      <w:pPr>
        <w:pStyle w:val="SCtext"/>
        <w:numPr>
          <w:ilvl w:val="3"/>
          <w:numId w:val="30"/>
        </w:numPr>
        <w:ind w:left="1170"/>
        <w:rPr>
          <w:rFonts w:asciiTheme="minorHAnsi" w:hAnsiTheme="minorHAnsi" w:cstheme="minorHAnsi"/>
          <w:b/>
          <w:bCs/>
          <w:lang w:val="en-US"/>
        </w:rPr>
      </w:pPr>
      <w:r w:rsidRPr="00B845AF">
        <w:rPr>
          <w:rFonts w:asciiTheme="minorHAnsi" w:hAnsiTheme="minorHAnsi" w:cstheme="minorHAnsi"/>
          <w:b/>
          <w:bCs/>
          <w:lang w:val="en-US"/>
        </w:rPr>
        <w:t>The stock is virtually certain (&gt;99%) not to be overfished relative to the threshold (30%</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and limit (14%</w:t>
      </w:r>
      <w:proofErr w:type="gramStart"/>
      <w:r w:rsidRPr="00B845AF">
        <w:rPr>
          <w:rFonts w:asciiTheme="minorHAnsi" w:hAnsiTheme="minorHAnsi" w:cstheme="minorHAnsi"/>
          <w:b/>
          <w:bCs/>
          <w:lang w:val="en-US"/>
        </w:rPr>
        <w:t>SSB</w:t>
      </w:r>
      <w:r w:rsidRPr="00B845AF">
        <w:rPr>
          <w:rFonts w:asciiTheme="minorHAnsi" w:hAnsiTheme="minorHAnsi" w:cstheme="minorHAnsi"/>
          <w:b/>
          <w:bCs/>
          <w:vertAlign w:val="subscript"/>
          <w:lang w:val="en-US"/>
        </w:rPr>
        <w:t>current,F</w:t>
      </w:r>
      <w:proofErr w:type="gramEnd"/>
      <w:r w:rsidRPr="00B845AF">
        <w:rPr>
          <w:rFonts w:asciiTheme="minorHAnsi" w:hAnsiTheme="minorHAnsi" w:cstheme="minorHAnsi"/>
          <w:b/>
          <w:bCs/>
          <w:vertAlign w:val="subscript"/>
          <w:lang w:val="en-US"/>
        </w:rPr>
        <w:t>=0</w:t>
      </w:r>
      <w:r w:rsidRPr="00B845AF">
        <w:rPr>
          <w:rFonts w:asciiTheme="minorHAnsi" w:hAnsiTheme="minorHAnsi" w:cstheme="minorHAnsi"/>
          <w:b/>
          <w:bCs/>
          <w:lang w:val="en-US"/>
        </w:rPr>
        <w:t>) reference points adopted by the WCPFC and IATTC, and</w:t>
      </w:r>
    </w:p>
    <w:p w14:paraId="23A62EEF" w14:textId="5F02E3A7" w:rsidR="00FE1374" w:rsidRPr="00A12D3B" w:rsidRDefault="00A12D3B" w:rsidP="00A12D3B">
      <w:pPr>
        <w:pStyle w:val="SCtext"/>
        <w:numPr>
          <w:ilvl w:val="3"/>
          <w:numId w:val="30"/>
        </w:numPr>
        <w:ind w:left="1170"/>
        <w:rPr>
          <w:rFonts w:asciiTheme="minorHAnsi" w:hAnsiTheme="minorHAnsi" w:cstheme="minorHAnsi"/>
          <w:b/>
          <w:bCs/>
          <w:lang w:val="en-US"/>
        </w:rPr>
      </w:pPr>
      <w:r w:rsidRPr="00B845AF">
        <w:rPr>
          <w:rFonts w:asciiTheme="minorHAnsi" w:hAnsiTheme="minorHAnsi" w:cstheme="minorHAnsi"/>
          <w:b/>
          <w:bCs/>
          <w:lang w:val="en-US"/>
        </w:rPr>
        <w:t>The stock is virtually certain (&gt;99%) to be not experiencing overfishing relative to the target reference point (F45</w:t>
      </w:r>
      <w:r w:rsidRPr="00B845AF">
        <w:rPr>
          <w:rFonts w:asciiTheme="minorHAnsi" w:hAnsiTheme="minorHAnsi" w:cstheme="minorHAnsi"/>
          <w:b/>
          <w:bCs/>
          <w:vertAlign w:val="subscript"/>
          <w:lang w:val="en-US"/>
        </w:rPr>
        <w:t>%SPR</w:t>
      </w:r>
      <w:r w:rsidRPr="00B845AF">
        <w:rPr>
          <w:rFonts w:asciiTheme="minorHAnsi" w:hAnsiTheme="minorHAnsi" w:cstheme="minorHAnsi"/>
          <w:b/>
          <w:bCs/>
          <w:lang w:val="en-US"/>
        </w:rPr>
        <w:t>).</w:t>
      </w:r>
    </w:p>
    <w:p w14:paraId="39633EA6" w14:textId="77777777" w:rsidR="00FE1374" w:rsidRPr="00B845AF" w:rsidRDefault="00FE1374" w:rsidP="004323E0">
      <w:pPr>
        <w:pStyle w:val="SCtext"/>
        <w:numPr>
          <w:ilvl w:val="0"/>
          <w:numId w:val="0"/>
        </w:numPr>
        <w:rPr>
          <w:rFonts w:asciiTheme="minorHAnsi" w:hAnsiTheme="minorHAnsi" w:cstheme="minorHAnsi"/>
          <w:i/>
          <w:iCs/>
          <w:lang w:val="en-US"/>
        </w:rPr>
      </w:pPr>
    </w:p>
    <w:p w14:paraId="2F672625" w14:textId="77777777" w:rsidR="00FE1374" w:rsidRPr="00B845AF" w:rsidRDefault="00FE1374" w:rsidP="00D547E8">
      <w:pPr>
        <w:pStyle w:val="SCtext"/>
        <w:numPr>
          <w:ilvl w:val="0"/>
          <w:numId w:val="0"/>
        </w:numPr>
        <w:rPr>
          <w:rFonts w:asciiTheme="minorHAnsi" w:hAnsiTheme="minorHAnsi" w:cstheme="minorHAnsi"/>
          <w:b/>
          <w:i/>
          <w:iCs/>
          <w:lang w:val="en-US"/>
        </w:rPr>
      </w:pPr>
      <w:r w:rsidRPr="00B845AF">
        <w:rPr>
          <w:rFonts w:asciiTheme="minorHAnsi" w:hAnsiTheme="minorHAnsi" w:cstheme="minorHAnsi"/>
          <w:b/>
          <w:i/>
          <w:iCs/>
          <w:lang w:val="en-US"/>
        </w:rPr>
        <w:t>Conservation Information</w:t>
      </w:r>
    </w:p>
    <w:p w14:paraId="232F29FE" w14:textId="77777777" w:rsidR="00FE1374" w:rsidRPr="00B845AF" w:rsidRDefault="00FE1374" w:rsidP="00D547E8">
      <w:pPr>
        <w:pStyle w:val="SCtext"/>
        <w:numPr>
          <w:ilvl w:val="0"/>
          <w:numId w:val="0"/>
        </w:numPr>
        <w:rPr>
          <w:rFonts w:asciiTheme="minorHAnsi" w:hAnsiTheme="minorHAnsi" w:cstheme="minorHAnsi"/>
          <w:b/>
          <w:lang w:val="en-US"/>
        </w:rPr>
      </w:pPr>
    </w:p>
    <w:p w14:paraId="636AB2DD" w14:textId="071E6D64"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The constant fishing intensity scenario showed that the current fishing intensity (F2021-2023) is expected to result in female SSB increasing to 109,384 t (95% CI: 82,915 – 136,573 t) and </w:t>
      </w:r>
      <w:proofErr w:type="gramStart"/>
      <w:r w:rsidRPr="00B845AF">
        <w:rPr>
          <w:rFonts w:asciiTheme="minorHAnsi" w:hAnsiTheme="minorHAnsi" w:cstheme="minorHAnsi"/>
          <w:lang w:val="en-US"/>
        </w:rPr>
        <w:t>a</w:t>
      </w:r>
      <w:proofErr w:type="gramEnd"/>
      <w:r w:rsidRPr="00B845AF">
        <w:rPr>
          <w:rFonts w:asciiTheme="minorHAnsi" w:hAnsiTheme="minorHAnsi" w:cstheme="minorHAnsi"/>
          <w:lang w:val="en-US"/>
        </w:rPr>
        <w:t xml:space="preserve"> SSB/</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ratio of 0.83 by 2034. Over the next 10 years, there was: 1) a 100.0%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 2) a 86.5% probability of the total biomass (age-1+) depletion being above the average of 2006 – 2015 for any year; and 3) a 95.3% probability of the fishing intensity remaining at or below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TRP for any year (Figure A-10). For the second scenario, the period 2005–2019 was chosen because IATTC and WCPFC implemented the current management measures (WCPFC CMM 2019-03; IATTC Resolution C-05-02) that maintains albacore fishing effort at or below the average effort levels during 2002–2004 but before recent declines in F after 2020. If future fishing intensity is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the 2005 – 2019 period, it is expected to result in female SSB increasing to 67,340 t (95% CI: 47,082 – 87,597 t) and a SSB/</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ratio of 0.52 by 2034. Over the next 10 years, there was: 1) a 99.1 %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 2) a 79.9 % probability of the total biomass (age-1+) depletion being above the average of 2006 – 2015 for any year; and 3) a 48.8% probability of the fishing intensity remaining at or below the F45</w:t>
      </w:r>
      <w:r w:rsidRPr="00B845AF">
        <w:rPr>
          <w:rFonts w:asciiTheme="minorHAnsi" w:hAnsiTheme="minorHAnsi" w:cstheme="minorHAnsi"/>
          <w:vertAlign w:val="subscript"/>
          <w:lang w:val="en-US"/>
        </w:rPr>
        <w:t>%SPR</w:t>
      </w:r>
      <w:r w:rsidRPr="00B845AF">
        <w:rPr>
          <w:rFonts w:asciiTheme="minorHAnsi" w:hAnsiTheme="minorHAnsi" w:cstheme="minorHAnsi"/>
          <w:lang w:val="en-US"/>
        </w:rPr>
        <w:t xml:space="preserve"> TRP for any year (Figure A-11).</w:t>
      </w:r>
    </w:p>
    <w:p w14:paraId="3557564B" w14:textId="77777777" w:rsidR="00D547E8" w:rsidRPr="00B845AF" w:rsidRDefault="00D547E8" w:rsidP="00D547E8">
      <w:pPr>
        <w:pStyle w:val="SCtext"/>
        <w:numPr>
          <w:ilvl w:val="0"/>
          <w:numId w:val="0"/>
        </w:numPr>
        <w:rPr>
          <w:rFonts w:asciiTheme="minorHAnsi" w:hAnsiTheme="minorHAnsi" w:cstheme="minorHAnsi"/>
          <w:lang w:val="en-US"/>
        </w:rPr>
      </w:pPr>
    </w:p>
    <w:p w14:paraId="0F5CADF7" w14:textId="77777777" w:rsidR="00FE1374" w:rsidRPr="00B845AF" w:rsidRDefault="00FE1374">
      <w:pPr>
        <w:pStyle w:val="SCtext"/>
        <w:rPr>
          <w:rFonts w:asciiTheme="minorHAnsi" w:hAnsiTheme="minorHAnsi" w:cstheme="minorHAnsi"/>
          <w:lang w:val="en-US"/>
        </w:rPr>
      </w:pPr>
      <w:r w:rsidRPr="00B845AF">
        <w:rPr>
          <w:rFonts w:asciiTheme="minorHAnsi" w:hAnsiTheme="minorHAnsi" w:cstheme="minorHAnsi"/>
          <w:lang w:val="en-US"/>
        </w:rPr>
        <w:t xml:space="preserve">Based on these findings, the </w:t>
      </w:r>
      <w:proofErr w:type="gramStart"/>
      <w:r w:rsidRPr="00B845AF">
        <w:rPr>
          <w:rFonts w:asciiTheme="minorHAnsi" w:hAnsiTheme="minorHAnsi" w:cstheme="minorHAnsi"/>
          <w:lang w:val="en-US"/>
        </w:rPr>
        <w:t>following conservation</w:t>
      </w:r>
      <w:proofErr w:type="gramEnd"/>
      <w:r w:rsidRPr="00B845AF">
        <w:rPr>
          <w:rFonts w:asciiTheme="minorHAnsi" w:hAnsiTheme="minorHAnsi" w:cstheme="minorHAnsi"/>
          <w:lang w:val="en-US"/>
        </w:rPr>
        <w:t xml:space="preserve"> information is provided:</w:t>
      </w:r>
    </w:p>
    <w:p w14:paraId="4B10C3BE" w14:textId="77777777" w:rsidR="00E22F5F" w:rsidRPr="00B845AF" w:rsidRDefault="00E22F5F" w:rsidP="00E22F5F">
      <w:pPr>
        <w:pStyle w:val="SCtext"/>
        <w:numPr>
          <w:ilvl w:val="0"/>
          <w:numId w:val="0"/>
        </w:numPr>
        <w:rPr>
          <w:rFonts w:asciiTheme="minorHAnsi" w:hAnsiTheme="minorHAnsi" w:cstheme="minorHAnsi"/>
          <w:lang w:val="en-US"/>
        </w:rPr>
      </w:pPr>
    </w:p>
    <w:p w14:paraId="718AA2DC" w14:textId="0D34FC33" w:rsidR="00FE1374" w:rsidRPr="00B845AF" w:rsidRDefault="00D547E8" w:rsidP="00E22F5F">
      <w:pPr>
        <w:pStyle w:val="SCtext"/>
        <w:numPr>
          <w:ilvl w:val="0"/>
          <w:numId w:val="0"/>
        </w:numPr>
        <w:ind w:leftChars="300" w:left="660"/>
        <w:rPr>
          <w:rFonts w:asciiTheme="minorHAnsi" w:eastAsia="MS Mincho" w:hAnsiTheme="minorHAnsi" w:cstheme="minorHAnsi"/>
          <w:b/>
          <w:bCs/>
          <w:lang w:val="en-US" w:eastAsia="ja-JP"/>
        </w:rPr>
      </w:pPr>
      <w:r w:rsidRPr="00B845AF">
        <w:rPr>
          <w:rFonts w:asciiTheme="minorHAnsi" w:hAnsiTheme="minorHAnsi" w:cstheme="minorHAnsi"/>
          <w:b/>
          <w:bCs/>
          <w:lang w:val="en-US"/>
        </w:rPr>
        <w:t xml:space="preserve">1. </w:t>
      </w:r>
      <w:r w:rsidR="00FE1374" w:rsidRPr="00B845AF">
        <w:rPr>
          <w:rFonts w:asciiTheme="minorHAnsi" w:hAnsiTheme="minorHAnsi" w:cstheme="minorHAnsi"/>
          <w:b/>
          <w:bCs/>
          <w:lang w:val="en-US"/>
        </w:rPr>
        <w:t xml:space="preserve">If fishing intensity over the next 10 years is maintained at the current fishing intensity (F2021-2023), then female SSB is expected to increase to around 83% of </w:t>
      </w:r>
      <w:proofErr w:type="gramStart"/>
      <w:r w:rsidR="00FE1374" w:rsidRPr="00B845AF">
        <w:rPr>
          <w:rFonts w:asciiTheme="minorHAnsi" w:hAnsiTheme="minorHAnsi" w:cstheme="minorHAnsi"/>
          <w:b/>
          <w:bCs/>
          <w:lang w:val="en-US"/>
        </w:rPr>
        <w:t>SSB</w:t>
      </w:r>
      <w:r w:rsidR="00FE1374" w:rsidRPr="00B845AF">
        <w:rPr>
          <w:rFonts w:asciiTheme="minorHAnsi" w:hAnsiTheme="minorHAnsi" w:cstheme="minorHAnsi"/>
          <w:b/>
          <w:bCs/>
          <w:vertAlign w:val="subscript"/>
          <w:lang w:val="en-US"/>
        </w:rPr>
        <w:t>current,F</w:t>
      </w:r>
      <w:proofErr w:type="gramEnd"/>
      <w:r w:rsidR="00FE1374" w:rsidRPr="00B845AF">
        <w:rPr>
          <w:rFonts w:asciiTheme="minorHAnsi" w:hAnsiTheme="minorHAnsi" w:cstheme="minorHAnsi"/>
          <w:b/>
          <w:bCs/>
          <w:vertAlign w:val="subscript"/>
          <w:lang w:val="en-US"/>
        </w:rPr>
        <w:t>=0</w:t>
      </w:r>
      <w:r w:rsidR="00FE1374" w:rsidRPr="00B845AF">
        <w:rPr>
          <w:rFonts w:asciiTheme="minorHAnsi" w:hAnsiTheme="minorHAnsi" w:cstheme="minorHAnsi"/>
          <w:b/>
          <w:bCs/>
          <w:lang w:val="en-US"/>
        </w:rPr>
        <w:t xml:space="preserve"> (109,384 t) by 2034, with a 100.0% probability that female SSB will remain above the 14%</w:t>
      </w:r>
      <w:proofErr w:type="gramStart"/>
      <w:r w:rsidR="00FE1374" w:rsidRPr="00B845AF">
        <w:rPr>
          <w:rFonts w:asciiTheme="minorHAnsi" w:hAnsiTheme="minorHAnsi" w:cstheme="minorHAnsi"/>
          <w:b/>
          <w:bCs/>
          <w:lang w:val="en-US"/>
        </w:rPr>
        <w:t>SSB</w:t>
      </w:r>
      <w:r w:rsidR="00FE1374" w:rsidRPr="00B845AF">
        <w:rPr>
          <w:rFonts w:asciiTheme="minorHAnsi" w:hAnsiTheme="minorHAnsi" w:cstheme="minorHAnsi"/>
          <w:b/>
          <w:bCs/>
          <w:vertAlign w:val="subscript"/>
          <w:lang w:val="en-US"/>
        </w:rPr>
        <w:t>current,F</w:t>
      </w:r>
      <w:proofErr w:type="gramEnd"/>
      <w:r w:rsidR="00FE1374" w:rsidRPr="00B845AF">
        <w:rPr>
          <w:rFonts w:asciiTheme="minorHAnsi" w:hAnsiTheme="minorHAnsi" w:cstheme="minorHAnsi"/>
          <w:b/>
          <w:bCs/>
          <w:vertAlign w:val="subscript"/>
          <w:lang w:val="en-US"/>
        </w:rPr>
        <w:t>=0</w:t>
      </w:r>
      <w:r w:rsidR="00FE1374" w:rsidRPr="00B845AF">
        <w:rPr>
          <w:rFonts w:asciiTheme="minorHAnsi" w:hAnsiTheme="minorHAnsi" w:cstheme="minorHAnsi"/>
          <w:b/>
          <w:bCs/>
          <w:lang w:val="en-US"/>
        </w:rPr>
        <w:t xml:space="preserve"> LRP for all 10 years and the harvest strategy management objectives of the IATTC and WCPFC (IATTC Resolution C-23-02; WCPFC Harvest Strategy 2023-01) will likely be met; and</w:t>
      </w:r>
    </w:p>
    <w:p w14:paraId="24C9D026" w14:textId="77777777" w:rsidR="00E22F5F" w:rsidRPr="00B845AF" w:rsidRDefault="00E22F5F" w:rsidP="00E22F5F">
      <w:pPr>
        <w:pStyle w:val="SCtext"/>
        <w:numPr>
          <w:ilvl w:val="0"/>
          <w:numId w:val="0"/>
        </w:numPr>
        <w:ind w:leftChars="300" w:left="660"/>
        <w:rPr>
          <w:rFonts w:asciiTheme="minorHAnsi" w:eastAsia="MS Mincho" w:hAnsiTheme="minorHAnsi" w:cstheme="minorHAnsi"/>
          <w:b/>
          <w:bCs/>
          <w:lang w:val="en-US" w:eastAsia="ja-JP"/>
        </w:rPr>
      </w:pPr>
    </w:p>
    <w:p w14:paraId="6E96D2B9" w14:textId="5569F05E" w:rsidR="00FE1374" w:rsidRPr="00B845AF" w:rsidRDefault="00D547E8" w:rsidP="00E22F5F">
      <w:pPr>
        <w:pStyle w:val="SCtext"/>
        <w:numPr>
          <w:ilvl w:val="0"/>
          <w:numId w:val="0"/>
        </w:numPr>
        <w:ind w:leftChars="300" w:left="660"/>
        <w:rPr>
          <w:rFonts w:asciiTheme="minorHAnsi" w:hAnsiTheme="minorHAnsi" w:cstheme="minorHAnsi"/>
          <w:b/>
          <w:bCs/>
          <w:lang w:val="en-US"/>
        </w:rPr>
      </w:pPr>
      <w:r w:rsidRPr="00B845AF">
        <w:rPr>
          <w:rFonts w:asciiTheme="minorHAnsi" w:hAnsiTheme="minorHAnsi" w:cstheme="minorHAnsi"/>
          <w:b/>
          <w:bCs/>
          <w:lang w:val="en-US"/>
        </w:rPr>
        <w:t xml:space="preserve">2. </w:t>
      </w:r>
      <w:r w:rsidR="00FE1374" w:rsidRPr="00B845AF">
        <w:rPr>
          <w:rFonts w:asciiTheme="minorHAnsi" w:hAnsiTheme="minorHAnsi" w:cstheme="minorHAnsi"/>
          <w:b/>
          <w:bCs/>
          <w:lang w:val="en-US"/>
        </w:rPr>
        <w:t xml:space="preserve">If fishing intensity over the next 10 years is similar to the 2005 – 2019 period, then female SSB is expected to decrease to around 52% of </w:t>
      </w:r>
      <w:proofErr w:type="gramStart"/>
      <w:r w:rsidR="00FE1374" w:rsidRPr="00B845AF">
        <w:rPr>
          <w:rFonts w:asciiTheme="minorHAnsi" w:hAnsiTheme="minorHAnsi" w:cstheme="minorHAnsi"/>
          <w:b/>
          <w:bCs/>
          <w:lang w:val="en-US"/>
        </w:rPr>
        <w:t>SSB</w:t>
      </w:r>
      <w:r w:rsidR="00FE1374" w:rsidRPr="00B845AF">
        <w:rPr>
          <w:rFonts w:asciiTheme="minorHAnsi" w:hAnsiTheme="minorHAnsi" w:cstheme="minorHAnsi"/>
          <w:b/>
          <w:bCs/>
          <w:vertAlign w:val="subscript"/>
          <w:lang w:val="en-US"/>
        </w:rPr>
        <w:t>current,F</w:t>
      </w:r>
      <w:proofErr w:type="gramEnd"/>
      <w:r w:rsidR="00FE1374" w:rsidRPr="00B845AF">
        <w:rPr>
          <w:rFonts w:asciiTheme="minorHAnsi" w:hAnsiTheme="minorHAnsi" w:cstheme="minorHAnsi"/>
          <w:b/>
          <w:bCs/>
          <w:vertAlign w:val="subscript"/>
          <w:lang w:val="en-US"/>
        </w:rPr>
        <w:t>=0</w:t>
      </w:r>
      <w:r w:rsidR="00FE1374" w:rsidRPr="00B845AF">
        <w:rPr>
          <w:rFonts w:asciiTheme="minorHAnsi" w:hAnsiTheme="minorHAnsi" w:cstheme="minorHAnsi"/>
          <w:b/>
          <w:bCs/>
          <w:lang w:val="en-US"/>
        </w:rPr>
        <w:t xml:space="preserve"> (67,340 t), with a 99.1 % probability that female SSB will remain above the 14%</w:t>
      </w:r>
      <w:proofErr w:type="gramStart"/>
      <w:r w:rsidR="00FE1374" w:rsidRPr="00B845AF">
        <w:rPr>
          <w:rFonts w:asciiTheme="minorHAnsi" w:hAnsiTheme="minorHAnsi" w:cstheme="minorHAnsi"/>
          <w:b/>
          <w:bCs/>
          <w:lang w:val="en-US"/>
        </w:rPr>
        <w:t>SSB</w:t>
      </w:r>
      <w:r w:rsidR="00FE1374" w:rsidRPr="00B845AF">
        <w:rPr>
          <w:rFonts w:asciiTheme="minorHAnsi" w:hAnsiTheme="minorHAnsi" w:cstheme="minorHAnsi"/>
          <w:b/>
          <w:bCs/>
          <w:vertAlign w:val="subscript"/>
          <w:lang w:val="en-US"/>
        </w:rPr>
        <w:t>current,F</w:t>
      </w:r>
      <w:proofErr w:type="gramEnd"/>
      <w:r w:rsidR="00FE1374" w:rsidRPr="00B845AF">
        <w:rPr>
          <w:rFonts w:asciiTheme="minorHAnsi" w:hAnsiTheme="minorHAnsi" w:cstheme="minorHAnsi"/>
          <w:b/>
          <w:bCs/>
          <w:vertAlign w:val="subscript"/>
          <w:lang w:val="en-US"/>
        </w:rPr>
        <w:t>=0</w:t>
      </w:r>
      <w:r w:rsidR="00FE1374" w:rsidRPr="00B845AF">
        <w:rPr>
          <w:rFonts w:asciiTheme="minorHAnsi" w:hAnsiTheme="minorHAnsi" w:cstheme="minorHAnsi"/>
          <w:b/>
          <w:bCs/>
          <w:lang w:val="en-US"/>
        </w:rPr>
        <w:t xml:space="preserve"> LRP for all 10 years and the harvest strategy management objectives of the IATTC and WCPFC (IATTC Resolution C-23-02; WCPFC Harvest Strategy 2023-01) will likely be met.</w:t>
      </w:r>
    </w:p>
    <w:p w14:paraId="3B33B6C5" w14:textId="77777777" w:rsidR="00A52743" w:rsidRPr="00B845AF" w:rsidRDefault="00A52743" w:rsidP="00A52743">
      <w:pPr>
        <w:pStyle w:val="SCtext"/>
        <w:numPr>
          <w:ilvl w:val="0"/>
          <w:numId w:val="0"/>
        </w:numPr>
        <w:rPr>
          <w:rFonts w:asciiTheme="minorHAnsi" w:hAnsiTheme="minorHAnsi" w:cstheme="minorHAnsi"/>
          <w:b/>
          <w:bCs/>
          <w:lang w:val="en-US"/>
        </w:rPr>
      </w:pPr>
    </w:p>
    <w:p w14:paraId="015A6BC6" w14:textId="77777777" w:rsidR="009A4F45" w:rsidRDefault="009A4F45">
      <w:pPr>
        <w:rPr>
          <w:rFonts w:asciiTheme="minorHAnsi" w:eastAsiaTheme="minorEastAsia" w:hAnsiTheme="minorHAnsi" w:cstheme="minorHAnsi"/>
          <w:b/>
          <w:bCs/>
          <w:szCs w:val="22"/>
          <w:lang w:eastAsia="ko-KR"/>
        </w:rPr>
      </w:pPr>
      <w:r>
        <w:rPr>
          <w:rFonts w:asciiTheme="minorHAnsi" w:hAnsiTheme="minorHAnsi" w:cstheme="minorHAnsi"/>
          <w:b/>
          <w:bCs/>
        </w:rPr>
        <w:br w:type="page"/>
      </w:r>
    </w:p>
    <w:p w14:paraId="129A2FDF" w14:textId="7F47D244" w:rsidR="00FE1374" w:rsidRPr="00B845AF" w:rsidRDefault="00FE1374" w:rsidP="00A52743">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lastRenderedPageBreak/>
        <w:t>Table A-01.</w:t>
      </w:r>
      <w:r w:rsidRPr="00B845AF">
        <w:rPr>
          <w:rFonts w:asciiTheme="minorHAnsi" w:hAnsiTheme="minorHAnsi" w:cstheme="minorHAnsi"/>
          <w:lang w:val="en-US"/>
        </w:rPr>
        <w:t xml:space="preserve"> Stock assessment model structure for the 2026 North Pacific Albacore benchmark stock assessment.</w:t>
      </w:r>
    </w:p>
    <w:tbl>
      <w:tblPr>
        <w:tblW w:w="8200" w:type="dxa"/>
        <w:tblLook w:val="04A0" w:firstRow="1" w:lastRow="0" w:firstColumn="1" w:lastColumn="0" w:noHBand="0" w:noVBand="1"/>
      </w:tblPr>
      <w:tblGrid>
        <w:gridCol w:w="2155"/>
        <w:gridCol w:w="6045"/>
      </w:tblGrid>
      <w:tr w:rsidR="00FE1374" w:rsidRPr="00B845AF" w14:paraId="431FB47A"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402B3B74"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Species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5594A8E1"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North Pacific albacore (</w:t>
            </w:r>
            <w:r w:rsidRPr="00B845AF">
              <w:rPr>
                <w:rFonts w:asciiTheme="minorHAnsi" w:hAnsiTheme="minorHAnsi" w:cstheme="minorHAnsi"/>
                <w:i/>
                <w:iCs/>
                <w:lang w:val="en-US"/>
              </w:rPr>
              <w:t>Thunnus alalunga</w:t>
            </w:r>
            <w:r w:rsidRPr="00B845AF">
              <w:rPr>
                <w:rFonts w:asciiTheme="minorHAnsi" w:hAnsiTheme="minorHAnsi" w:cstheme="minorHAnsi"/>
                <w:lang w:val="en-US"/>
              </w:rPr>
              <w:t>)</w:t>
            </w:r>
          </w:p>
        </w:tc>
      </w:tr>
      <w:tr w:rsidR="00FE1374" w:rsidRPr="00B845AF" w14:paraId="7AC75448"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325B8603"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Stock Area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7C30E4D2"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North Pacific Ocean (0°N–55°N; single, well-mixed stock)</w:t>
            </w:r>
          </w:p>
        </w:tc>
      </w:tr>
      <w:tr w:rsidR="00FE1374" w:rsidRPr="00B845AF" w14:paraId="28F808E9"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4BF94212"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Assessment Model</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34688661"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Stock Synthesis (SS3), length-, age-, and sex-structured</w:t>
            </w:r>
          </w:p>
        </w:tc>
      </w:tr>
      <w:tr w:rsidR="00FE1374" w:rsidRPr="00B845AF" w14:paraId="0C5B0AE5"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4E7AAC09"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Data Period</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5326A37E"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1994–2024 (quarterly time step); CPUE index from 1996–2024</w:t>
            </w:r>
          </w:p>
        </w:tc>
      </w:tr>
      <w:tr w:rsidR="00FE1374" w:rsidRPr="00B845AF" w14:paraId="217B225D"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1BBD98CF"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Primary Fisheries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539BF7B8"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Surface fisheries (troll, pole-and-line; major source of juvenile mortality) and longline fisheries (targeting adults)</w:t>
            </w:r>
          </w:p>
        </w:tc>
      </w:tr>
      <w:tr w:rsidR="00FE1374" w:rsidRPr="00B845AF" w14:paraId="33A87B9F" w14:textId="77777777" w:rsidTr="009A4F45">
        <w:trPr>
          <w:trHeight w:val="300"/>
        </w:trPr>
        <w:tc>
          <w:tcPr>
            <w:tcW w:w="2155" w:type="dxa"/>
            <w:tcBorders>
              <w:top w:val="single" w:sz="4" w:space="0" w:color="auto"/>
              <w:left w:val="single" w:sz="4" w:space="0" w:color="auto"/>
              <w:bottom w:val="single" w:sz="4" w:space="0" w:color="auto"/>
              <w:right w:val="single" w:sz="4" w:space="0" w:color="auto"/>
            </w:tcBorders>
            <w:noWrap/>
            <w:hideMark/>
          </w:tcPr>
          <w:p w14:paraId="0BE21F6F" w14:textId="77777777" w:rsidR="00FE1374" w:rsidRPr="00B845AF" w:rsidRDefault="00FE1374" w:rsidP="009A4F45">
            <w:pPr>
              <w:pStyle w:val="SCtext"/>
              <w:numPr>
                <w:ilvl w:val="0"/>
                <w:numId w:val="0"/>
              </w:numPr>
              <w:jc w:val="left"/>
              <w:rPr>
                <w:rFonts w:asciiTheme="minorHAnsi" w:hAnsiTheme="minorHAnsi" w:cstheme="minorHAnsi"/>
                <w:b/>
                <w:bCs/>
                <w:lang w:val="en-US"/>
              </w:rPr>
            </w:pPr>
            <w:r w:rsidRPr="00B845AF">
              <w:rPr>
                <w:rFonts w:asciiTheme="minorHAnsi" w:hAnsiTheme="minorHAnsi" w:cstheme="minorHAnsi"/>
                <w:b/>
                <w:bCs/>
                <w:lang w:val="en-US"/>
              </w:rPr>
              <w:t>Key data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7CDC8A09" w14:textId="77777777" w:rsidR="00FE1374" w:rsidRPr="00B845AF" w:rsidRDefault="00FE1374" w:rsidP="00A52743">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 standardized CPUE (F10 JPLL index), length composition, sex composition (limited)</w:t>
            </w:r>
          </w:p>
        </w:tc>
      </w:tr>
    </w:tbl>
    <w:p w14:paraId="768C711F" w14:textId="77777777" w:rsidR="00601B61" w:rsidRPr="00B845AF" w:rsidRDefault="00601B61" w:rsidP="0030264D">
      <w:pPr>
        <w:pStyle w:val="SCtext"/>
        <w:numPr>
          <w:ilvl w:val="0"/>
          <w:numId w:val="0"/>
        </w:numPr>
        <w:rPr>
          <w:rFonts w:asciiTheme="minorHAnsi" w:hAnsiTheme="minorHAnsi" w:cstheme="minorHAnsi"/>
          <w:b/>
          <w:bCs/>
          <w:lang w:val="en-US"/>
        </w:rPr>
      </w:pPr>
    </w:p>
    <w:p w14:paraId="07F855FA" w14:textId="77777777" w:rsidR="00601B61" w:rsidRPr="00B845AF" w:rsidRDefault="00601B61" w:rsidP="0030264D">
      <w:pPr>
        <w:pStyle w:val="SCtext"/>
        <w:numPr>
          <w:ilvl w:val="0"/>
          <w:numId w:val="0"/>
        </w:numPr>
        <w:rPr>
          <w:rFonts w:asciiTheme="minorHAnsi" w:hAnsiTheme="minorHAnsi" w:cstheme="minorHAnsi"/>
          <w:b/>
          <w:bCs/>
          <w:lang w:val="en-US"/>
        </w:rPr>
      </w:pPr>
    </w:p>
    <w:p w14:paraId="211C8788" w14:textId="23A11AC3" w:rsidR="00FE1374" w:rsidRPr="00B845AF" w:rsidRDefault="00FE1374" w:rsidP="0030264D">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Table A-02</w:t>
      </w:r>
      <w:r w:rsidRPr="00B845AF">
        <w:rPr>
          <w:rFonts w:asciiTheme="minorHAnsi" w:hAnsiTheme="minorHAnsi" w:cstheme="minorHAnsi"/>
          <w:lang w:val="en-US"/>
        </w:rPr>
        <w:t>. Key sources of uncertainty considered in the 2026 North Pacific Albacore benchmark stock assessment.</w:t>
      </w:r>
    </w:p>
    <w:tbl>
      <w:tblPr>
        <w:tblW w:w="0" w:type="auto"/>
        <w:tblLook w:val="04A0" w:firstRow="1" w:lastRow="0" w:firstColumn="1" w:lastColumn="0" w:noHBand="0" w:noVBand="1"/>
      </w:tblPr>
      <w:tblGrid>
        <w:gridCol w:w="1477"/>
        <w:gridCol w:w="1408"/>
        <w:gridCol w:w="1426"/>
        <w:gridCol w:w="1990"/>
        <w:gridCol w:w="1814"/>
        <w:gridCol w:w="1235"/>
      </w:tblGrid>
      <w:tr w:rsidR="00FE1374" w:rsidRPr="00B845AF" w14:paraId="2ABCD561" w14:textId="77777777" w:rsidTr="009A4F45">
        <w:trPr>
          <w:trHeight w:val="300"/>
          <w:tblHeader/>
        </w:trPr>
        <w:tc>
          <w:tcPr>
            <w:tcW w:w="148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5E883742"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Source</w:t>
            </w:r>
          </w:p>
        </w:tc>
        <w:tc>
          <w:tcPr>
            <w:tcW w:w="1402"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ABCCA6D"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Type</w:t>
            </w:r>
          </w:p>
        </w:tc>
        <w:tc>
          <w:tcPr>
            <w:tcW w:w="1419"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7AE7D35"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Rationale</w:t>
            </w:r>
          </w:p>
        </w:tc>
        <w:tc>
          <w:tcPr>
            <w:tcW w:w="1994"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C062A46"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Uncertainty</w:t>
            </w:r>
          </w:p>
        </w:tc>
        <w:tc>
          <w:tcPr>
            <w:tcW w:w="1818"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4390BF55"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Impact</w:t>
            </w:r>
          </w:p>
        </w:tc>
        <w:tc>
          <w:tcPr>
            <w:tcW w:w="1237"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2308FC1E"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Confidence</w:t>
            </w:r>
          </w:p>
        </w:tc>
      </w:tr>
      <w:tr w:rsidR="00FE1374" w:rsidRPr="00B845AF" w14:paraId="0A849E75" w14:textId="77777777" w:rsidTr="009A4F45">
        <w:trPr>
          <w:trHeight w:val="93"/>
        </w:trPr>
        <w:tc>
          <w:tcPr>
            <w:tcW w:w="1480" w:type="dxa"/>
            <w:vMerge w:val="restart"/>
            <w:tcBorders>
              <w:top w:val="nil"/>
              <w:left w:val="single" w:sz="4" w:space="0" w:color="auto"/>
              <w:bottom w:val="single" w:sz="4" w:space="0" w:color="auto"/>
              <w:right w:val="single" w:sz="4" w:space="0" w:color="auto"/>
            </w:tcBorders>
            <w:noWrap/>
            <w:vAlign w:val="center"/>
            <w:hideMark/>
          </w:tcPr>
          <w:p w14:paraId="2952B2D8"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Data</w:t>
            </w:r>
          </w:p>
        </w:tc>
        <w:tc>
          <w:tcPr>
            <w:tcW w:w="1402" w:type="dxa"/>
            <w:tcBorders>
              <w:top w:val="nil"/>
              <w:left w:val="nil"/>
              <w:bottom w:val="single" w:sz="4" w:space="0" w:color="auto"/>
              <w:right w:val="single" w:sz="4" w:space="0" w:color="auto"/>
            </w:tcBorders>
            <w:noWrap/>
            <w:vAlign w:val="center"/>
            <w:hideMark/>
          </w:tcPr>
          <w:p w14:paraId="64A3E2AE"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Catch</w:t>
            </w:r>
          </w:p>
        </w:tc>
        <w:tc>
          <w:tcPr>
            <w:tcW w:w="1419" w:type="dxa"/>
            <w:tcBorders>
              <w:top w:val="nil"/>
              <w:left w:val="nil"/>
              <w:bottom w:val="single" w:sz="4" w:space="0" w:color="auto"/>
              <w:right w:val="single" w:sz="4" w:space="0" w:color="auto"/>
            </w:tcBorders>
            <w:vAlign w:val="center"/>
            <w:hideMark/>
          </w:tcPr>
          <w:p w14:paraId="7E3C21B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Best available information</w:t>
            </w:r>
          </w:p>
        </w:tc>
        <w:tc>
          <w:tcPr>
            <w:tcW w:w="1994" w:type="dxa"/>
            <w:tcBorders>
              <w:top w:val="nil"/>
              <w:left w:val="nil"/>
              <w:bottom w:val="single" w:sz="4" w:space="0" w:color="auto"/>
              <w:right w:val="single" w:sz="4" w:space="0" w:color="auto"/>
            </w:tcBorders>
            <w:vAlign w:val="center"/>
            <w:hideMark/>
          </w:tcPr>
          <w:p w14:paraId="63E6A15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Some uncertainty in reported catches, including potential unreported removals and historical differences across fleets</w:t>
            </w:r>
          </w:p>
        </w:tc>
        <w:tc>
          <w:tcPr>
            <w:tcW w:w="1818" w:type="dxa"/>
            <w:tcBorders>
              <w:top w:val="nil"/>
              <w:left w:val="nil"/>
              <w:bottom w:val="single" w:sz="4" w:space="0" w:color="auto"/>
              <w:right w:val="single" w:sz="4" w:space="0" w:color="auto"/>
            </w:tcBorders>
            <w:vAlign w:val="center"/>
            <w:hideMark/>
          </w:tcPr>
          <w:p w14:paraId="21C8F04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Misreporting or missing catch can bias total removals and affect biomass estimates</w:t>
            </w:r>
          </w:p>
        </w:tc>
        <w:tc>
          <w:tcPr>
            <w:tcW w:w="1237" w:type="dxa"/>
            <w:tcBorders>
              <w:top w:val="nil"/>
              <w:left w:val="nil"/>
              <w:bottom w:val="single" w:sz="4" w:space="0" w:color="auto"/>
              <w:right w:val="single" w:sz="4" w:space="0" w:color="auto"/>
            </w:tcBorders>
            <w:noWrap/>
            <w:vAlign w:val="center"/>
            <w:hideMark/>
          </w:tcPr>
          <w:p w14:paraId="34B7CEC8"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5B31F666" w14:textId="77777777" w:rsidTr="009A4F45">
        <w:trPr>
          <w:trHeight w:val="93"/>
        </w:trPr>
        <w:tc>
          <w:tcPr>
            <w:tcW w:w="1480" w:type="dxa"/>
            <w:vMerge/>
            <w:tcBorders>
              <w:top w:val="nil"/>
              <w:left w:val="single" w:sz="4" w:space="0" w:color="auto"/>
              <w:bottom w:val="single" w:sz="4" w:space="0" w:color="auto"/>
              <w:right w:val="single" w:sz="4" w:space="0" w:color="auto"/>
            </w:tcBorders>
            <w:vAlign w:val="center"/>
            <w:hideMark/>
          </w:tcPr>
          <w:p w14:paraId="1CBFB324"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01482E3E"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Initial Conditions</w:t>
            </w:r>
          </w:p>
        </w:tc>
        <w:tc>
          <w:tcPr>
            <w:tcW w:w="1419" w:type="dxa"/>
            <w:tcBorders>
              <w:top w:val="nil"/>
              <w:left w:val="nil"/>
              <w:bottom w:val="single" w:sz="4" w:space="0" w:color="auto"/>
              <w:right w:val="single" w:sz="4" w:space="0" w:color="auto"/>
            </w:tcBorders>
            <w:vAlign w:val="center"/>
            <w:hideMark/>
          </w:tcPr>
          <w:p w14:paraId="4922C2E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Estimated from early catch and equilibrium assumptions</w:t>
            </w:r>
          </w:p>
        </w:tc>
        <w:tc>
          <w:tcPr>
            <w:tcW w:w="1994" w:type="dxa"/>
            <w:tcBorders>
              <w:top w:val="nil"/>
              <w:left w:val="nil"/>
              <w:bottom w:val="single" w:sz="4" w:space="0" w:color="auto"/>
              <w:right w:val="single" w:sz="4" w:space="0" w:color="auto"/>
            </w:tcBorders>
            <w:vAlign w:val="center"/>
            <w:hideMark/>
          </w:tcPr>
          <w:p w14:paraId="559C3BF0"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Pre-1994 stock conditions uncertain due to missing or unreliable earlier data (e.g., drift net fisheries)</w:t>
            </w:r>
          </w:p>
        </w:tc>
        <w:tc>
          <w:tcPr>
            <w:tcW w:w="1818" w:type="dxa"/>
            <w:tcBorders>
              <w:top w:val="nil"/>
              <w:left w:val="nil"/>
              <w:bottom w:val="single" w:sz="4" w:space="0" w:color="auto"/>
              <w:right w:val="single" w:sz="4" w:space="0" w:color="auto"/>
            </w:tcBorders>
            <w:vAlign w:val="center"/>
            <w:hideMark/>
          </w:tcPr>
          <w:p w14:paraId="65B43C9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Initial population size and depletion depend on assumptions about early stock status</w:t>
            </w:r>
          </w:p>
        </w:tc>
        <w:tc>
          <w:tcPr>
            <w:tcW w:w="1237" w:type="dxa"/>
            <w:tcBorders>
              <w:top w:val="nil"/>
              <w:left w:val="nil"/>
              <w:bottom w:val="single" w:sz="4" w:space="0" w:color="auto"/>
              <w:right w:val="single" w:sz="4" w:space="0" w:color="auto"/>
            </w:tcBorders>
            <w:noWrap/>
            <w:vAlign w:val="center"/>
            <w:hideMark/>
          </w:tcPr>
          <w:p w14:paraId="4E84E42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4034024D" w14:textId="77777777" w:rsidTr="009A4F45">
        <w:trPr>
          <w:trHeight w:val="600"/>
        </w:trPr>
        <w:tc>
          <w:tcPr>
            <w:tcW w:w="1480" w:type="dxa"/>
            <w:vMerge/>
            <w:tcBorders>
              <w:top w:val="nil"/>
              <w:left w:val="single" w:sz="4" w:space="0" w:color="auto"/>
              <w:bottom w:val="single" w:sz="4" w:space="0" w:color="auto"/>
              <w:right w:val="single" w:sz="4" w:space="0" w:color="auto"/>
            </w:tcBorders>
            <w:vAlign w:val="center"/>
            <w:hideMark/>
          </w:tcPr>
          <w:p w14:paraId="26C68A69"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29B8B271"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CPUE</w:t>
            </w:r>
          </w:p>
        </w:tc>
        <w:tc>
          <w:tcPr>
            <w:tcW w:w="1419" w:type="dxa"/>
            <w:tcBorders>
              <w:top w:val="nil"/>
              <w:left w:val="nil"/>
              <w:bottom w:val="single" w:sz="4" w:space="0" w:color="auto"/>
              <w:right w:val="single" w:sz="4" w:space="0" w:color="auto"/>
            </w:tcBorders>
            <w:vAlign w:val="center"/>
            <w:hideMark/>
          </w:tcPr>
          <w:p w14:paraId="2DA259C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Best available information (primarily F10 JPLL index)</w:t>
            </w:r>
          </w:p>
        </w:tc>
        <w:tc>
          <w:tcPr>
            <w:tcW w:w="1994" w:type="dxa"/>
            <w:tcBorders>
              <w:top w:val="nil"/>
              <w:left w:val="nil"/>
              <w:bottom w:val="single" w:sz="4" w:space="0" w:color="auto"/>
              <w:right w:val="single" w:sz="4" w:space="0" w:color="auto"/>
            </w:tcBorders>
            <w:vAlign w:val="center"/>
            <w:hideMark/>
          </w:tcPr>
          <w:p w14:paraId="485B71D3"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CPUE may reflect changes in availability, spatial distribution, or fishing practices rather than abundance alone</w:t>
            </w:r>
          </w:p>
        </w:tc>
        <w:tc>
          <w:tcPr>
            <w:tcW w:w="1818" w:type="dxa"/>
            <w:tcBorders>
              <w:top w:val="nil"/>
              <w:left w:val="nil"/>
              <w:bottom w:val="single" w:sz="4" w:space="0" w:color="auto"/>
              <w:right w:val="single" w:sz="4" w:space="0" w:color="auto"/>
            </w:tcBorders>
            <w:vAlign w:val="center"/>
            <w:hideMark/>
          </w:tcPr>
          <w:p w14:paraId="772A848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Misinterpretation of abundance trends and population scale</w:t>
            </w:r>
          </w:p>
        </w:tc>
        <w:tc>
          <w:tcPr>
            <w:tcW w:w="1237" w:type="dxa"/>
            <w:tcBorders>
              <w:top w:val="nil"/>
              <w:left w:val="nil"/>
              <w:bottom w:val="single" w:sz="4" w:space="0" w:color="auto"/>
              <w:right w:val="single" w:sz="4" w:space="0" w:color="auto"/>
            </w:tcBorders>
            <w:noWrap/>
            <w:vAlign w:val="center"/>
            <w:hideMark/>
          </w:tcPr>
          <w:p w14:paraId="352AA621"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6D3B07D5" w14:textId="77777777" w:rsidTr="009A4F45">
        <w:trPr>
          <w:trHeight w:val="900"/>
        </w:trPr>
        <w:tc>
          <w:tcPr>
            <w:tcW w:w="1480" w:type="dxa"/>
            <w:vMerge/>
            <w:tcBorders>
              <w:top w:val="nil"/>
              <w:left w:val="single" w:sz="4" w:space="0" w:color="auto"/>
              <w:bottom w:val="single" w:sz="4" w:space="0" w:color="auto"/>
              <w:right w:val="single" w:sz="4" w:space="0" w:color="auto"/>
            </w:tcBorders>
            <w:vAlign w:val="center"/>
            <w:hideMark/>
          </w:tcPr>
          <w:p w14:paraId="2649144C"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5C9C76A8"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Size data</w:t>
            </w:r>
          </w:p>
        </w:tc>
        <w:tc>
          <w:tcPr>
            <w:tcW w:w="1419" w:type="dxa"/>
            <w:tcBorders>
              <w:top w:val="nil"/>
              <w:left w:val="nil"/>
              <w:bottom w:val="single" w:sz="4" w:space="0" w:color="auto"/>
              <w:right w:val="single" w:sz="4" w:space="0" w:color="auto"/>
            </w:tcBorders>
            <w:vAlign w:val="center"/>
            <w:hideMark/>
          </w:tcPr>
          <w:p w14:paraId="7980FD12"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Extensive but variable across fleets</w:t>
            </w:r>
          </w:p>
        </w:tc>
        <w:tc>
          <w:tcPr>
            <w:tcW w:w="1994" w:type="dxa"/>
            <w:tcBorders>
              <w:top w:val="nil"/>
              <w:left w:val="nil"/>
              <w:bottom w:val="single" w:sz="4" w:space="0" w:color="auto"/>
              <w:right w:val="single" w:sz="4" w:space="0" w:color="auto"/>
            </w:tcBorders>
            <w:vAlign w:val="center"/>
            <w:hideMark/>
          </w:tcPr>
          <w:p w14:paraId="647986E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High variability in size composition (especially for juvenile-dominated surface fisheries); some fleets have incomplete or uncertain sampling</w:t>
            </w:r>
          </w:p>
        </w:tc>
        <w:tc>
          <w:tcPr>
            <w:tcW w:w="1818" w:type="dxa"/>
            <w:tcBorders>
              <w:top w:val="nil"/>
              <w:left w:val="nil"/>
              <w:bottom w:val="single" w:sz="4" w:space="0" w:color="auto"/>
              <w:right w:val="single" w:sz="4" w:space="0" w:color="auto"/>
            </w:tcBorders>
            <w:vAlign w:val="center"/>
            <w:hideMark/>
          </w:tcPr>
          <w:p w14:paraId="25397DB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Influences selectivity estimates, age structure, and recruitment estimation</w:t>
            </w:r>
          </w:p>
        </w:tc>
        <w:tc>
          <w:tcPr>
            <w:tcW w:w="1237" w:type="dxa"/>
            <w:tcBorders>
              <w:top w:val="nil"/>
              <w:left w:val="nil"/>
              <w:bottom w:val="single" w:sz="4" w:space="0" w:color="auto"/>
              <w:right w:val="single" w:sz="4" w:space="0" w:color="auto"/>
            </w:tcBorders>
            <w:noWrap/>
            <w:vAlign w:val="center"/>
            <w:hideMark/>
          </w:tcPr>
          <w:p w14:paraId="2998FD52"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6F0F3058" w14:textId="77777777" w:rsidTr="009A4F45">
        <w:trPr>
          <w:trHeight w:val="900"/>
        </w:trPr>
        <w:tc>
          <w:tcPr>
            <w:tcW w:w="1480" w:type="dxa"/>
            <w:tcBorders>
              <w:top w:val="nil"/>
              <w:left w:val="single" w:sz="4" w:space="0" w:color="auto"/>
              <w:bottom w:val="single" w:sz="4" w:space="0" w:color="auto"/>
              <w:right w:val="single" w:sz="4" w:space="0" w:color="auto"/>
            </w:tcBorders>
            <w:noWrap/>
            <w:vAlign w:val="center"/>
            <w:hideMark/>
          </w:tcPr>
          <w:p w14:paraId="0CA85671"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Spatial Assumptions</w:t>
            </w:r>
          </w:p>
        </w:tc>
        <w:tc>
          <w:tcPr>
            <w:tcW w:w="1402" w:type="dxa"/>
            <w:tcBorders>
              <w:top w:val="nil"/>
              <w:left w:val="nil"/>
              <w:bottom w:val="single" w:sz="4" w:space="0" w:color="auto"/>
              <w:right w:val="single" w:sz="4" w:space="0" w:color="auto"/>
            </w:tcBorders>
            <w:noWrap/>
            <w:vAlign w:val="center"/>
            <w:hideMark/>
          </w:tcPr>
          <w:p w14:paraId="3108DB6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Single-stock (well-mixed) model</w:t>
            </w:r>
          </w:p>
        </w:tc>
        <w:tc>
          <w:tcPr>
            <w:tcW w:w="1419" w:type="dxa"/>
            <w:tcBorders>
              <w:top w:val="nil"/>
              <w:left w:val="nil"/>
              <w:bottom w:val="single" w:sz="4" w:space="0" w:color="auto"/>
              <w:right w:val="single" w:sz="4" w:space="0" w:color="auto"/>
            </w:tcBorders>
            <w:vAlign w:val="center"/>
            <w:hideMark/>
          </w:tcPr>
          <w:p w14:paraId="3BD6F582"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Simplified representation of spatial dynamics</w:t>
            </w:r>
          </w:p>
        </w:tc>
        <w:tc>
          <w:tcPr>
            <w:tcW w:w="1994" w:type="dxa"/>
            <w:tcBorders>
              <w:top w:val="nil"/>
              <w:left w:val="nil"/>
              <w:bottom w:val="single" w:sz="4" w:space="0" w:color="auto"/>
              <w:right w:val="single" w:sz="4" w:space="0" w:color="auto"/>
            </w:tcBorders>
            <w:vAlign w:val="center"/>
            <w:hideMark/>
          </w:tcPr>
          <w:p w14:paraId="4095614E"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Does not explicitly model seasonal and ontogenetic movement of juveniles and adults</w:t>
            </w:r>
          </w:p>
        </w:tc>
        <w:tc>
          <w:tcPr>
            <w:tcW w:w="1818" w:type="dxa"/>
            <w:tcBorders>
              <w:top w:val="nil"/>
              <w:left w:val="nil"/>
              <w:bottom w:val="single" w:sz="4" w:space="0" w:color="auto"/>
              <w:right w:val="single" w:sz="4" w:space="0" w:color="auto"/>
            </w:tcBorders>
            <w:vAlign w:val="center"/>
            <w:hideMark/>
          </w:tcPr>
          <w:p w14:paraId="3DC2C873"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May bias estimates of selectivity, availability, and fishing impacts across regions</w:t>
            </w:r>
          </w:p>
        </w:tc>
        <w:tc>
          <w:tcPr>
            <w:tcW w:w="1237" w:type="dxa"/>
            <w:tcBorders>
              <w:top w:val="nil"/>
              <w:left w:val="nil"/>
              <w:bottom w:val="single" w:sz="4" w:space="0" w:color="auto"/>
              <w:right w:val="single" w:sz="4" w:space="0" w:color="auto"/>
            </w:tcBorders>
            <w:noWrap/>
            <w:vAlign w:val="center"/>
            <w:hideMark/>
          </w:tcPr>
          <w:p w14:paraId="7490B8D1"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1253A4F3" w14:textId="77777777" w:rsidTr="009A4F45">
        <w:trPr>
          <w:trHeight w:val="900"/>
        </w:trPr>
        <w:tc>
          <w:tcPr>
            <w:tcW w:w="1480" w:type="dxa"/>
            <w:vMerge w:val="restart"/>
            <w:tcBorders>
              <w:top w:val="nil"/>
              <w:left w:val="single" w:sz="4" w:space="0" w:color="auto"/>
              <w:bottom w:val="single" w:sz="4" w:space="0" w:color="auto"/>
              <w:right w:val="single" w:sz="4" w:space="0" w:color="auto"/>
            </w:tcBorders>
            <w:noWrap/>
            <w:vAlign w:val="center"/>
            <w:hideMark/>
          </w:tcPr>
          <w:p w14:paraId="34BE9B14"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lastRenderedPageBreak/>
              <w:t>Key Parameters</w:t>
            </w:r>
          </w:p>
        </w:tc>
        <w:tc>
          <w:tcPr>
            <w:tcW w:w="1402" w:type="dxa"/>
            <w:tcBorders>
              <w:top w:val="nil"/>
              <w:left w:val="nil"/>
              <w:bottom w:val="single" w:sz="4" w:space="0" w:color="auto"/>
              <w:right w:val="single" w:sz="4" w:space="0" w:color="auto"/>
            </w:tcBorders>
            <w:noWrap/>
            <w:vAlign w:val="center"/>
            <w:hideMark/>
          </w:tcPr>
          <w:p w14:paraId="0F501287"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Growth</w:t>
            </w:r>
          </w:p>
        </w:tc>
        <w:tc>
          <w:tcPr>
            <w:tcW w:w="1419" w:type="dxa"/>
            <w:tcBorders>
              <w:top w:val="nil"/>
              <w:left w:val="nil"/>
              <w:bottom w:val="single" w:sz="4" w:space="0" w:color="auto"/>
              <w:right w:val="single" w:sz="4" w:space="0" w:color="auto"/>
            </w:tcBorders>
            <w:vAlign w:val="center"/>
            <w:hideMark/>
          </w:tcPr>
          <w:p w14:paraId="0DE38ABB"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Fixed from external studies (sex-specific von Bertalanffy)</w:t>
            </w:r>
          </w:p>
        </w:tc>
        <w:tc>
          <w:tcPr>
            <w:tcW w:w="1994" w:type="dxa"/>
            <w:tcBorders>
              <w:top w:val="nil"/>
              <w:left w:val="nil"/>
              <w:bottom w:val="single" w:sz="4" w:space="0" w:color="auto"/>
              <w:right w:val="single" w:sz="4" w:space="0" w:color="auto"/>
            </w:tcBorders>
            <w:vAlign w:val="center"/>
            <w:hideMark/>
          </w:tcPr>
          <w:p w14:paraId="6D4DD88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Uncertainty in growth parameters, especially variability (CV of length-at-age)</w:t>
            </w:r>
          </w:p>
        </w:tc>
        <w:tc>
          <w:tcPr>
            <w:tcW w:w="1818" w:type="dxa"/>
            <w:tcBorders>
              <w:top w:val="nil"/>
              <w:left w:val="nil"/>
              <w:bottom w:val="single" w:sz="4" w:space="0" w:color="auto"/>
              <w:right w:val="single" w:sz="4" w:space="0" w:color="auto"/>
            </w:tcBorders>
            <w:vAlign w:val="center"/>
            <w:hideMark/>
          </w:tcPr>
          <w:p w14:paraId="5E79E1BB"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Strong influence on biomass scaling and reference point estimates</w:t>
            </w:r>
          </w:p>
        </w:tc>
        <w:tc>
          <w:tcPr>
            <w:tcW w:w="1237" w:type="dxa"/>
            <w:tcBorders>
              <w:top w:val="nil"/>
              <w:left w:val="nil"/>
              <w:bottom w:val="single" w:sz="4" w:space="0" w:color="auto"/>
              <w:right w:val="single" w:sz="4" w:space="0" w:color="auto"/>
            </w:tcBorders>
            <w:noWrap/>
            <w:vAlign w:val="center"/>
            <w:hideMark/>
          </w:tcPr>
          <w:p w14:paraId="04D59F7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High</w:t>
            </w:r>
          </w:p>
        </w:tc>
      </w:tr>
      <w:tr w:rsidR="00FE1374" w:rsidRPr="00B845AF" w14:paraId="791C9173" w14:textId="77777777" w:rsidTr="009A4F45">
        <w:trPr>
          <w:trHeight w:val="600"/>
        </w:trPr>
        <w:tc>
          <w:tcPr>
            <w:tcW w:w="1480" w:type="dxa"/>
            <w:vMerge/>
            <w:tcBorders>
              <w:top w:val="nil"/>
              <w:left w:val="single" w:sz="4" w:space="0" w:color="auto"/>
              <w:bottom w:val="single" w:sz="4" w:space="0" w:color="auto"/>
              <w:right w:val="single" w:sz="4" w:space="0" w:color="auto"/>
            </w:tcBorders>
            <w:vAlign w:val="center"/>
            <w:hideMark/>
          </w:tcPr>
          <w:p w14:paraId="2DEBB666"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46C142C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Maturity</w:t>
            </w:r>
          </w:p>
        </w:tc>
        <w:tc>
          <w:tcPr>
            <w:tcW w:w="1419" w:type="dxa"/>
            <w:tcBorders>
              <w:top w:val="nil"/>
              <w:left w:val="nil"/>
              <w:bottom w:val="single" w:sz="4" w:space="0" w:color="auto"/>
              <w:right w:val="single" w:sz="4" w:space="0" w:color="auto"/>
            </w:tcBorders>
            <w:vAlign w:val="center"/>
            <w:hideMark/>
          </w:tcPr>
          <w:p w14:paraId="7F2B3FA0"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Fixed maturity ogive from literature</w:t>
            </w:r>
          </w:p>
        </w:tc>
        <w:tc>
          <w:tcPr>
            <w:tcW w:w="1994" w:type="dxa"/>
            <w:tcBorders>
              <w:top w:val="nil"/>
              <w:left w:val="nil"/>
              <w:bottom w:val="single" w:sz="4" w:space="0" w:color="auto"/>
              <w:right w:val="single" w:sz="4" w:space="0" w:color="auto"/>
            </w:tcBorders>
            <w:vAlign w:val="center"/>
            <w:hideMark/>
          </w:tcPr>
          <w:p w14:paraId="3934E8F1"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Limited updated information on maturity-at-age or length</w:t>
            </w:r>
          </w:p>
        </w:tc>
        <w:tc>
          <w:tcPr>
            <w:tcW w:w="1818" w:type="dxa"/>
            <w:tcBorders>
              <w:top w:val="nil"/>
              <w:left w:val="nil"/>
              <w:bottom w:val="single" w:sz="4" w:space="0" w:color="auto"/>
              <w:right w:val="single" w:sz="4" w:space="0" w:color="auto"/>
            </w:tcBorders>
            <w:vAlign w:val="center"/>
            <w:hideMark/>
          </w:tcPr>
          <w:p w14:paraId="3DD93D4B"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Affects spawning stock biomass (SSB) estimates</w:t>
            </w:r>
          </w:p>
        </w:tc>
        <w:tc>
          <w:tcPr>
            <w:tcW w:w="1237" w:type="dxa"/>
            <w:tcBorders>
              <w:top w:val="nil"/>
              <w:left w:val="nil"/>
              <w:bottom w:val="single" w:sz="4" w:space="0" w:color="auto"/>
              <w:right w:val="single" w:sz="4" w:space="0" w:color="auto"/>
            </w:tcBorders>
            <w:noWrap/>
            <w:vAlign w:val="center"/>
            <w:hideMark/>
          </w:tcPr>
          <w:p w14:paraId="5211349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High</w:t>
            </w:r>
          </w:p>
        </w:tc>
      </w:tr>
      <w:tr w:rsidR="00FE1374" w:rsidRPr="00B845AF" w14:paraId="7B174B44" w14:textId="77777777" w:rsidTr="009A4F45">
        <w:trPr>
          <w:trHeight w:val="300"/>
        </w:trPr>
        <w:tc>
          <w:tcPr>
            <w:tcW w:w="1480" w:type="dxa"/>
            <w:vMerge/>
            <w:tcBorders>
              <w:top w:val="nil"/>
              <w:left w:val="single" w:sz="4" w:space="0" w:color="auto"/>
              <w:bottom w:val="single" w:sz="4" w:space="0" w:color="auto"/>
              <w:right w:val="single" w:sz="4" w:space="0" w:color="auto"/>
            </w:tcBorders>
            <w:vAlign w:val="center"/>
            <w:hideMark/>
          </w:tcPr>
          <w:p w14:paraId="5804D2E0"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4C1ABD02"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Natural Mortality</w:t>
            </w:r>
          </w:p>
        </w:tc>
        <w:tc>
          <w:tcPr>
            <w:tcW w:w="1419" w:type="dxa"/>
            <w:tcBorders>
              <w:top w:val="nil"/>
              <w:left w:val="nil"/>
              <w:bottom w:val="single" w:sz="4" w:space="0" w:color="auto"/>
              <w:right w:val="single" w:sz="4" w:space="0" w:color="auto"/>
            </w:tcBorders>
            <w:vAlign w:val="center"/>
            <w:hideMark/>
          </w:tcPr>
          <w:p w14:paraId="38D1C33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Estimated from meta-analysis and life-history relationships</w:t>
            </w:r>
          </w:p>
        </w:tc>
        <w:tc>
          <w:tcPr>
            <w:tcW w:w="1994" w:type="dxa"/>
            <w:tcBorders>
              <w:top w:val="nil"/>
              <w:left w:val="nil"/>
              <w:bottom w:val="single" w:sz="4" w:space="0" w:color="auto"/>
              <w:right w:val="single" w:sz="4" w:space="0" w:color="auto"/>
            </w:tcBorders>
            <w:vAlign w:val="center"/>
            <w:hideMark/>
          </w:tcPr>
          <w:p w14:paraId="623A74A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Uncertainty in age- and sex-specific natural mortality rates</w:t>
            </w:r>
          </w:p>
        </w:tc>
        <w:tc>
          <w:tcPr>
            <w:tcW w:w="1818" w:type="dxa"/>
            <w:tcBorders>
              <w:top w:val="nil"/>
              <w:left w:val="nil"/>
              <w:bottom w:val="single" w:sz="4" w:space="0" w:color="auto"/>
              <w:right w:val="single" w:sz="4" w:space="0" w:color="auto"/>
            </w:tcBorders>
            <w:vAlign w:val="center"/>
            <w:hideMark/>
          </w:tcPr>
          <w:p w14:paraId="779B52C2"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Affects productivity, recruitment, and stock status metrics</w:t>
            </w:r>
          </w:p>
        </w:tc>
        <w:tc>
          <w:tcPr>
            <w:tcW w:w="1237" w:type="dxa"/>
            <w:tcBorders>
              <w:top w:val="nil"/>
              <w:left w:val="nil"/>
              <w:bottom w:val="single" w:sz="4" w:space="0" w:color="auto"/>
              <w:right w:val="single" w:sz="4" w:space="0" w:color="auto"/>
            </w:tcBorders>
            <w:noWrap/>
            <w:vAlign w:val="center"/>
            <w:hideMark/>
          </w:tcPr>
          <w:p w14:paraId="1CC2DFF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High</w:t>
            </w:r>
          </w:p>
        </w:tc>
      </w:tr>
      <w:tr w:rsidR="00FE1374" w:rsidRPr="00B845AF" w14:paraId="451C0FB2" w14:textId="77777777" w:rsidTr="009A4F45">
        <w:trPr>
          <w:trHeight w:val="900"/>
        </w:trPr>
        <w:tc>
          <w:tcPr>
            <w:tcW w:w="1480" w:type="dxa"/>
            <w:vMerge/>
            <w:tcBorders>
              <w:top w:val="nil"/>
              <w:left w:val="single" w:sz="4" w:space="0" w:color="auto"/>
              <w:bottom w:val="single" w:sz="4" w:space="0" w:color="auto"/>
              <w:right w:val="single" w:sz="4" w:space="0" w:color="auto"/>
            </w:tcBorders>
            <w:vAlign w:val="center"/>
            <w:hideMark/>
          </w:tcPr>
          <w:p w14:paraId="47AF5A8D" w14:textId="77777777" w:rsidR="00FE1374" w:rsidRPr="00B845AF" w:rsidRDefault="00FE1374" w:rsidP="0030264D">
            <w:pPr>
              <w:pStyle w:val="SCtext"/>
              <w:numPr>
                <w:ilvl w:val="0"/>
                <w:numId w:val="0"/>
              </w:numPr>
              <w:rPr>
                <w:rFonts w:asciiTheme="minorHAnsi" w:hAnsiTheme="minorHAnsi" w:cstheme="minorHAnsi"/>
                <w:b/>
                <w:bCs/>
                <w:sz w:val="20"/>
                <w:szCs w:val="20"/>
                <w:lang w:val="en-US"/>
              </w:rPr>
            </w:pPr>
          </w:p>
        </w:tc>
        <w:tc>
          <w:tcPr>
            <w:tcW w:w="1402" w:type="dxa"/>
            <w:tcBorders>
              <w:top w:val="nil"/>
              <w:left w:val="nil"/>
              <w:bottom w:val="single" w:sz="4" w:space="0" w:color="auto"/>
              <w:right w:val="single" w:sz="4" w:space="0" w:color="auto"/>
            </w:tcBorders>
            <w:noWrap/>
            <w:vAlign w:val="center"/>
            <w:hideMark/>
          </w:tcPr>
          <w:p w14:paraId="2D31ADF6"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Length-weight</w:t>
            </w:r>
          </w:p>
        </w:tc>
        <w:tc>
          <w:tcPr>
            <w:tcW w:w="1419" w:type="dxa"/>
            <w:tcBorders>
              <w:top w:val="nil"/>
              <w:left w:val="nil"/>
              <w:bottom w:val="single" w:sz="4" w:space="0" w:color="auto"/>
              <w:right w:val="single" w:sz="4" w:space="0" w:color="auto"/>
            </w:tcBorders>
            <w:vAlign w:val="center"/>
            <w:hideMark/>
          </w:tcPr>
          <w:p w14:paraId="65EB8EEE"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Estimated from empirical relationships</w:t>
            </w:r>
          </w:p>
        </w:tc>
        <w:tc>
          <w:tcPr>
            <w:tcW w:w="1994" w:type="dxa"/>
            <w:tcBorders>
              <w:top w:val="nil"/>
              <w:left w:val="nil"/>
              <w:bottom w:val="single" w:sz="4" w:space="0" w:color="auto"/>
              <w:right w:val="single" w:sz="4" w:space="0" w:color="auto"/>
            </w:tcBorders>
            <w:vAlign w:val="center"/>
            <w:hideMark/>
          </w:tcPr>
          <w:p w14:paraId="18D73521"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May not represent all fleets or temporal variability</w:t>
            </w:r>
          </w:p>
        </w:tc>
        <w:tc>
          <w:tcPr>
            <w:tcW w:w="1818" w:type="dxa"/>
            <w:tcBorders>
              <w:top w:val="nil"/>
              <w:left w:val="nil"/>
              <w:bottom w:val="single" w:sz="4" w:space="0" w:color="auto"/>
              <w:right w:val="single" w:sz="4" w:space="0" w:color="auto"/>
            </w:tcBorders>
            <w:vAlign w:val="center"/>
            <w:hideMark/>
          </w:tcPr>
          <w:p w14:paraId="131DDF5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Conversion between length and weight may introduce bias in biomass estimates</w:t>
            </w:r>
          </w:p>
        </w:tc>
        <w:tc>
          <w:tcPr>
            <w:tcW w:w="1237" w:type="dxa"/>
            <w:tcBorders>
              <w:top w:val="nil"/>
              <w:left w:val="nil"/>
              <w:bottom w:val="single" w:sz="4" w:space="0" w:color="auto"/>
              <w:right w:val="single" w:sz="4" w:space="0" w:color="auto"/>
            </w:tcBorders>
            <w:noWrap/>
            <w:vAlign w:val="center"/>
            <w:hideMark/>
          </w:tcPr>
          <w:p w14:paraId="7C0E212F"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60538EEF" w14:textId="77777777" w:rsidTr="009A4F45">
        <w:trPr>
          <w:trHeight w:val="900"/>
        </w:trPr>
        <w:tc>
          <w:tcPr>
            <w:tcW w:w="1480" w:type="dxa"/>
            <w:tcBorders>
              <w:top w:val="nil"/>
              <w:left w:val="single" w:sz="4" w:space="0" w:color="auto"/>
              <w:bottom w:val="nil"/>
              <w:right w:val="single" w:sz="4" w:space="0" w:color="auto"/>
            </w:tcBorders>
            <w:noWrap/>
            <w:vAlign w:val="center"/>
            <w:hideMark/>
          </w:tcPr>
          <w:p w14:paraId="6092F0CF"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r w:rsidRPr="00B845AF">
              <w:rPr>
                <w:rFonts w:asciiTheme="minorHAnsi" w:hAnsiTheme="minorHAnsi" w:cstheme="minorHAnsi"/>
                <w:b/>
                <w:bCs/>
                <w:sz w:val="20"/>
                <w:szCs w:val="20"/>
                <w:lang w:val="en-US"/>
              </w:rPr>
              <w:t>Other Sources of Uncertainty</w:t>
            </w:r>
          </w:p>
        </w:tc>
        <w:tc>
          <w:tcPr>
            <w:tcW w:w="1402" w:type="dxa"/>
            <w:tcBorders>
              <w:top w:val="single" w:sz="4" w:space="0" w:color="auto"/>
              <w:left w:val="nil"/>
              <w:bottom w:val="single" w:sz="4" w:space="0" w:color="auto"/>
              <w:right w:val="single" w:sz="4" w:space="0" w:color="auto"/>
            </w:tcBorders>
            <w:noWrap/>
            <w:vAlign w:val="center"/>
            <w:hideMark/>
          </w:tcPr>
          <w:p w14:paraId="002D2A8B"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Recruitment variability</w:t>
            </w:r>
          </w:p>
        </w:tc>
        <w:tc>
          <w:tcPr>
            <w:tcW w:w="1419" w:type="dxa"/>
            <w:tcBorders>
              <w:top w:val="single" w:sz="4" w:space="0" w:color="auto"/>
              <w:left w:val="nil"/>
              <w:bottom w:val="single" w:sz="4" w:space="0" w:color="auto"/>
              <w:right w:val="single" w:sz="4" w:space="0" w:color="auto"/>
            </w:tcBorders>
            <w:vAlign w:val="center"/>
            <w:hideMark/>
          </w:tcPr>
          <w:p w14:paraId="5FC5B4D7"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 xml:space="preserve">Estimated within </w:t>
            </w:r>
            <w:proofErr w:type="gramStart"/>
            <w:r w:rsidRPr="00B845AF">
              <w:rPr>
                <w:rFonts w:asciiTheme="minorHAnsi" w:hAnsiTheme="minorHAnsi" w:cstheme="minorHAnsi"/>
                <w:sz w:val="20"/>
                <w:szCs w:val="20"/>
                <w:lang w:val="en-US"/>
              </w:rPr>
              <w:t>model</w:t>
            </w:r>
            <w:proofErr w:type="gramEnd"/>
            <w:r w:rsidRPr="00B845AF">
              <w:rPr>
                <w:rFonts w:asciiTheme="minorHAnsi" w:hAnsiTheme="minorHAnsi" w:cstheme="minorHAnsi"/>
                <w:sz w:val="20"/>
                <w:szCs w:val="20"/>
                <w:lang w:val="en-US"/>
              </w:rPr>
              <w:t xml:space="preserve"> (Beverton-Holt SRR)</w:t>
            </w:r>
          </w:p>
        </w:tc>
        <w:tc>
          <w:tcPr>
            <w:tcW w:w="1994" w:type="dxa"/>
            <w:tcBorders>
              <w:top w:val="single" w:sz="4" w:space="0" w:color="auto"/>
              <w:left w:val="nil"/>
              <w:bottom w:val="single" w:sz="4" w:space="0" w:color="auto"/>
              <w:right w:val="single" w:sz="4" w:space="0" w:color="auto"/>
            </w:tcBorders>
            <w:vAlign w:val="center"/>
            <w:hideMark/>
          </w:tcPr>
          <w:p w14:paraId="3EB78B9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Recent recruitment (last ~5 years) highly uncertain and influential</w:t>
            </w:r>
          </w:p>
        </w:tc>
        <w:tc>
          <w:tcPr>
            <w:tcW w:w="1818" w:type="dxa"/>
            <w:tcBorders>
              <w:top w:val="single" w:sz="4" w:space="0" w:color="auto"/>
              <w:left w:val="nil"/>
              <w:bottom w:val="single" w:sz="4" w:space="0" w:color="auto"/>
              <w:right w:val="single" w:sz="4" w:space="0" w:color="auto"/>
            </w:tcBorders>
            <w:vAlign w:val="center"/>
            <w:hideMark/>
          </w:tcPr>
          <w:p w14:paraId="22735F9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Drives recent biomass increases and projection outcomes</w:t>
            </w:r>
          </w:p>
        </w:tc>
        <w:tc>
          <w:tcPr>
            <w:tcW w:w="1237" w:type="dxa"/>
            <w:tcBorders>
              <w:top w:val="single" w:sz="4" w:space="0" w:color="auto"/>
              <w:left w:val="nil"/>
              <w:bottom w:val="single" w:sz="4" w:space="0" w:color="auto"/>
              <w:right w:val="single" w:sz="4" w:space="0" w:color="auto"/>
            </w:tcBorders>
            <w:noWrap/>
            <w:vAlign w:val="center"/>
            <w:hideMark/>
          </w:tcPr>
          <w:p w14:paraId="3F27437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Medium</w:t>
            </w:r>
          </w:p>
        </w:tc>
      </w:tr>
      <w:tr w:rsidR="00FE1374" w:rsidRPr="00B845AF" w14:paraId="6240765F" w14:textId="77777777" w:rsidTr="009A4F45">
        <w:trPr>
          <w:trHeight w:val="900"/>
        </w:trPr>
        <w:tc>
          <w:tcPr>
            <w:tcW w:w="1480" w:type="dxa"/>
            <w:tcBorders>
              <w:top w:val="nil"/>
              <w:left w:val="single" w:sz="4" w:space="0" w:color="auto"/>
              <w:bottom w:val="single" w:sz="4" w:space="0" w:color="auto"/>
              <w:right w:val="single" w:sz="4" w:space="0" w:color="auto"/>
            </w:tcBorders>
            <w:noWrap/>
            <w:vAlign w:val="center"/>
          </w:tcPr>
          <w:p w14:paraId="009F3FD8" w14:textId="77777777" w:rsidR="00FE1374" w:rsidRPr="00B845AF" w:rsidRDefault="00FE1374" w:rsidP="00601B61">
            <w:pPr>
              <w:pStyle w:val="SCtext"/>
              <w:numPr>
                <w:ilvl w:val="0"/>
                <w:numId w:val="0"/>
              </w:numPr>
              <w:jc w:val="left"/>
              <w:rPr>
                <w:rFonts w:asciiTheme="minorHAnsi" w:hAnsiTheme="minorHAnsi" w:cstheme="minorHAnsi"/>
                <w:b/>
                <w:bCs/>
                <w:sz w:val="20"/>
                <w:szCs w:val="20"/>
                <w:lang w:val="en-US"/>
              </w:rPr>
            </w:pPr>
          </w:p>
        </w:tc>
        <w:tc>
          <w:tcPr>
            <w:tcW w:w="1402" w:type="dxa"/>
            <w:tcBorders>
              <w:top w:val="single" w:sz="4" w:space="0" w:color="auto"/>
              <w:left w:val="nil"/>
              <w:bottom w:val="single" w:sz="4" w:space="0" w:color="auto"/>
              <w:right w:val="single" w:sz="4" w:space="0" w:color="auto"/>
            </w:tcBorders>
            <w:noWrap/>
            <w:vAlign w:val="center"/>
            <w:hideMark/>
          </w:tcPr>
          <w:p w14:paraId="7860ECD9"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Climate and environmental effects</w:t>
            </w:r>
          </w:p>
        </w:tc>
        <w:tc>
          <w:tcPr>
            <w:tcW w:w="1419" w:type="dxa"/>
            <w:tcBorders>
              <w:top w:val="single" w:sz="4" w:space="0" w:color="auto"/>
              <w:left w:val="nil"/>
              <w:bottom w:val="single" w:sz="4" w:space="0" w:color="auto"/>
              <w:right w:val="single" w:sz="4" w:space="0" w:color="auto"/>
            </w:tcBorders>
            <w:vAlign w:val="center"/>
            <w:hideMark/>
          </w:tcPr>
          <w:p w14:paraId="396B478E"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Not explicitly included in model</w:t>
            </w:r>
          </w:p>
        </w:tc>
        <w:tc>
          <w:tcPr>
            <w:tcW w:w="1994" w:type="dxa"/>
            <w:tcBorders>
              <w:top w:val="single" w:sz="4" w:space="0" w:color="auto"/>
              <w:left w:val="nil"/>
              <w:bottom w:val="single" w:sz="4" w:space="0" w:color="auto"/>
              <w:right w:val="single" w:sz="4" w:space="0" w:color="auto"/>
            </w:tcBorders>
            <w:vAlign w:val="center"/>
            <w:hideMark/>
          </w:tcPr>
          <w:p w14:paraId="63A4E83A"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Environmental variability affects distribution, recruitment, and CPUE</w:t>
            </w:r>
          </w:p>
        </w:tc>
        <w:tc>
          <w:tcPr>
            <w:tcW w:w="1818" w:type="dxa"/>
            <w:tcBorders>
              <w:top w:val="single" w:sz="4" w:space="0" w:color="auto"/>
              <w:left w:val="nil"/>
              <w:bottom w:val="single" w:sz="4" w:space="0" w:color="auto"/>
              <w:right w:val="single" w:sz="4" w:space="0" w:color="auto"/>
            </w:tcBorders>
            <w:vAlign w:val="center"/>
            <w:hideMark/>
          </w:tcPr>
          <w:p w14:paraId="486DEA83"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Long-term changes in productivity and spatial structure uncertain</w:t>
            </w:r>
          </w:p>
        </w:tc>
        <w:tc>
          <w:tcPr>
            <w:tcW w:w="1237" w:type="dxa"/>
            <w:tcBorders>
              <w:top w:val="single" w:sz="4" w:space="0" w:color="auto"/>
              <w:left w:val="nil"/>
              <w:bottom w:val="single" w:sz="4" w:space="0" w:color="auto"/>
              <w:right w:val="single" w:sz="4" w:space="0" w:color="auto"/>
            </w:tcBorders>
            <w:noWrap/>
            <w:vAlign w:val="center"/>
            <w:hideMark/>
          </w:tcPr>
          <w:p w14:paraId="3BCA7D94" w14:textId="77777777" w:rsidR="00FE1374" w:rsidRPr="00B845AF" w:rsidRDefault="00FE1374" w:rsidP="00601B61">
            <w:pPr>
              <w:pStyle w:val="SCtext"/>
              <w:numPr>
                <w:ilvl w:val="0"/>
                <w:numId w:val="0"/>
              </w:numPr>
              <w:jc w:val="left"/>
              <w:rPr>
                <w:rFonts w:asciiTheme="minorHAnsi" w:hAnsiTheme="minorHAnsi" w:cstheme="minorHAnsi"/>
                <w:sz w:val="20"/>
                <w:szCs w:val="20"/>
                <w:lang w:val="en-US"/>
              </w:rPr>
            </w:pPr>
            <w:r w:rsidRPr="00B845AF">
              <w:rPr>
                <w:rFonts w:asciiTheme="minorHAnsi" w:hAnsiTheme="minorHAnsi" w:cstheme="minorHAnsi"/>
                <w:sz w:val="20"/>
                <w:szCs w:val="20"/>
                <w:lang w:val="en-US"/>
              </w:rPr>
              <w:t>Low</w:t>
            </w:r>
          </w:p>
        </w:tc>
      </w:tr>
    </w:tbl>
    <w:p w14:paraId="5E0A1205" w14:textId="77777777" w:rsidR="00FE1374" w:rsidRPr="00B845AF" w:rsidRDefault="00FE1374" w:rsidP="006B3C62">
      <w:pPr>
        <w:pStyle w:val="SCtext"/>
        <w:numPr>
          <w:ilvl w:val="0"/>
          <w:numId w:val="0"/>
        </w:numPr>
        <w:rPr>
          <w:rFonts w:asciiTheme="minorHAnsi" w:hAnsiTheme="minorHAnsi" w:cstheme="minorHAnsi"/>
          <w:lang w:val="en-US"/>
        </w:rPr>
      </w:pPr>
    </w:p>
    <w:p w14:paraId="43623F27" w14:textId="77777777" w:rsidR="00FE1374" w:rsidRPr="00B845AF" w:rsidRDefault="00FE1374" w:rsidP="006B3C62">
      <w:pPr>
        <w:pStyle w:val="SCtext"/>
        <w:numPr>
          <w:ilvl w:val="0"/>
          <w:numId w:val="0"/>
        </w:numPr>
        <w:rPr>
          <w:rFonts w:asciiTheme="minorHAnsi" w:hAnsiTheme="minorHAnsi" w:cstheme="minorHAnsi"/>
          <w:bCs/>
          <w:lang w:val="en-US"/>
        </w:rPr>
      </w:pPr>
      <w:bookmarkStart w:id="33" w:name="_Ref232158404"/>
      <w:bookmarkStart w:id="34" w:name="_Toc233568988"/>
    </w:p>
    <w:p w14:paraId="1120672C" w14:textId="717FD4AB" w:rsidR="00C12378" w:rsidRPr="00B845AF" w:rsidRDefault="00C12378" w:rsidP="00C12378">
      <w:pPr>
        <w:rPr>
          <w:rFonts w:asciiTheme="minorHAnsi" w:eastAsiaTheme="minorEastAsia" w:hAnsiTheme="minorHAnsi" w:cstheme="minorHAnsi"/>
          <w:bCs/>
          <w:szCs w:val="22"/>
          <w:lang w:eastAsia="ko-KR"/>
        </w:rPr>
      </w:pPr>
      <w:r w:rsidRPr="00B845AF">
        <w:rPr>
          <w:rFonts w:asciiTheme="minorHAnsi" w:hAnsiTheme="minorHAnsi" w:cstheme="minorHAnsi"/>
          <w:bCs/>
        </w:rPr>
        <w:br w:type="page"/>
      </w:r>
    </w:p>
    <w:p w14:paraId="50D2284C" w14:textId="74431084" w:rsidR="00FE1374" w:rsidRPr="00B845AF" w:rsidRDefault="00FE1374" w:rsidP="006B3C62">
      <w:pPr>
        <w:pStyle w:val="SCtext"/>
        <w:numPr>
          <w:ilvl w:val="0"/>
          <w:numId w:val="0"/>
        </w:numPr>
        <w:rPr>
          <w:rFonts w:asciiTheme="minorHAnsi" w:hAnsiTheme="minorHAnsi" w:cstheme="minorHAnsi"/>
          <w:bCs/>
          <w:lang w:val="en-US"/>
        </w:rPr>
      </w:pPr>
      <w:r w:rsidRPr="00B845AF">
        <w:rPr>
          <w:rFonts w:asciiTheme="minorHAnsi" w:hAnsiTheme="minorHAnsi" w:cstheme="minorHAnsi"/>
          <w:b/>
          <w:lang w:val="en-US"/>
        </w:rPr>
        <w:lastRenderedPageBreak/>
        <w:t>Table A</w:t>
      </w:r>
      <w:r w:rsidRPr="00B845AF">
        <w:rPr>
          <w:rFonts w:asciiTheme="minorHAnsi" w:hAnsiTheme="minorHAnsi" w:cstheme="minorHAnsi"/>
          <w:b/>
          <w:lang w:val="en-US"/>
        </w:rPr>
        <w:noBreakHyphen/>
      </w:r>
      <w:bookmarkEnd w:id="33"/>
      <w:r w:rsidRPr="00B845AF">
        <w:rPr>
          <w:rFonts w:asciiTheme="minorHAnsi" w:hAnsiTheme="minorHAnsi" w:cstheme="minorHAnsi"/>
          <w:b/>
          <w:lang w:val="en-US"/>
        </w:rPr>
        <w:t>03</w:t>
      </w:r>
      <w:r w:rsidRPr="00B845AF">
        <w:rPr>
          <w:rFonts w:asciiTheme="minorHAnsi" w:hAnsiTheme="minorHAnsi" w:cstheme="minorHAnsi"/>
          <w:bCs/>
          <w:lang w:val="en-US"/>
        </w:rPr>
        <w:t xml:space="preserve">. Estimates of maximum sustainable yield (MSY), female spawning stock biomass (SSB), fishing intensity (F), and reference point ratios for </w:t>
      </w:r>
      <w:r w:rsidR="009A3BBD" w:rsidRPr="00B845AF">
        <w:rPr>
          <w:rFonts w:asciiTheme="minorHAnsi" w:hAnsiTheme="minorHAnsi" w:cstheme="minorHAnsi"/>
          <w:bCs/>
          <w:lang w:val="en-US"/>
        </w:rPr>
        <w:t>North Pacific</w:t>
      </w:r>
      <w:r w:rsidRPr="00B845AF">
        <w:rPr>
          <w:rFonts w:asciiTheme="minorHAnsi" w:hAnsiTheme="minorHAnsi" w:cstheme="minorHAnsi"/>
          <w:bCs/>
          <w:lang w:val="en-US"/>
        </w:rPr>
        <w:t xml:space="preserve"> albacore tuna for: 1) the base case model; 2) one important sensitivity model due to uncertainty in growth parameters; 3) a model representing an update of the 2023 base case model to 2026 data; and 4) a model representing uncertainty in the specification of initial fishing mortality.SSB</w:t>
      </w:r>
      <w:r w:rsidRPr="00B845AF">
        <w:rPr>
          <w:rFonts w:asciiTheme="minorHAnsi" w:hAnsiTheme="minorHAnsi" w:cstheme="minorHAnsi"/>
          <w:bCs/>
          <w:vertAlign w:val="subscript"/>
          <w:lang w:val="en-US"/>
        </w:rPr>
        <w:t>0</w:t>
      </w:r>
      <w:r w:rsidRPr="00B845AF">
        <w:rPr>
          <w:rFonts w:asciiTheme="minorHAnsi" w:hAnsiTheme="minorHAnsi" w:cstheme="minorHAnsi"/>
          <w:bCs/>
          <w:lang w:val="en-US"/>
        </w:rPr>
        <w:t>, SSB</w:t>
      </w:r>
      <w:r w:rsidRPr="00B845AF">
        <w:rPr>
          <w:rFonts w:asciiTheme="minorHAnsi" w:hAnsiTheme="minorHAnsi" w:cstheme="minorHAnsi"/>
          <w:bCs/>
          <w:vertAlign w:val="subscript"/>
          <w:lang w:val="en-US"/>
        </w:rPr>
        <w:t>current,F=0</w:t>
      </w:r>
      <w:r w:rsidRPr="00B845AF">
        <w:rPr>
          <w:rFonts w:asciiTheme="minorHAnsi" w:hAnsiTheme="minorHAnsi" w:cstheme="minorHAnsi"/>
          <w:bCs/>
          <w:lang w:val="en-US"/>
        </w:rPr>
        <w:t>, and SSB</w:t>
      </w:r>
      <w:r w:rsidRPr="00B845AF">
        <w:rPr>
          <w:rFonts w:asciiTheme="minorHAnsi" w:hAnsiTheme="minorHAnsi" w:cstheme="minorHAnsi"/>
          <w:bCs/>
          <w:vertAlign w:val="subscript"/>
          <w:lang w:val="en-US"/>
        </w:rPr>
        <w:t>MSY</w:t>
      </w:r>
      <w:r w:rsidRPr="00B845AF">
        <w:rPr>
          <w:rFonts w:asciiTheme="minorHAnsi" w:hAnsiTheme="minorHAnsi" w:cstheme="minorHAnsi"/>
          <w:bCs/>
          <w:lang w:val="en-US"/>
        </w:rPr>
        <w:t xml:space="preserve"> are the expected female SSB of a population in the equilibrium, unfished state; in the current, dynamic, unfished state; and at MSY, respectively. The Fs in this table are indicators of fishing intensity based on spawning potential ratio (SPR) and calculated as %SPR. SPR is the ratio of the equilibrium SSB per recruit that would result from the estimated F-at-age relative to that of an unfished population. Depletion is calculated as the proportion of the age-1+ biomass during the specified period relative to an unfished age-1+ equilibrium biomass. The model representing an update of the 2023 base case model is </w:t>
      </w:r>
      <w:proofErr w:type="gramStart"/>
      <w:r w:rsidRPr="00B845AF">
        <w:rPr>
          <w:rFonts w:asciiTheme="minorHAnsi" w:hAnsiTheme="minorHAnsi" w:cstheme="minorHAnsi"/>
          <w:bCs/>
          <w:lang w:val="en-US"/>
        </w:rPr>
        <w:t>similar to</w:t>
      </w:r>
      <w:proofErr w:type="gramEnd"/>
      <w:r w:rsidRPr="00B845AF">
        <w:rPr>
          <w:rFonts w:asciiTheme="minorHAnsi" w:hAnsiTheme="minorHAnsi" w:cstheme="minorHAnsi"/>
          <w:bCs/>
          <w:lang w:val="en-US"/>
        </w:rPr>
        <w:t xml:space="preserve"> but not identical to the 2026 base case model due to changes in data preparation and model structure. †A value of &gt;1 for the depletion ratio indicates higher age-1+ biomass in 2024 relative to the 2006–2015 period. §Higher %SPR values indicate lower fishing intensity levels. ¶Values of &gt;1 for ratios of F</w:t>
      </w:r>
      <w:r w:rsidRPr="00B845AF">
        <w:rPr>
          <w:rFonts w:asciiTheme="minorHAnsi" w:hAnsiTheme="minorHAnsi" w:cstheme="minorHAnsi"/>
          <w:bCs/>
          <w:vertAlign w:val="subscript"/>
          <w:lang w:val="en-US"/>
        </w:rPr>
        <w:t>%SPR</w:t>
      </w:r>
      <w:r w:rsidRPr="00B845AF">
        <w:rPr>
          <w:rFonts w:asciiTheme="minorHAnsi" w:hAnsiTheme="minorHAnsi" w:cstheme="minorHAnsi"/>
          <w:bCs/>
          <w:lang w:val="en-US"/>
        </w:rPr>
        <w:t xml:space="preserve"> to F</w:t>
      </w:r>
      <w:r w:rsidRPr="00B845AF">
        <w:rPr>
          <w:rFonts w:asciiTheme="minorHAnsi" w:hAnsiTheme="minorHAnsi" w:cstheme="minorHAnsi"/>
          <w:bCs/>
          <w:vertAlign w:val="subscript"/>
          <w:lang w:val="en-US"/>
        </w:rPr>
        <w:t>%SPR</w:t>
      </w:r>
      <w:r w:rsidRPr="00B845AF">
        <w:rPr>
          <w:rFonts w:asciiTheme="minorHAnsi" w:hAnsiTheme="minorHAnsi" w:cstheme="minorHAnsi"/>
          <w:bCs/>
          <w:lang w:val="en-US"/>
        </w:rPr>
        <w:t>-based reference points indicate fishing intensity levels lower than the reference points.</w:t>
      </w:r>
      <w:bookmarkEnd w:id="34"/>
      <w:r w:rsidRPr="00B845AF">
        <w:rPr>
          <w:rFonts w:asciiTheme="minorHAnsi" w:hAnsiTheme="minorHAnsi" w:cstheme="minorHAnsi"/>
          <w:bCs/>
          <w:lang w:val="en-US"/>
        </w:rPr>
        <w:t xml:space="preserve"> Table 10.14 in stock assessment report.</w:t>
      </w:r>
    </w:p>
    <w:tbl>
      <w:tblPr>
        <w:tblW w:w="9510" w:type="dxa"/>
        <w:jc w:val="center"/>
        <w:tblLayout w:type="fixed"/>
        <w:tblLook w:val="0420" w:firstRow="1" w:lastRow="0" w:firstColumn="0" w:lastColumn="0" w:noHBand="0" w:noVBand="1"/>
      </w:tblPr>
      <w:tblGrid>
        <w:gridCol w:w="3332"/>
        <w:gridCol w:w="1423"/>
        <w:gridCol w:w="1585"/>
        <w:gridCol w:w="1585"/>
        <w:gridCol w:w="1585"/>
      </w:tblGrid>
      <w:tr w:rsidR="000C1AEE" w:rsidRPr="00B845AF" w14:paraId="72AF875A" w14:textId="77777777" w:rsidTr="000C1AEE">
        <w:trPr>
          <w:tblHeader/>
          <w:jc w:val="center"/>
        </w:trPr>
        <w:tc>
          <w:tcPr>
            <w:tcW w:w="3332"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2960C347"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Quantity</w:t>
            </w:r>
          </w:p>
        </w:tc>
        <w:tc>
          <w:tcPr>
            <w:tcW w:w="1423"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00304234" w14:textId="7AA86655" w:rsidR="000C1AEE" w:rsidRPr="00B845AF" w:rsidRDefault="000C1AEE" w:rsidP="000C1AEE">
            <w:pPr>
              <w:pStyle w:val="SCtext"/>
              <w:numPr>
                <w:ilvl w:val="0"/>
                <w:numId w:val="0"/>
              </w:numPr>
              <w:jc w:val="center"/>
              <w:rPr>
                <w:rFonts w:asciiTheme="minorHAnsi" w:hAnsiTheme="minorHAnsi" w:cstheme="minorHAnsi"/>
                <w:lang w:val="en-US"/>
              </w:rPr>
            </w:pPr>
            <w:r w:rsidRPr="002D5F9F">
              <w:rPr>
                <w:rFonts w:cs="Calibri"/>
                <w:lang w:val="en-US"/>
              </w:rPr>
              <w:t>Base Case</w:t>
            </w:r>
          </w:p>
        </w:tc>
        <w:tc>
          <w:tcPr>
            <w:tcW w:w="1585"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56687C56" w14:textId="00C438F7" w:rsidR="000C1AEE" w:rsidRPr="00B845AF" w:rsidRDefault="000C1AEE" w:rsidP="000C1AEE">
            <w:pPr>
              <w:pStyle w:val="SCtext"/>
              <w:numPr>
                <w:ilvl w:val="0"/>
                <w:numId w:val="0"/>
              </w:numPr>
              <w:jc w:val="center"/>
              <w:rPr>
                <w:rFonts w:asciiTheme="minorHAnsi" w:hAnsiTheme="minorHAnsi" w:cstheme="minorHAnsi"/>
                <w:lang w:val="en-US"/>
              </w:rPr>
            </w:pPr>
            <w:r w:rsidRPr="002D5F9F">
              <w:rPr>
                <w:rFonts w:cs="Calibri"/>
                <w:lang w:val="en-US"/>
              </w:rPr>
              <w:t>Growth</w:t>
            </w:r>
            <w:r w:rsidRPr="002D5F9F">
              <w:rPr>
                <w:rFonts w:cs="Calibri"/>
                <w:lang w:val="en-US"/>
              </w:rPr>
              <w:br/>
              <w:t xml:space="preserve"> </w:t>
            </w:r>
            <w:proofErr w:type="spellStart"/>
            <w:r w:rsidRPr="002D5F9F">
              <w:rPr>
                <w:rFonts w:cs="Calibri"/>
                <w:lang w:val="en-US"/>
              </w:rPr>
              <w:t>CVold</w:t>
            </w:r>
            <w:proofErr w:type="spellEnd"/>
            <w:r w:rsidRPr="002D5F9F">
              <w:rPr>
                <w:rFonts w:cs="Calibri"/>
                <w:lang w:val="en-US"/>
              </w:rPr>
              <w:t>=0.06</w:t>
            </w:r>
          </w:p>
        </w:tc>
        <w:tc>
          <w:tcPr>
            <w:tcW w:w="1585"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0176D8F9" w14:textId="1E8AC0D9" w:rsidR="000C1AEE" w:rsidRPr="00B845AF" w:rsidRDefault="000C1AEE" w:rsidP="000C1AEE">
            <w:pPr>
              <w:pStyle w:val="SCtext"/>
              <w:numPr>
                <w:ilvl w:val="0"/>
                <w:numId w:val="0"/>
              </w:numPr>
              <w:jc w:val="center"/>
              <w:rPr>
                <w:rFonts w:asciiTheme="minorHAnsi" w:hAnsiTheme="minorHAnsi" w:cstheme="minorHAnsi"/>
                <w:lang w:val="en-US"/>
              </w:rPr>
            </w:pPr>
            <w:r w:rsidRPr="002D5F9F">
              <w:rPr>
                <w:rFonts w:cs="Calibri"/>
                <w:lang w:val="en-US"/>
              </w:rPr>
              <w:t>Update of 2023</w:t>
            </w:r>
            <w:r w:rsidRPr="002D5F9F">
              <w:rPr>
                <w:rFonts w:cs="Calibri"/>
                <w:lang w:val="en-US"/>
              </w:rPr>
              <w:br/>
              <w:t>base case model</w:t>
            </w:r>
            <w:r w:rsidRPr="002D5F9F">
              <w:rPr>
                <w:rFonts w:cs="Calibri"/>
                <w:lang w:val="en-US"/>
              </w:rPr>
              <w:br/>
              <w:t>to 2026 data*</w:t>
            </w:r>
          </w:p>
        </w:tc>
        <w:tc>
          <w:tcPr>
            <w:tcW w:w="1585" w:type="dxa"/>
            <w:tcBorders>
              <w:top w:val="single" w:sz="12" w:space="0" w:color="666666"/>
              <w:left w:val="nil"/>
              <w:bottom w:val="single" w:sz="12" w:space="0" w:color="666666"/>
              <w:right w:val="nil"/>
            </w:tcBorders>
            <w:shd w:val="clear" w:color="auto" w:fill="FFFFFF"/>
            <w:tcMar>
              <w:top w:w="0" w:type="dxa"/>
              <w:left w:w="0" w:type="dxa"/>
              <w:bottom w:w="0" w:type="dxa"/>
              <w:right w:w="0" w:type="dxa"/>
            </w:tcMar>
            <w:vAlign w:val="center"/>
            <w:hideMark/>
          </w:tcPr>
          <w:p w14:paraId="476E6F45" w14:textId="600025D5" w:rsidR="000C1AEE" w:rsidRPr="00B845AF" w:rsidRDefault="000C1AEE" w:rsidP="000C1AEE">
            <w:pPr>
              <w:pStyle w:val="SCtext"/>
              <w:numPr>
                <w:ilvl w:val="0"/>
                <w:numId w:val="0"/>
              </w:numPr>
              <w:jc w:val="center"/>
              <w:rPr>
                <w:rFonts w:asciiTheme="minorHAnsi" w:hAnsiTheme="minorHAnsi" w:cstheme="minorHAnsi"/>
                <w:lang w:val="en-US"/>
              </w:rPr>
            </w:pPr>
            <w:r w:rsidRPr="002D5F9F">
              <w:rPr>
                <w:rFonts w:cs="Calibri"/>
                <w:lang w:val="en-US"/>
              </w:rPr>
              <w:t xml:space="preserve">Initial Conditions </w:t>
            </w:r>
            <w:r w:rsidRPr="002D5F9F">
              <w:rPr>
                <w:rFonts w:cs="Calibri"/>
                <w:lang w:val="en-US"/>
              </w:rPr>
              <w:br/>
              <w:t xml:space="preserve"> </w:t>
            </w:r>
            <w:proofErr w:type="spellStart"/>
            <w:r w:rsidRPr="002D5F9F">
              <w:rPr>
                <w:rFonts w:cs="Calibri"/>
                <w:lang w:val="en-US"/>
              </w:rPr>
              <w:t>initF</w:t>
            </w:r>
            <w:proofErr w:type="spellEnd"/>
            <w:r w:rsidRPr="002D5F9F">
              <w:rPr>
                <w:rFonts w:cs="Calibri"/>
                <w:lang w:val="en-US"/>
              </w:rPr>
              <w:t xml:space="preserve"> F20 F24</w:t>
            </w:r>
          </w:p>
        </w:tc>
      </w:tr>
      <w:tr w:rsidR="000C1AEE" w:rsidRPr="00B845AF" w14:paraId="4B24C510" w14:textId="77777777" w:rsidTr="000C1AEE">
        <w:trPr>
          <w:jc w:val="center"/>
        </w:trPr>
        <w:tc>
          <w:tcPr>
            <w:tcW w:w="3332"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52E87278"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MSY (t)</w:t>
            </w:r>
          </w:p>
        </w:tc>
        <w:tc>
          <w:tcPr>
            <w:tcW w:w="1423"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3A7C394A" w14:textId="35893994" w:rsidR="000C1AEE" w:rsidRPr="00B845AF" w:rsidRDefault="000C1AEE" w:rsidP="000C1AEE">
            <w:pPr>
              <w:pStyle w:val="SCtext"/>
              <w:numPr>
                <w:ilvl w:val="0"/>
                <w:numId w:val="0"/>
              </w:numPr>
              <w:ind w:right="275"/>
              <w:jc w:val="right"/>
              <w:rPr>
                <w:rFonts w:asciiTheme="minorHAnsi" w:hAnsiTheme="minorHAnsi" w:cstheme="minorHAnsi"/>
                <w:lang w:val="en-US"/>
              </w:rPr>
            </w:pPr>
            <w:r w:rsidRPr="002D5F9F">
              <w:rPr>
                <w:rFonts w:cs="Calibri"/>
                <w:lang w:val="en-US"/>
              </w:rPr>
              <w:t>106,578</w:t>
            </w:r>
          </w:p>
        </w:tc>
        <w:tc>
          <w:tcPr>
            <w:tcW w:w="1585"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4AAEA19A" w14:textId="06789D71" w:rsidR="000C1AEE" w:rsidRPr="00B845AF" w:rsidRDefault="000C1AEE" w:rsidP="000C1AEE">
            <w:pPr>
              <w:pStyle w:val="SCtext"/>
              <w:numPr>
                <w:ilvl w:val="0"/>
                <w:numId w:val="0"/>
              </w:numPr>
              <w:ind w:right="305"/>
              <w:jc w:val="right"/>
              <w:rPr>
                <w:rFonts w:asciiTheme="minorHAnsi" w:hAnsiTheme="minorHAnsi" w:cstheme="minorHAnsi"/>
                <w:lang w:val="en-US"/>
              </w:rPr>
            </w:pPr>
            <w:r w:rsidRPr="002D5F9F">
              <w:rPr>
                <w:rFonts w:cs="Calibri"/>
                <w:lang w:val="en-US"/>
              </w:rPr>
              <w:t>86,675</w:t>
            </w:r>
          </w:p>
        </w:tc>
        <w:tc>
          <w:tcPr>
            <w:tcW w:w="1585"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287A62FE" w14:textId="20B512E3" w:rsidR="000C1AEE" w:rsidRPr="00B845AF" w:rsidRDefault="000C1AEE" w:rsidP="000C1AEE">
            <w:pPr>
              <w:pStyle w:val="SCtext"/>
              <w:numPr>
                <w:ilvl w:val="0"/>
                <w:numId w:val="0"/>
              </w:numPr>
              <w:ind w:right="290"/>
              <w:jc w:val="right"/>
              <w:rPr>
                <w:rFonts w:asciiTheme="minorHAnsi" w:hAnsiTheme="minorHAnsi" w:cstheme="minorHAnsi"/>
                <w:lang w:val="en-US"/>
              </w:rPr>
            </w:pPr>
            <w:r w:rsidRPr="002D5F9F">
              <w:rPr>
                <w:rFonts w:cs="Calibri"/>
                <w:lang w:val="en-US"/>
              </w:rPr>
              <w:t>113,793</w:t>
            </w:r>
          </w:p>
        </w:tc>
        <w:tc>
          <w:tcPr>
            <w:tcW w:w="1585" w:type="dxa"/>
            <w:tcBorders>
              <w:top w:val="single" w:sz="12" w:space="0" w:color="666666"/>
              <w:left w:val="nil"/>
              <w:bottom w:val="nil"/>
              <w:right w:val="nil"/>
            </w:tcBorders>
            <w:shd w:val="clear" w:color="auto" w:fill="FFFFFF"/>
            <w:tcMar>
              <w:top w:w="0" w:type="dxa"/>
              <w:left w:w="0" w:type="dxa"/>
              <w:bottom w:w="0" w:type="dxa"/>
              <w:right w:w="0" w:type="dxa"/>
            </w:tcMar>
            <w:vAlign w:val="center"/>
            <w:hideMark/>
          </w:tcPr>
          <w:p w14:paraId="7A348023" w14:textId="36DF342B" w:rsidR="000C1AEE" w:rsidRPr="00B845AF" w:rsidRDefault="000C1AEE" w:rsidP="000C1AEE">
            <w:pPr>
              <w:pStyle w:val="SCtext"/>
              <w:numPr>
                <w:ilvl w:val="0"/>
                <w:numId w:val="0"/>
              </w:numPr>
              <w:ind w:right="260"/>
              <w:jc w:val="right"/>
              <w:rPr>
                <w:rFonts w:asciiTheme="minorHAnsi" w:hAnsiTheme="minorHAnsi" w:cstheme="minorHAnsi"/>
                <w:lang w:val="en-US"/>
              </w:rPr>
            </w:pPr>
            <w:r w:rsidRPr="002D5F9F">
              <w:rPr>
                <w:rFonts w:cs="Calibri"/>
                <w:lang w:val="en-US"/>
              </w:rPr>
              <w:t>100,322</w:t>
            </w:r>
          </w:p>
        </w:tc>
      </w:tr>
      <w:tr w:rsidR="000C1AEE" w:rsidRPr="00B845AF" w14:paraId="06AB6CC5" w14:textId="77777777" w:rsidTr="000C1AEE">
        <w:trPr>
          <w:jc w:val="center"/>
        </w:trPr>
        <w:tc>
          <w:tcPr>
            <w:tcW w:w="3332" w:type="dxa"/>
            <w:shd w:val="clear" w:color="auto" w:fill="FFFFFF"/>
            <w:vAlign w:val="center"/>
            <w:hideMark/>
          </w:tcPr>
          <w:p w14:paraId="5CA8C483"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(t)</w:t>
            </w:r>
          </w:p>
        </w:tc>
        <w:tc>
          <w:tcPr>
            <w:tcW w:w="1423" w:type="dxa"/>
            <w:shd w:val="clear" w:color="auto" w:fill="FFFFFF"/>
            <w:vAlign w:val="center"/>
            <w:hideMark/>
          </w:tcPr>
          <w:p w14:paraId="5187BD4A" w14:textId="78F21305"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19,360</w:t>
            </w:r>
          </w:p>
        </w:tc>
        <w:tc>
          <w:tcPr>
            <w:tcW w:w="1585" w:type="dxa"/>
            <w:shd w:val="clear" w:color="auto" w:fill="FFFFFF"/>
            <w:vAlign w:val="center"/>
            <w:hideMark/>
          </w:tcPr>
          <w:p w14:paraId="5F75A8B5" w14:textId="521A99CA"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15,878</w:t>
            </w:r>
          </w:p>
        </w:tc>
        <w:tc>
          <w:tcPr>
            <w:tcW w:w="1585" w:type="dxa"/>
            <w:shd w:val="clear" w:color="auto" w:fill="FFFFFF"/>
            <w:vAlign w:val="center"/>
            <w:hideMark/>
          </w:tcPr>
          <w:p w14:paraId="3FD60604" w14:textId="23C5E2A3"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20,524</w:t>
            </w:r>
          </w:p>
        </w:tc>
        <w:tc>
          <w:tcPr>
            <w:tcW w:w="1585" w:type="dxa"/>
            <w:shd w:val="clear" w:color="auto" w:fill="FFFFFF"/>
            <w:vAlign w:val="center"/>
            <w:hideMark/>
          </w:tcPr>
          <w:p w14:paraId="10B18E43" w14:textId="483A5759"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18,316</w:t>
            </w:r>
          </w:p>
        </w:tc>
      </w:tr>
      <w:tr w:rsidR="000C1AEE" w:rsidRPr="00B845AF" w14:paraId="3ED95B3D" w14:textId="77777777" w:rsidTr="000C1AEE">
        <w:trPr>
          <w:jc w:val="center"/>
        </w:trPr>
        <w:tc>
          <w:tcPr>
            <w:tcW w:w="3332" w:type="dxa"/>
            <w:shd w:val="clear" w:color="auto" w:fill="FFFFFF"/>
            <w:vAlign w:val="center"/>
            <w:hideMark/>
          </w:tcPr>
          <w:p w14:paraId="79787F87"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(t)</w:t>
            </w:r>
          </w:p>
        </w:tc>
        <w:tc>
          <w:tcPr>
            <w:tcW w:w="1423" w:type="dxa"/>
            <w:shd w:val="clear" w:color="auto" w:fill="FFFFFF"/>
            <w:vAlign w:val="center"/>
            <w:hideMark/>
          </w:tcPr>
          <w:p w14:paraId="1EC16691" w14:textId="0AC28600"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139,466</w:t>
            </w:r>
          </w:p>
        </w:tc>
        <w:tc>
          <w:tcPr>
            <w:tcW w:w="1585" w:type="dxa"/>
            <w:shd w:val="clear" w:color="auto" w:fill="FFFFFF"/>
            <w:vAlign w:val="center"/>
            <w:hideMark/>
          </w:tcPr>
          <w:p w14:paraId="7C887A5A" w14:textId="5C1C954D"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113,685</w:t>
            </w:r>
          </w:p>
        </w:tc>
        <w:tc>
          <w:tcPr>
            <w:tcW w:w="1585" w:type="dxa"/>
            <w:shd w:val="clear" w:color="auto" w:fill="FFFFFF"/>
            <w:vAlign w:val="center"/>
            <w:hideMark/>
          </w:tcPr>
          <w:p w14:paraId="1ACAB8F2" w14:textId="2B8A75F3"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147,874</w:t>
            </w:r>
          </w:p>
        </w:tc>
        <w:tc>
          <w:tcPr>
            <w:tcW w:w="1585" w:type="dxa"/>
            <w:shd w:val="clear" w:color="auto" w:fill="FFFFFF"/>
            <w:vAlign w:val="center"/>
            <w:hideMark/>
          </w:tcPr>
          <w:p w14:paraId="6E25E544" w14:textId="7B406E71"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131,221</w:t>
            </w:r>
          </w:p>
        </w:tc>
      </w:tr>
      <w:tr w:rsidR="000C1AEE" w:rsidRPr="00B845AF" w14:paraId="72B7CFF7" w14:textId="77777777" w:rsidTr="000C1AEE">
        <w:trPr>
          <w:jc w:val="center"/>
        </w:trPr>
        <w:tc>
          <w:tcPr>
            <w:tcW w:w="3332" w:type="dxa"/>
            <w:shd w:val="clear" w:color="auto" w:fill="FFFFFF"/>
            <w:vAlign w:val="center"/>
            <w:hideMark/>
          </w:tcPr>
          <w:p w14:paraId="338DFE9D"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 xml:space="preserve"> (t)</w:t>
            </w:r>
          </w:p>
        </w:tc>
        <w:tc>
          <w:tcPr>
            <w:tcW w:w="1423" w:type="dxa"/>
            <w:shd w:val="clear" w:color="auto" w:fill="FFFFFF"/>
            <w:vAlign w:val="center"/>
            <w:hideMark/>
          </w:tcPr>
          <w:p w14:paraId="696DA380" w14:textId="50C3AEC5"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84,209</w:t>
            </w:r>
          </w:p>
        </w:tc>
        <w:tc>
          <w:tcPr>
            <w:tcW w:w="1585" w:type="dxa"/>
            <w:shd w:val="clear" w:color="auto" w:fill="FFFFFF"/>
            <w:vAlign w:val="center"/>
            <w:hideMark/>
          </w:tcPr>
          <w:p w14:paraId="2E2656DE" w14:textId="79F06334"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49,547</w:t>
            </w:r>
          </w:p>
        </w:tc>
        <w:tc>
          <w:tcPr>
            <w:tcW w:w="1585" w:type="dxa"/>
            <w:shd w:val="clear" w:color="auto" w:fill="FFFFFF"/>
            <w:vAlign w:val="center"/>
            <w:hideMark/>
          </w:tcPr>
          <w:p w14:paraId="0FDF55AC" w14:textId="1BE560D9"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96,362</w:t>
            </w:r>
          </w:p>
        </w:tc>
        <w:tc>
          <w:tcPr>
            <w:tcW w:w="1585" w:type="dxa"/>
            <w:shd w:val="clear" w:color="auto" w:fill="FFFFFF"/>
            <w:vAlign w:val="center"/>
            <w:hideMark/>
          </w:tcPr>
          <w:p w14:paraId="05E664DB" w14:textId="10BCF5A4"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73,236</w:t>
            </w:r>
          </w:p>
        </w:tc>
      </w:tr>
      <w:tr w:rsidR="000C1AEE" w:rsidRPr="00B845AF" w14:paraId="07A06EAE" w14:textId="77777777" w:rsidTr="000C1AEE">
        <w:trPr>
          <w:jc w:val="center"/>
        </w:trPr>
        <w:tc>
          <w:tcPr>
            <w:tcW w:w="3332" w:type="dxa"/>
            <w:shd w:val="clear" w:color="auto" w:fill="FFFFFF"/>
            <w:vAlign w:val="center"/>
            <w:hideMark/>
          </w:tcPr>
          <w:p w14:paraId="10B22F98"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xml:space="preserve"> (2024 estimate)</w:t>
            </w:r>
          </w:p>
        </w:tc>
        <w:tc>
          <w:tcPr>
            <w:tcW w:w="1423" w:type="dxa"/>
            <w:shd w:val="clear" w:color="auto" w:fill="FFFFFF"/>
            <w:vAlign w:val="center"/>
            <w:hideMark/>
          </w:tcPr>
          <w:p w14:paraId="1ED88D3F" w14:textId="70CB6DF8"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139,777</w:t>
            </w:r>
          </w:p>
        </w:tc>
        <w:tc>
          <w:tcPr>
            <w:tcW w:w="1585" w:type="dxa"/>
            <w:shd w:val="clear" w:color="auto" w:fill="FFFFFF"/>
            <w:vAlign w:val="center"/>
            <w:hideMark/>
          </w:tcPr>
          <w:p w14:paraId="74AF781C" w14:textId="00D32B88"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107,072</w:t>
            </w:r>
          </w:p>
        </w:tc>
        <w:tc>
          <w:tcPr>
            <w:tcW w:w="1585" w:type="dxa"/>
            <w:shd w:val="clear" w:color="auto" w:fill="FFFFFF"/>
            <w:vAlign w:val="center"/>
            <w:hideMark/>
          </w:tcPr>
          <w:p w14:paraId="0A9FBC4B" w14:textId="7E697148"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151,193</w:t>
            </w:r>
          </w:p>
        </w:tc>
        <w:tc>
          <w:tcPr>
            <w:tcW w:w="1585" w:type="dxa"/>
            <w:shd w:val="clear" w:color="auto" w:fill="FFFFFF"/>
            <w:vAlign w:val="center"/>
            <w:hideMark/>
          </w:tcPr>
          <w:p w14:paraId="2D072EF0" w14:textId="64B7E1BC"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129,224</w:t>
            </w:r>
          </w:p>
        </w:tc>
      </w:tr>
      <w:tr w:rsidR="000C1AEE" w:rsidRPr="00B845AF" w14:paraId="5180F5BB" w14:textId="77777777" w:rsidTr="000C1AEE">
        <w:trPr>
          <w:jc w:val="center"/>
        </w:trPr>
        <w:tc>
          <w:tcPr>
            <w:tcW w:w="3332" w:type="dxa"/>
            <w:shd w:val="clear" w:color="auto" w:fill="FFFFFF"/>
            <w:vAlign w:val="center"/>
            <w:hideMark/>
          </w:tcPr>
          <w:p w14:paraId="30C2B33F"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/SSB</w:t>
            </w:r>
            <w:r w:rsidRPr="00B845AF">
              <w:rPr>
                <w:rFonts w:asciiTheme="minorHAnsi" w:hAnsiTheme="minorHAnsi" w:cstheme="minorHAnsi"/>
                <w:vertAlign w:val="subscript"/>
                <w:lang w:val="en-US"/>
              </w:rPr>
              <w:t>current, F=0</w:t>
            </w:r>
          </w:p>
        </w:tc>
        <w:tc>
          <w:tcPr>
            <w:tcW w:w="1423" w:type="dxa"/>
            <w:shd w:val="clear" w:color="auto" w:fill="FFFFFF"/>
            <w:vAlign w:val="center"/>
            <w:hideMark/>
          </w:tcPr>
          <w:p w14:paraId="38634DE8" w14:textId="457C3A53"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0.60</w:t>
            </w:r>
          </w:p>
        </w:tc>
        <w:tc>
          <w:tcPr>
            <w:tcW w:w="1585" w:type="dxa"/>
            <w:shd w:val="clear" w:color="auto" w:fill="FFFFFF"/>
            <w:vAlign w:val="center"/>
            <w:hideMark/>
          </w:tcPr>
          <w:p w14:paraId="54B084D6" w14:textId="4062E7A2"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0.46</w:t>
            </w:r>
          </w:p>
        </w:tc>
        <w:tc>
          <w:tcPr>
            <w:tcW w:w="1585" w:type="dxa"/>
            <w:shd w:val="clear" w:color="auto" w:fill="FFFFFF"/>
            <w:vAlign w:val="center"/>
            <w:hideMark/>
          </w:tcPr>
          <w:p w14:paraId="12E4F17E" w14:textId="670C0628"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0.64</w:t>
            </w:r>
          </w:p>
        </w:tc>
        <w:tc>
          <w:tcPr>
            <w:tcW w:w="1585" w:type="dxa"/>
            <w:shd w:val="clear" w:color="auto" w:fill="FFFFFF"/>
            <w:vAlign w:val="center"/>
            <w:hideMark/>
          </w:tcPr>
          <w:p w14:paraId="741129E4" w14:textId="05C4786C"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0.57</w:t>
            </w:r>
          </w:p>
        </w:tc>
      </w:tr>
      <w:tr w:rsidR="000C1AEE" w:rsidRPr="00B845AF" w14:paraId="7128A2CF" w14:textId="77777777" w:rsidTr="000C1AEE">
        <w:trPr>
          <w:jc w:val="center"/>
        </w:trPr>
        <w:tc>
          <w:tcPr>
            <w:tcW w:w="3332" w:type="dxa"/>
            <w:shd w:val="clear" w:color="auto" w:fill="FFFFFF"/>
            <w:vAlign w:val="center"/>
            <w:hideMark/>
          </w:tcPr>
          <w:p w14:paraId="5B5FE1F8"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/30%SSB</w:t>
            </w:r>
            <w:r w:rsidRPr="00B845AF">
              <w:rPr>
                <w:rFonts w:asciiTheme="minorHAnsi" w:hAnsiTheme="minorHAnsi" w:cstheme="minorHAnsi"/>
                <w:vertAlign w:val="subscript"/>
                <w:lang w:val="en-US"/>
              </w:rPr>
              <w:t>current, F=0</w:t>
            </w:r>
          </w:p>
        </w:tc>
        <w:tc>
          <w:tcPr>
            <w:tcW w:w="1423" w:type="dxa"/>
            <w:shd w:val="clear" w:color="auto" w:fill="FFFFFF"/>
            <w:vAlign w:val="center"/>
            <w:hideMark/>
          </w:tcPr>
          <w:p w14:paraId="086CDB89" w14:textId="5851BDB4"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2.01</w:t>
            </w:r>
          </w:p>
        </w:tc>
        <w:tc>
          <w:tcPr>
            <w:tcW w:w="1585" w:type="dxa"/>
            <w:shd w:val="clear" w:color="auto" w:fill="FFFFFF"/>
            <w:vAlign w:val="center"/>
            <w:hideMark/>
          </w:tcPr>
          <w:p w14:paraId="532ED496" w14:textId="18A391EE"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1.54</w:t>
            </w:r>
          </w:p>
        </w:tc>
        <w:tc>
          <w:tcPr>
            <w:tcW w:w="1585" w:type="dxa"/>
            <w:shd w:val="clear" w:color="auto" w:fill="FFFFFF"/>
            <w:vAlign w:val="center"/>
            <w:hideMark/>
          </w:tcPr>
          <w:p w14:paraId="469E52B6" w14:textId="7776F7E7"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2.12</w:t>
            </w:r>
          </w:p>
        </w:tc>
        <w:tc>
          <w:tcPr>
            <w:tcW w:w="1585" w:type="dxa"/>
            <w:shd w:val="clear" w:color="auto" w:fill="FFFFFF"/>
            <w:vAlign w:val="center"/>
            <w:hideMark/>
          </w:tcPr>
          <w:p w14:paraId="42D7F040" w14:textId="74A66240"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1.89</w:t>
            </w:r>
          </w:p>
        </w:tc>
      </w:tr>
      <w:tr w:rsidR="000C1AEE" w:rsidRPr="00B845AF" w14:paraId="56216E48" w14:textId="77777777" w:rsidTr="000C1AEE">
        <w:trPr>
          <w:jc w:val="center"/>
        </w:trPr>
        <w:tc>
          <w:tcPr>
            <w:tcW w:w="3332" w:type="dxa"/>
            <w:shd w:val="clear" w:color="auto" w:fill="FFFFFF"/>
            <w:vAlign w:val="center"/>
            <w:hideMark/>
          </w:tcPr>
          <w:p w14:paraId="3EFADE0E"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/14%SSB</w:t>
            </w:r>
            <w:r w:rsidRPr="00B845AF">
              <w:rPr>
                <w:rFonts w:asciiTheme="minorHAnsi" w:hAnsiTheme="minorHAnsi" w:cstheme="minorHAnsi"/>
                <w:vertAlign w:val="subscript"/>
                <w:lang w:val="en-US"/>
              </w:rPr>
              <w:t>current, F=0</w:t>
            </w:r>
          </w:p>
        </w:tc>
        <w:tc>
          <w:tcPr>
            <w:tcW w:w="1423" w:type="dxa"/>
            <w:shd w:val="clear" w:color="auto" w:fill="FFFFFF"/>
            <w:vAlign w:val="center"/>
            <w:hideMark/>
          </w:tcPr>
          <w:p w14:paraId="3925867E" w14:textId="55B1B85F"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4.30</w:t>
            </w:r>
          </w:p>
        </w:tc>
        <w:tc>
          <w:tcPr>
            <w:tcW w:w="1585" w:type="dxa"/>
            <w:shd w:val="clear" w:color="auto" w:fill="FFFFFF"/>
            <w:vAlign w:val="center"/>
            <w:hideMark/>
          </w:tcPr>
          <w:p w14:paraId="6FA56D95" w14:textId="3D68F1F2"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3.31</w:t>
            </w:r>
          </w:p>
        </w:tc>
        <w:tc>
          <w:tcPr>
            <w:tcW w:w="1585" w:type="dxa"/>
            <w:shd w:val="clear" w:color="auto" w:fill="FFFFFF"/>
            <w:vAlign w:val="center"/>
            <w:hideMark/>
          </w:tcPr>
          <w:p w14:paraId="3869D6DB" w14:textId="482B4E11"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4.55</w:t>
            </w:r>
          </w:p>
        </w:tc>
        <w:tc>
          <w:tcPr>
            <w:tcW w:w="1585" w:type="dxa"/>
            <w:shd w:val="clear" w:color="auto" w:fill="FFFFFF"/>
            <w:vAlign w:val="center"/>
            <w:hideMark/>
          </w:tcPr>
          <w:p w14:paraId="4F644E6C" w14:textId="0EF22506"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4.05</w:t>
            </w:r>
          </w:p>
        </w:tc>
      </w:tr>
      <w:tr w:rsidR="000C1AEE" w:rsidRPr="00B845AF" w14:paraId="54ADE032" w14:textId="77777777" w:rsidTr="000C1AEE">
        <w:trPr>
          <w:jc w:val="center"/>
        </w:trPr>
        <w:tc>
          <w:tcPr>
            <w:tcW w:w="3332" w:type="dxa"/>
            <w:shd w:val="clear" w:color="auto" w:fill="FFFFFF"/>
            <w:vAlign w:val="center"/>
            <w:hideMark/>
          </w:tcPr>
          <w:p w14:paraId="5B90B352"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Depletion</w:t>
            </w:r>
            <w:r w:rsidRPr="00B845AF">
              <w:rPr>
                <w:rFonts w:asciiTheme="minorHAnsi" w:hAnsiTheme="minorHAnsi" w:cstheme="minorHAnsi"/>
                <w:vertAlign w:val="subscript"/>
                <w:lang w:val="en-US"/>
              </w:rPr>
              <w:t>2024</w:t>
            </w:r>
            <w:r w:rsidRPr="00B845AF">
              <w:rPr>
                <w:rFonts w:asciiTheme="minorHAnsi" w:hAnsiTheme="minorHAnsi" w:cstheme="minorHAnsi"/>
                <w:lang w:val="en-US"/>
              </w:rPr>
              <w:t>/Depletion</w:t>
            </w:r>
            <w:r w:rsidRPr="00B845AF">
              <w:rPr>
                <w:rFonts w:asciiTheme="minorHAnsi" w:hAnsiTheme="minorHAnsi" w:cstheme="minorHAnsi"/>
                <w:vertAlign w:val="subscript"/>
                <w:lang w:val="en-US"/>
              </w:rPr>
              <w:t>2006-2015</w:t>
            </w:r>
          </w:p>
        </w:tc>
        <w:tc>
          <w:tcPr>
            <w:tcW w:w="1423" w:type="dxa"/>
            <w:shd w:val="clear" w:color="auto" w:fill="FFFFFF"/>
            <w:vAlign w:val="center"/>
            <w:hideMark/>
          </w:tcPr>
          <w:p w14:paraId="593C3198" w14:textId="0FF1E412"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1.45</w:t>
            </w:r>
          </w:p>
        </w:tc>
        <w:tc>
          <w:tcPr>
            <w:tcW w:w="1585" w:type="dxa"/>
            <w:shd w:val="clear" w:color="auto" w:fill="FFFFFF"/>
            <w:vAlign w:val="center"/>
            <w:hideMark/>
          </w:tcPr>
          <w:p w14:paraId="75478821" w14:textId="6DC78B9B"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1.40</w:t>
            </w:r>
          </w:p>
        </w:tc>
        <w:tc>
          <w:tcPr>
            <w:tcW w:w="1585" w:type="dxa"/>
            <w:shd w:val="clear" w:color="auto" w:fill="FFFFFF"/>
            <w:vAlign w:val="center"/>
            <w:hideMark/>
          </w:tcPr>
          <w:p w14:paraId="543E5A1D" w14:textId="104D670C"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1.61</w:t>
            </w:r>
          </w:p>
        </w:tc>
        <w:tc>
          <w:tcPr>
            <w:tcW w:w="1585" w:type="dxa"/>
            <w:shd w:val="clear" w:color="auto" w:fill="FFFFFF"/>
            <w:vAlign w:val="center"/>
            <w:hideMark/>
          </w:tcPr>
          <w:p w14:paraId="7713FBC0" w14:textId="61A8BF13"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1.45</w:t>
            </w:r>
          </w:p>
        </w:tc>
      </w:tr>
      <w:tr w:rsidR="000C1AEE" w:rsidRPr="00B845AF" w14:paraId="4C3938FE" w14:textId="77777777" w:rsidTr="000C1AEE">
        <w:trPr>
          <w:jc w:val="center"/>
        </w:trPr>
        <w:tc>
          <w:tcPr>
            <w:tcW w:w="3332" w:type="dxa"/>
            <w:shd w:val="clear" w:color="auto" w:fill="FFFFFF"/>
            <w:vAlign w:val="center"/>
            <w:hideMark/>
          </w:tcPr>
          <w:p w14:paraId="2D7ECA49"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2021-2023</w:t>
            </w:r>
            <w:r w:rsidRPr="00B845AF">
              <w:rPr>
                <w:rFonts w:asciiTheme="minorHAnsi" w:hAnsiTheme="minorHAnsi" w:cstheme="minorHAnsi"/>
                <w:lang w:val="en-US"/>
              </w:rPr>
              <w:t xml:space="preserve"> (%SPR)</w:t>
            </w:r>
          </w:p>
        </w:tc>
        <w:tc>
          <w:tcPr>
            <w:tcW w:w="1423" w:type="dxa"/>
            <w:shd w:val="clear" w:color="auto" w:fill="FFFFFF"/>
            <w:vAlign w:val="center"/>
            <w:hideMark/>
          </w:tcPr>
          <w:p w14:paraId="7423307A" w14:textId="0BF45BB8"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65.6</w:t>
            </w:r>
          </w:p>
        </w:tc>
        <w:tc>
          <w:tcPr>
            <w:tcW w:w="1585" w:type="dxa"/>
            <w:shd w:val="clear" w:color="auto" w:fill="FFFFFF"/>
            <w:vAlign w:val="center"/>
            <w:hideMark/>
          </w:tcPr>
          <w:p w14:paraId="0507AFFC" w14:textId="22EF538A"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51.9</w:t>
            </w:r>
          </w:p>
        </w:tc>
        <w:tc>
          <w:tcPr>
            <w:tcW w:w="1585" w:type="dxa"/>
            <w:shd w:val="clear" w:color="auto" w:fill="FFFFFF"/>
            <w:vAlign w:val="center"/>
            <w:hideMark/>
          </w:tcPr>
          <w:p w14:paraId="12F70D2C" w14:textId="79299430"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68.0</w:t>
            </w:r>
          </w:p>
        </w:tc>
        <w:tc>
          <w:tcPr>
            <w:tcW w:w="1585" w:type="dxa"/>
            <w:shd w:val="clear" w:color="auto" w:fill="FFFFFF"/>
            <w:vAlign w:val="center"/>
            <w:hideMark/>
          </w:tcPr>
          <w:p w14:paraId="2AC1146C" w14:textId="32623277"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62.2</w:t>
            </w:r>
          </w:p>
        </w:tc>
      </w:tr>
      <w:tr w:rsidR="000C1AEE" w:rsidRPr="00B845AF" w14:paraId="0130D5DC" w14:textId="77777777" w:rsidTr="000C1AEE">
        <w:trPr>
          <w:jc w:val="center"/>
        </w:trPr>
        <w:tc>
          <w:tcPr>
            <w:tcW w:w="3332" w:type="dxa"/>
            <w:shd w:val="clear" w:color="auto" w:fill="FFFFFF"/>
            <w:vAlign w:val="center"/>
            <w:hideMark/>
          </w:tcPr>
          <w:p w14:paraId="4A4C463C"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2013-2023</w:t>
            </w:r>
            <w:r w:rsidRPr="00B845AF">
              <w:rPr>
                <w:rFonts w:asciiTheme="minorHAnsi" w:hAnsiTheme="minorHAnsi" w:cstheme="minorHAnsi"/>
                <w:lang w:val="en-US"/>
              </w:rPr>
              <w:t xml:space="preserve"> (%SPR)</w:t>
            </w:r>
          </w:p>
        </w:tc>
        <w:tc>
          <w:tcPr>
            <w:tcW w:w="1423" w:type="dxa"/>
            <w:shd w:val="clear" w:color="auto" w:fill="FFFFFF"/>
            <w:vAlign w:val="center"/>
            <w:hideMark/>
          </w:tcPr>
          <w:p w14:paraId="6B2F3D17" w14:textId="5CA016D3"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50.3</w:t>
            </w:r>
          </w:p>
        </w:tc>
        <w:tc>
          <w:tcPr>
            <w:tcW w:w="1585" w:type="dxa"/>
            <w:shd w:val="clear" w:color="auto" w:fill="FFFFFF"/>
            <w:vAlign w:val="center"/>
            <w:hideMark/>
          </w:tcPr>
          <w:p w14:paraId="0E479EA2" w14:textId="6B6AAA63"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36.7</w:t>
            </w:r>
          </w:p>
        </w:tc>
        <w:tc>
          <w:tcPr>
            <w:tcW w:w="1585" w:type="dxa"/>
            <w:shd w:val="clear" w:color="auto" w:fill="FFFFFF"/>
            <w:vAlign w:val="center"/>
            <w:hideMark/>
          </w:tcPr>
          <w:p w14:paraId="6C9D6951" w14:textId="7F9A995E"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53.6</w:t>
            </w:r>
          </w:p>
        </w:tc>
        <w:tc>
          <w:tcPr>
            <w:tcW w:w="1585" w:type="dxa"/>
            <w:shd w:val="clear" w:color="auto" w:fill="FFFFFF"/>
            <w:vAlign w:val="center"/>
            <w:hideMark/>
          </w:tcPr>
          <w:p w14:paraId="6DDE38AA" w14:textId="7416673B"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46.6</w:t>
            </w:r>
          </w:p>
        </w:tc>
      </w:tr>
      <w:tr w:rsidR="000C1AEE" w:rsidRPr="00B845AF" w14:paraId="5236A33B" w14:textId="77777777" w:rsidTr="000C1AEE">
        <w:trPr>
          <w:jc w:val="center"/>
        </w:trPr>
        <w:tc>
          <w:tcPr>
            <w:tcW w:w="3332" w:type="dxa"/>
            <w:shd w:val="clear" w:color="auto" w:fill="FFFFFF"/>
            <w:vAlign w:val="center"/>
            <w:hideMark/>
          </w:tcPr>
          <w:p w14:paraId="49891564"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2021-2023</w:t>
            </w:r>
            <w:r w:rsidRPr="00B845AF">
              <w:rPr>
                <w:rFonts w:asciiTheme="minorHAnsi" w:hAnsiTheme="minorHAnsi" w:cstheme="minorHAnsi"/>
                <w:lang w:val="en-US"/>
              </w:rPr>
              <w:t>/F</w:t>
            </w:r>
            <w:r w:rsidRPr="00B845AF">
              <w:rPr>
                <w:rFonts w:asciiTheme="minorHAnsi" w:hAnsiTheme="minorHAnsi" w:cstheme="minorHAnsi"/>
                <w:vertAlign w:val="subscript"/>
                <w:lang w:val="en-US"/>
              </w:rPr>
              <w:t>%SPR, MSY</w:t>
            </w:r>
          </w:p>
        </w:tc>
        <w:tc>
          <w:tcPr>
            <w:tcW w:w="1423" w:type="dxa"/>
            <w:shd w:val="clear" w:color="auto" w:fill="FFFFFF"/>
            <w:vAlign w:val="center"/>
            <w:hideMark/>
          </w:tcPr>
          <w:p w14:paraId="2B066736" w14:textId="38B45822"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4.03</w:t>
            </w:r>
          </w:p>
        </w:tc>
        <w:tc>
          <w:tcPr>
            <w:tcW w:w="1585" w:type="dxa"/>
            <w:shd w:val="clear" w:color="auto" w:fill="FFFFFF"/>
            <w:vAlign w:val="center"/>
            <w:hideMark/>
          </w:tcPr>
          <w:p w14:paraId="2FB2454E" w14:textId="6AC8E5FB"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3.17</w:t>
            </w:r>
          </w:p>
        </w:tc>
        <w:tc>
          <w:tcPr>
            <w:tcW w:w="1585" w:type="dxa"/>
            <w:shd w:val="clear" w:color="auto" w:fill="FFFFFF"/>
            <w:vAlign w:val="center"/>
            <w:hideMark/>
          </w:tcPr>
          <w:p w14:paraId="65198E23" w14:textId="03AABCF1"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4.18</w:t>
            </w:r>
          </w:p>
        </w:tc>
        <w:tc>
          <w:tcPr>
            <w:tcW w:w="1585" w:type="dxa"/>
            <w:shd w:val="clear" w:color="auto" w:fill="FFFFFF"/>
            <w:vAlign w:val="center"/>
            <w:hideMark/>
          </w:tcPr>
          <w:p w14:paraId="206EB586" w14:textId="69EEE6A4"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3.80</w:t>
            </w:r>
          </w:p>
        </w:tc>
      </w:tr>
      <w:tr w:rsidR="000C1AEE" w:rsidRPr="00B845AF" w14:paraId="749702C5" w14:textId="77777777" w:rsidTr="000C1AEE">
        <w:trPr>
          <w:jc w:val="center"/>
        </w:trPr>
        <w:tc>
          <w:tcPr>
            <w:tcW w:w="3332" w:type="dxa"/>
            <w:shd w:val="clear" w:color="auto" w:fill="FFFFFF"/>
            <w:vAlign w:val="center"/>
            <w:hideMark/>
          </w:tcPr>
          <w:p w14:paraId="1520E833"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2013-2023</w:t>
            </w:r>
            <w:r w:rsidRPr="00B845AF">
              <w:rPr>
                <w:rFonts w:asciiTheme="minorHAnsi" w:hAnsiTheme="minorHAnsi" w:cstheme="minorHAnsi"/>
                <w:lang w:val="en-US"/>
              </w:rPr>
              <w:t>/F45</w:t>
            </w:r>
            <w:r w:rsidRPr="00B845AF">
              <w:rPr>
                <w:rFonts w:asciiTheme="minorHAnsi" w:hAnsiTheme="minorHAnsi" w:cstheme="minorHAnsi"/>
                <w:vertAlign w:val="subscript"/>
                <w:lang w:val="en-US"/>
              </w:rPr>
              <w:t>%SPR</w:t>
            </w:r>
          </w:p>
        </w:tc>
        <w:tc>
          <w:tcPr>
            <w:tcW w:w="1423" w:type="dxa"/>
            <w:shd w:val="clear" w:color="auto" w:fill="FFFFFF"/>
            <w:vAlign w:val="center"/>
            <w:hideMark/>
          </w:tcPr>
          <w:p w14:paraId="2A78B73C" w14:textId="2CCB2377"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1.12</w:t>
            </w:r>
          </w:p>
        </w:tc>
        <w:tc>
          <w:tcPr>
            <w:tcW w:w="1585" w:type="dxa"/>
            <w:shd w:val="clear" w:color="auto" w:fill="FFFFFF"/>
            <w:vAlign w:val="center"/>
            <w:hideMark/>
          </w:tcPr>
          <w:p w14:paraId="741A2FF1" w14:textId="442B7638"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0.82</w:t>
            </w:r>
          </w:p>
        </w:tc>
        <w:tc>
          <w:tcPr>
            <w:tcW w:w="1585" w:type="dxa"/>
            <w:shd w:val="clear" w:color="auto" w:fill="FFFFFF"/>
            <w:vAlign w:val="center"/>
            <w:hideMark/>
          </w:tcPr>
          <w:p w14:paraId="2BAE24C4" w14:textId="411193AB"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1.19</w:t>
            </w:r>
          </w:p>
        </w:tc>
        <w:tc>
          <w:tcPr>
            <w:tcW w:w="1585" w:type="dxa"/>
            <w:shd w:val="clear" w:color="auto" w:fill="FFFFFF"/>
            <w:vAlign w:val="center"/>
            <w:hideMark/>
          </w:tcPr>
          <w:p w14:paraId="52C5428D" w14:textId="68759191"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1.04</w:t>
            </w:r>
          </w:p>
        </w:tc>
      </w:tr>
      <w:tr w:rsidR="000C1AEE" w:rsidRPr="00B845AF" w14:paraId="49742A71" w14:textId="77777777" w:rsidTr="000C1AEE">
        <w:trPr>
          <w:jc w:val="center"/>
        </w:trPr>
        <w:tc>
          <w:tcPr>
            <w:tcW w:w="3332" w:type="dxa"/>
            <w:shd w:val="clear" w:color="auto" w:fill="FFFFFF"/>
            <w:vAlign w:val="center"/>
            <w:hideMark/>
          </w:tcPr>
          <w:p w14:paraId="605240D1"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2021-2023</w:t>
            </w:r>
            <w:r w:rsidRPr="00B845AF">
              <w:rPr>
                <w:rFonts w:asciiTheme="minorHAnsi" w:hAnsiTheme="minorHAnsi" w:cstheme="minorHAnsi"/>
                <w:lang w:val="en-US"/>
              </w:rPr>
              <w:t>/F45</w:t>
            </w:r>
            <w:r w:rsidRPr="00B845AF">
              <w:rPr>
                <w:rFonts w:asciiTheme="minorHAnsi" w:hAnsiTheme="minorHAnsi" w:cstheme="minorHAnsi"/>
                <w:vertAlign w:val="subscript"/>
                <w:lang w:val="en-US"/>
              </w:rPr>
              <w:t>%SPR</w:t>
            </w:r>
          </w:p>
        </w:tc>
        <w:tc>
          <w:tcPr>
            <w:tcW w:w="1423" w:type="dxa"/>
            <w:shd w:val="clear" w:color="auto" w:fill="FFFFFF"/>
            <w:vAlign w:val="center"/>
            <w:hideMark/>
          </w:tcPr>
          <w:p w14:paraId="4E8D7881" w14:textId="1BDE2A45" w:rsidR="000C1AEE" w:rsidRPr="00B845AF" w:rsidRDefault="000C1AEE" w:rsidP="000C1AEE">
            <w:pPr>
              <w:pStyle w:val="SCtext"/>
              <w:numPr>
                <w:ilvl w:val="0"/>
                <w:numId w:val="0"/>
              </w:numPr>
              <w:ind w:right="165"/>
              <w:jc w:val="right"/>
              <w:rPr>
                <w:rFonts w:asciiTheme="minorHAnsi" w:hAnsiTheme="minorHAnsi" w:cstheme="minorHAnsi"/>
                <w:lang w:val="en-US"/>
              </w:rPr>
            </w:pPr>
            <w:r w:rsidRPr="002D5F9F">
              <w:rPr>
                <w:rFonts w:cs="Calibri"/>
                <w:lang w:val="en-US"/>
              </w:rPr>
              <w:t>1.46</w:t>
            </w:r>
          </w:p>
        </w:tc>
        <w:tc>
          <w:tcPr>
            <w:tcW w:w="1585" w:type="dxa"/>
            <w:shd w:val="clear" w:color="auto" w:fill="FFFFFF"/>
            <w:vAlign w:val="center"/>
            <w:hideMark/>
          </w:tcPr>
          <w:p w14:paraId="2454B9E4" w14:textId="1B3F243B" w:rsidR="000C1AEE" w:rsidRPr="00B845AF" w:rsidRDefault="000C1AEE" w:rsidP="000C1AEE">
            <w:pPr>
              <w:pStyle w:val="SCtext"/>
              <w:numPr>
                <w:ilvl w:val="0"/>
                <w:numId w:val="0"/>
              </w:numPr>
              <w:ind w:right="195"/>
              <w:jc w:val="right"/>
              <w:rPr>
                <w:rFonts w:asciiTheme="minorHAnsi" w:hAnsiTheme="minorHAnsi" w:cstheme="minorHAnsi"/>
                <w:lang w:val="en-US"/>
              </w:rPr>
            </w:pPr>
            <w:r w:rsidRPr="002D5F9F">
              <w:rPr>
                <w:rFonts w:cs="Calibri"/>
                <w:lang w:val="en-US"/>
              </w:rPr>
              <w:t>1.15</w:t>
            </w:r>
          </w:p>
        </w:tc>
        <w:tc>
          <w:tcPr>
            <w:tcW w:w="1585" w:type="dxa"/>
            <w:shd w:val="clear" w:color="auto" w:fill="FFFFFF"/>
            <w:vAlign w:val="center"/>
            <w:hideMark/>
          </w:tcPr>
          <w:p w14:paraId="616C2F2D" w14:textId="05AFAF56" w:rsidR="000C1AEE" w:rsidRPr="00B845AF" w:rsidRDefault="000C1AEE" w:rsidP="000C1AEE">
            <w:pPr>
              <w:pStyle w:val="SCtext"/>
              <w:numPr>
                <w:ilvl w:val="0"/>
                <w:numId w:val="0"/>
              </w:numPr>
              <w:ind w:right="180"/>
              <w:jc w:val="right"/>
              <w:rPr>
                <w:rFonts w:asciiTheme="minorHAnsi" w:hAnsiTheme="minorHAnsi" w:cstheme="minorHAnsi"/>
                <w:lang w:val="en-US"/>
              </w:rPr>
            </w:pPr>
            <w:r w:rsidRPr="002D5F9F">
              <w:rPr>
                <w:rFonts w:cs="Calibri"/>
                <w:lang w:val="en-US"/>
              </w:rPr>
              <w:t>1.51</w:t>
            </w:r>
          </w:p>
        </w:tc>
        <w:tc>
          <w:tcPr>
            <w:tcW w:w="1585" w:type="dxa"/>
            <w:shd w:val="clear" w:color="auto" w:fill="FFFFFF"/>
            <w:vAlign w:val="center"/>
            <w:hideMark/>
          </w:tcPr>
          <w:p w14:paraId="0E5AB8E7" w14:textId="7E568CEE" w:rsidR="000C1AEE" w:rsidRPr="00B845AF" w:rsidRDefault="000C1AEE" w:rsidP="000C1AEE">
            <w:pPr>
              <w:pStyle w:val="SCtext"/>
              <w:numPr>
                <w:ilvl w:val="0"/>
                <w:numId w:val="0"/>
              </w:numPr>
              <w:ind w:right="150"/>
              <w:jc w:val="right"/>
              <w:rPr>
                <w:rFonts w:asciiTheme="minorHAnsi" w:hAnsiTheme="minorHAnsi" w:cstheme="minorHAnsi"/>
                <w:lang w:val="en-US"/>
              </w:rPr>
            </w:pPr>
            <w:r w:rsidRPr="002D5F9F">
              <w:rPr>
                <w:rFonts w:cs="Calibri"/>
                <w:lang w:val="en-US"/>
              </w:rPr>
              <w:t>1.38</w:t>
            </w:r>
          </w:p>
        </w:tc>
      </w:tr>
      <w:tr w:rsidR="000C1AEE" w:rsidRPr="00B845AF" w14:paraId="7268A545" w14:textId="77777777" w:rsidTr="000C1AEE">
        <w:trPr>
          <w:jc w:val="center"/>
        </w:trPr>
        <w:tc>
          <w:tcPr>
            <w:tcW w:w="3332"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88D178E" w14:textId="77777777" w:rsidR="000C1AEE" w:rsidRPr="00B845AF" w:rsidRDefault="000C1AEE" w:rsidP="000C1AEE">
            <w:pPr>
              <w:pStyle w:val="SCtext"/>
              <w:numPr>
                <w:ilvl w:val="0"/>
                <w:numId w:val="0"/>
              </w:numPr>
              <w:rPr>
                <w:rFonts w:asciiTheme="minorHAnsi" w:hAnsiTheme="minorHAnsi" w:cstheme="minorHAnsi"/>
                <w:lang w:val="en-US"/>
              </w:rPr>
            </w:pPr>
            <w:r w:rsidRPr="00B845AF">
              <w:rPr>
                <w:rFonts w:asciiTheme="minorHAnsi" w:hAnsiTheme="minorHAnsi" w:cstheme="minorHAnsi"/>
                <w:vertAlign w:val="superscript"/>
                <w:lang w:val="en-US"/>
              </w:rPr>
              <w:t>¶</w:t>
            </w:r>
            <w:r w:rsidRPr="00B845AF">
              <w:rPr>
                <w:rFonts w:asciiTheme="minorHAnsi" w:hAnsiTheme="minorHAnsi" w:cstheme="minorHAnsi"/>
                <w:lang w:val="en-US"/>
              </w:rPr>
              <w:t xml:space="preserve"> F</w:t>
            </w:r>
            <w:r w:rsidRPr="00B845AF">
              <w:rPr>
                <w:rFonts w:asciiTheme="minorHAnsi" w:hAnsiTheme="minorHAnsi" w:cstheme="minorHAnsi"/>
                <w:vertAlign w:val="subscript"/>
                <w:lang w:val="en-US"/>
              </w:rPr>
              <w:t>%SPR, 2021-2023</w:t>
            </w:r>
            <w:r w:rsidRPr="00B845AF">
              <w:rPr>
                <w:rFonts w:asciiTheme="minorHAnsi" w:hAnsiTheme="minorHAnsi" w:cstheme="minorHAnsi"/>
                <w:lang w:val="en-US"/>
              </w:rPr>
              <w:t>/F</w:t>
            </w:r>
            <w:r w:rsidRPr="00B845AF">
              <w:rPr>
                <w:rFonts w:asciiTheme="minorHAnsi" w:hAnsiTheme="minorHAnsi" w:cstheme="minorHAnsi"/>
                <w:vertAlign w:val="subscript"/>
                <w:lang w:val="en-US"/>
              </w:rPr>
              <w:t>%SPR, 2002-2004</w:t>
            </w:r>
          </w:p>
        </w:tc>
        <w:tc>
          <w:tcPr>
            <w:tcW w:w="1423"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27CD68A5" w14:textId="41CD0928" w:rsidR="000C1AEE" w:rsidRPr="00B845AF" w:rsidRDefault="000C1AEE" w:rsidP="000C1AEE">
            <w:pPr>
              <w:pStyle w:val="SCtext"/>
              <w:numPr>
                <w:ilvl w:val="0"/>
                <w:numId w:val="0"/>
              </w:numPr>
              <w:ind w:right="275"/>
              <w:jc w:val="right"/>
              <w:rPr>
                <w:rFonts w:asciiTheme="minorHAnsi" w:hAnsiTheme="minorHAnsi" w:cstheme="minorHAnsi"/>
                <w:lang w:val="en-US"/>
              </w:rPr>
            </w:pPr>
            <w:r w:rsidRPr="002D5F9F">
              <w:rPr>
                <w:rFonts w:cs="Calibri"/>
                <w:lang w:val="en-US"/>
              </w:rPr>
              <w:t>1.87</w:t>
            </w:r>
          </w:p>
        </w:tc>
        <w:tc>
          <w:tcPr>
            <w:tcW w:w="1585"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E34556A" w14:textId="7BF84A73" w:rsidR="000C1AEE" w:rsidRPr="00B845AF" w:rsidRDefault="000C1AEE" w:rsidP="000C1AEE">
            <w:pPr>
              <w:pStyle w:val="SCtext"/>
              <w:numPr>
                <w:ilvl w:val="0"/>
                <w:numId w:val="0"/>
              </w:numPr>
              <w:ind w:right="330"/>
              <w:jc w:val="right"/>
              <w:rPr>
                <w:rFonts w:asciiTheme="minorHAnsi" w:hAnsiTheme="minorHAnsi" w:cstheme="minorHAnsi"/>
                <w:lang w:val="en-US"/>
              </w:rPr>
            </w:pPr>
            <w:r w:rsidRPr="002D5F9F">
              <w:rPr>
                <w:rFonts w:cs="Calibri"/>
                <w:lang w:val="en-US"/>
              </w:rPr>
              <w:t>2.13</w:t>
            </w:r>
          </w:p>
        </w:tc>
        <w:tc>
          <w:tcPr>
            <w:tcW w:w="1585"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08BD8453" w14:textId="4C7E3830" w:rsidR="000C1AEE" w:rsidRPr="00B845AF" w:rsidRDefault="000C1AEE" w:rsidP="000C1AEE">
            <w:pPr>
              <w:pStyle w:val="SCtext"/>
              <w:numPr>
                <w:ilvl w:val="0"/>
                <w:numId w:val="0"/>
              </w:numPr>
              <w:ind w:right="290"/>
              <w:jc w:val="right"/>
              <w:rPr>
                <w:rFonts w:asciiTheme="minorHAnsi" w:hAnsiTheme="minorHAnsi" w:cstheme="minorHAnsi"/>
                <w:lang w:val="en-US"/>
              </w:rPr>
            </w:pPr>
            <w:r w:rsidRPr="002D5F9F">
              <w:rPr>
                <w:rFonts w:cs="Calibri"/>
                <w:lang w:val="en-US"/>
              </w:rPr>
              <w:t>1.78</w:t>
            </w:r>
          </w:p>
        </w:tc>
        <w:tc>
          <w:tcPr>
            <w:tcW w:w="1585" w:type="dxa"/>
            <w:tcBorders>
              <w:top w:val="nil"/>
              <w:left w:val="nil"/>
              <w:bottom w:val="single" w:sz="12" w:space="0" w:color="666666"/>
              <w:right w:val="nil"/>
            </w:tcBorders>
            <w:shd w:val="clear" w:color="auto" w:fill="FFFFFF"/>
            <w:tcMar>
              <w:top w:w="0" w:type="dxa"/>
              <w:left w:w="0" w:type="dxa"/>
              <w:bottom w:w="0" w:type="dxa"/>
              <w:right w:w="0" w:type="dxa"/>
            </w:tcMar>
            <w:vAlign w:val="center"/>
            <w:hideMark/>
          </w:tcPr>
          <w:p w14:paraId="698A1C32" w14:textId="73AC92DB" w:rsidR="000C1AEE" w:rsidRPr="00B845AF" w:rsidRDefault="000C1AEE" w:rsidP="000C1AEE">
            <w:pPr>
              <w:pStyle w:val="SCtext"/>
              <w:numPr>
                <w:ilvl w:val="0"/>
                <w:numId w:val="0"/>
              </w:numPr>
              <w:ind w:right="260"/>
              <w:jc w:val="right"/>
              <w:rPr>
                <w:rFonts w:asciiTheme="minorHAnsi" w:hAnsiTheme="minorHAnsi" w:cstheme="minorHAnsi"/>
                <w:lang w:val="en-US"/>
              </w:rPr>
            </w:pPr>
            <w:r w:rsidRPr="002D5F9F">
              <w:rPr>
                <w:rFonts w:cs="Calibri"/>
                <w:lang w:val="en-US"/>
              </w:rPr>
              <w:t>1.95</w:t>
            </w:r>
          </w:p>
        </w:tc>
      </w:tr>
    </w:tbl>
    <w:p w14:paraId="3399329E" w14:textId="7C78259F" w:rsidR="0011022F" w:rsidRPr="00B845AF" w:rsidRDefault="0011022F" w:rsidP="0011022F">
      <w:pPr>
        <w:pStyle w:val="SCtext"/>
        <w:numPr>
          <w:ilvl w:val="0"/>
          <w:numId w:val="0"/>
        </w:numPr>
        <w:rPr>
          <w:rFonts w:asciiTheme="minorHAnsi" w:hAnsiTheme="minorHAnsi" w:cstheme="minorHAnsi"/>
          <w:lang w:val="en-US"/>
        </w:rPr>
      </w:pPr>
    </w:p>
    <w:p w14:paraId="28484B7C" w14:textId="77777777" w:rsidR="0011022F" w:rsidRPr="00B845AF" w:rsidRDefault="0011022F">
      <w:pPr>
        <w:rPr>
          <w:rFonts w:asciiTheme="minorHAnsi" w:eastAsiaTheme="minorEastAsia" w:hAnsiTheme="minorHAnsi" w:cstheme="minorHAnsi"/>
          <w:szCs w:val="22"/>
          <w:lang w:eastAsia="ko-KR"/>
        </w:rPr>
      </w:pPr>
      <w:r w:rsidRPr="00B845AF">
        <w:rPr>
          <w:rFonts w:asciiTheme="minorHAnsi" w:hAnsiTheme="minorHAnsi" w:cstheme="minorHAnsi"/>
        </w:rPr>
        <w:br w:type="page"/>
      </w:r>
    </w:p>
    <w:p w14:paraId="733B33E1" w14:textId="77777777" w:rsidR="009A4F45" w:rsidRDefault="009A4F45" w:rsidP="0011022F">
      <w:pPr>
        <w:pStyle w:val="SCtext"/>
        <w:numPr>
          <w:ilvl w:val="0"/>
          <w:numId w:val="0"/>
        </w:numPr>
        <w:rPr>
          <w:rFonts w:asciiTheme="minorHAnsi" w:hAnsiTheme="minorHAnsi" w:cstheme="minorHAnsi"/>
          <w:b/>
          <w:bCs/>
          <w:lang w:val="en-US"/>
        </w:rPr>
        <w:sectPr w:rsidR="009A4F45" w:rsidSect="00F14811">
          <w:headerReference w:type="even" r:id="rId43"/>
          <w:headerReference w:type="first" r:id="rId44"/>
          <w:pgSz w:w="12240" w:h="15840" w:code="1"/>
          <w:pgMar w:top="1440" w:right="1440" w:bottom="1440" w:left="1440" w:header="720" w:footer="720" w:gutter="0"/>
          <w:cols w:space="720"/>
        </w:sectPr>
      </w:pPr>
    </w:p>
    <w:p w14:paraId="17379644" w14:textId="1D48C9C4"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lastRenderedPageBreak/>
        <w:t xml:space="preserve">Table </w:t>
      </w:r>
      <w:r w:rsidR="00271DB1" w:rsidRPr="00B845AF">
        <w:rPr>
          <w:rFonts w:asciiTheme="minorHAnsi" w:eastAsia="MS Mincho" w:hAnsiTheme="minorHAnsi" w:cstheme="minorHAnsi"/>
          <w:b/>
          <w:bCs/>
          <w:lang w:val="en-US" w:eastAsia="ja-JP"/>
        </w:rPr>
        <w:t>A</w:t>
      </w:r>
      <w:r w:rsidRPr="00B845AF">
        <w:rPr>
          <w:rFonts w:asciiTheme="minorHAnsi" w:hAnsiTheme="minorHAnsi" w:cstheme="minorHAnsi"/>
          <w:b/>
          <w:bCs/>
          <w:lang w:val="en-US"/>
        </w:rPr>
        <w:t>-04</w:t>
      </w:r>
      <w:r w:rsidRPr="00B845AF">
        <w:rPr>
          <w:rFonts w:asciiTheme="minorHAnsi" w:hAnsiTheme="minorHAnsi" w:cstheme="minorHAnsi"/>
          <w:lang w:val="en-US"/>
        </w:rPr>
        <w:t xml:space="preserve">. Summary of reference points for the 2026 </w:t>
      </w:r>
      <w:r w:rsidR="009A3BBD" w:rsidRPr="00B845AF">
        <w:rPr>
          <w:rFonts w:asciiTheme="minorHAnsi" w:hAnsiTheme="minorHAnsi" w:cstheme="minorHAnsi"/>
          <w:lang w:val="en-US"/>
        </w:rPr>
        <w:t>North Pacific</w:t>
      </w:r>
      <w:r w:rsidRPr="00B845AF">
        <w:rPr>
          <w:rFonts w:asciiTheme="minorHAnsi" w:hAnsiTheme="minorHAnsi" w:cstheme="minorHAnsi"/>
          <w:lang w:val="en-US"/>
        </w:rPr>
        <w:t xml:space="preserve"> albacore tuna (</w:t>
      </w:r>
      <w:r w:rsidRPr="00B845AF">
        <w:rPr>
          <w:rFonts w:asciiTheme="minorHAnsi" w:hAnsiTheme="minorHAnsi" w:cstheme="minorHAnsi"/>
          <w:i/>
          <w:iCs/>
          <w:lang w:val="en-US"/>
        </w:rPr>
        <w:t>Thunnus alalunga</w:t>
      </w:r>
      <w:r w:rsidRPr="00B845AF">
        <w:rPr>
          <w:rFonts w:asciiTheme="minorHAnsi" w:hAnsiTheme="minorHAnsi" w:cstheme="minorHAnsi"/>
          <w:lang w:val="en-US"/>
        </w:rPr>
        <w:t>) stock assessment.</w:t>
      </w:r>
    </w:p>
    <w:tbl>
      <w:tblPr>
        <w:tblW w:w="0" w:type="auto"/>
        <w:tblLayout w:type="fixed"/>
        <w:tblLook w:val="04A0" w:firstRow="1" w:lastRow="0" w:firstColumn="1" w:lastColumn="0" w:noHBand="0" w:noVBand="1"/>
      </w:tblPr>
      <w:tblGrid>
        <w:gridCol w:w="2245"/>
        <w:gridCol w:w="2340"/>
        <w:gridCol w:w="3420"/>
        <w:gridCol w:w="4945"/>
      </w:tblGrid>
      <w:tr w:rsidR="00FE1374" w:rsidRPr="00B845AF" w14:paraId="66BBC028" w14:textId="77777777" w:rsidTr="00835632">
        <w:trPr>
          <w:trHeight w:val="300"/>
        </w:trPr>
        <w:tc>
          <w:tcPr>
            <w:tcW w:w="2245" w:type="dxa"/>
            <w:tcBorders>
              <w:top w:val="single" w:sz="4" w:space="0" w:color="auto"/>
              <w:left w:val="single" w:sz="4" w:space="0" w:color="auto"/>
              <w:bottom w:val="single" w:sz="4" w:space="0" w:color="auto"/>
              <w:right w:val="single" w:sz="4" w:space="0" w:color="auto"/>
            </w:tcBorders>
            <w:noWrap/>
            <w:vAlign w:val="bottom"/>
            <w:hideMark/>
          </w:tcPr>
          <w:p w14:paraId="4A8C7164"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Terminal Year: 2024</w:t>
            </w:r>
          </w:p>
        </w:tc>
        <w:tc>
          <w:tcPr>
            <w:tcW w:w="2340" w:type="dxa"/>
            <w:tcBorders>
              <w:top w:val="single" w:sz="4" w:space="0" w:color="auto"/>
              <w:left w:val="nil"/>
              <w:bottom w:val="single" w:sz="4" w:space="0" w:color="auto"/>
              <w:right w:val="single" w:sz="4" w:space="0" w:color="auto"/>
            </w:tcBorders>
            <w:noWrap/>
            <w:vAlign w:val="center"/>
            <w:hideMark/>
          </w:tcPr>
          <w:p w14:paraId="08E6D622"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Biomass</w:t>
            </w:r>
          </w:p>
        </w:tc>
        <w:tc>
          <w:tcPr>
            <w:tcW w:w="3420" w:type="dxa"/>
            <w:tcBorders>
              <w:top w:val="single" w:sz="4" w:space="0" w:color="auto"/>
              <w:left w:val="nil"/>
              <w:bottom w:val="single" w:sz="4" w:space="0" w:color="auto"/>
              <w:right w:val="single" w:sz="4" w:space="0" w:color="auto"/>
            </w:tcBorders>
            <w:noWrap/>
            <w:vAlign w:val="center"/>
            <w:hideMark/>
          </w:tcPr>
          <w:p w14:paraId="1AB190CC"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Virtually Certain (&gt;99%) to be above target</w:t>
            </w:r>
          </w:p>
        </w:tc>
        <w:tc>
          <w:tcPr>
            <w:tcW w:w="4945" w:type="dxa"/>
            <w:tcBorders>
              <w:top w:val="single" w:sz="4" w:space="0" w:color="auto"/>
              <w:left w:val="nil"/>
              <w:bottom w:val="single" w:sz="4" w:space="0" w:color="auto"/>
              <w:right w:val="single" w:sz="4" w:space="0" w:color="auto"/>
            </w:tcBorders>
            <w:noWrap/>
            <w:vAlign w:val="center"/>
            <w:hideMark/>
          </w:tcPr>
          <w:p w14:paraId="290CAFA9"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Stock is not overfished</w:t>
            </w:r>
          </w:p>
        </w:tc>
      </w:tr>
      <w:tr w:rsidR="00FE1374" w:rsidRPr="00B845AF" w14:paraId="76BAB9A4" w14:textId="77777777" w:rsidTr="00835632">
        <w:trPr>
          <w:trHeight w:val="300"/>
        </w:trPr>
        <w:tc>
          <w:tcPr>
            <w:tcW w:w="2245" w:type="dxa"/>
            <w:tcBorders>
              <w:top w:val="nil"/>
              <w:left w:val="single" w:sz="4" w:space="0" w:color="auto"/>
              <w:bottom w:val="single" w:sz="4" w:space="0" w:color="auto"/>
              <w:right w:val="single" w:sz="4" w:space="0" w:color="auto"/>
            </w:tcBorders>
            <w:noWrap/>
            <w:vAlign w:val="bottom"/>
            <w:hideMark/>
          </w:tcPr>
          <w:p w14:paraId="4BC7AF99"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46A85E18"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Fishing Mortality</w:t>
            </w:r>
          </w:p>
        </w:tc>
        <w:tc>
          <w:tcPr>
            <w:tcW w:w="3420" w:type="dxa"/>
            <w:tcBorders>
              <w:top w:val="nil"/>
              <w:left w:val="nil"/>
              <w:bottom w:val="single" w:sz="4" w:space="0" w:color="auto"/>
              <w:right w:val="single" w:sz="4" w:space="0" w:color="auto"/>
            </w:tcBorders>
            <w:noWrap/>
            <w:vAlign w:val="center"/>
            <w:hideMark/>
          </w:tcPr>
          <w:p w14:paraId="442E8C92"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Virtually Certain (&gt;99%) to be above target</w:t>
            </w:r>
          </w:p>
        </w:tc>
        <w:tc>
          <w:tcPr>
            <w:tcW w:w="4945" w:type="dxa"/>
            <w:tcBorders>
              <w:top w:val="nil"/>
              <w:left w:val="nil"/>
              <w:bottom w:val="single" w:sz="4" w:space="0" w:color="auto"/>
              <w:right w:val="single" w:sz="4" w:space="0" w:color="auto"/>
            </w:tcBorders>
            <w:noWrap/>
            <w:vAlign w:val="center"/>
            <w:hideMark/>
          </w:tcPr>
          <w:p w14:paraId="48D38C50"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Overfishing is not occurring</w:t>
            </w:r>
          </w:p>
        </w:tc>
      </w:tr>
      <w:tr w:rsidR="00FE1374" w:rsidRPr="00B845AF" w14:paraId="05D1287C" w14:textId="77777777" w:rsidTr="00835632">
        <w:trPr>
          <w:trHeight w:val="300"/>
        </w:trPr>
        <w:tc>
          <w:tcPr>
            <w:tcW w:w="2245" w:type="dxa"/>
            <w:tcBorders>
              <w:top w:val="nil"/>
              <w:left w:val="single" w:sz="4" w:space="0" w:color="auto"/>
              <w:bottom w:val="single" w:sz="4" w:space="0" w:color="auto"/>
              <w:right w:val="single" w:sz="4" w:space="0" w:color="auto"/>
            </w:tcBorders>
            <w:noWrap/>
            <w:vAlign w:val="bottom"/>
            <w:hideMark/>
          </w:tcPr>
          <w:p w14:paraId="7470CDF3"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2699C968"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Projections</w:t>
            </w:r>
          </w:p>
        </w:tc>
        <w:tc>
          <w:tcPr>
            <w:tcW w:w="3420" w:type="dxa"/>
            <w:tcBorders>
              <w:top w:val="nil"/>
              <w:left w:val="nil"/>
              <w:bottom w:val="single" w:sz="4" w:space="0" w:color="auto"/>
              <w:right w:val="single" w:sz="4" w:space="0" w:color="auto"/>
            </w:tcBorders>
            <w:noWrap/>
            <w:vAlign w:val="center"/>
            <w:hideMark/>
          </w:tcPr>
          <w:p w14:paraId="74D0646F"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xml:space="preserve">SSB </w:t>
            </w:r>
            <w:proofErr w:type="gramStart"/>
            <w:r w:rsidRPr="00B845AF">
              <w:rPr>
                <w:rFonts w:asciiTheme="minorHAnsi" w:hAnsiTheme="minorHAnsi" w:cstheme="minorHAnsi"/>
                <w:lang w:val="en-US"/>
              </w:rPr>
              <w:t>virtually</w:t>
            </w:r>
            <w:proofErr w:type="gramEnd"/>
            <w:r w:rsidRPr="00B845AF">
              <w:rPr>
                <w:rFonts w:asciiTheme="minorHAnsi" w:hAnsiTheme="minorHAnsi" w:cstheme="minorHAnsi"/>
                <w:lang w:val="en-US"/>
              </w:rPr>
              <w:t xml:space="preserve"> certain (&gt;99%) to remain above limit reference point</w:t>
            </w:r>
          </w:p>
        </w:tc>
        <w:tc>
          <w:tcPr>
            <w:tcW w:w="4945" w:type="dxa"/>
            <w:tcBorders>
              <w:top w:val="nil"/>
              <w:left w:val="nil"/>
              <w:bottom w:val="single" w:sz="4" w:space="0" w:color="auto"/>
              <w:right w:val="single" w:sz="4" w:space="0" w:color="auto"/>
            </w:tcBorders>
            <w:noWrap/>
            <w:vAlign w:val="center"/>
            <w:hideMark/>
          </w:tcPr>
          <w:p w14:paraId="79A9E55D"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Stock unlikely (&lt;40%) to be overfished at current catch levels</w:t>
            </w:r>
          </w:p>
        </w:tc>
      </w:tr>
      <w:tr w:rsidR="00FE1374" w:rsidRPr="00B845AF" w14:paraId="4BBD251C" w14:textId="77777777" w:rsidTr="00835632">
        <w:trPr>
          <w:trHeight w:val="300"/>
        </w:trPr>
        <w:tc>
          <w:tcPr>
            <w:tcW w:w="2245" w:type="dxa"/>
            <w:tcBorders>
              <w:top w:val="nil"/>
              <w:left w:val="single" w:sz="4" w:space="0" w:color="auto"/>
              <w:bottom w:val="single" w:sz="4" w:space="0" w:color="auto"/>
              <w:right w:val="single" w:sz="4" w:space="0" w:color="auto"/>
            </w:tcBorders>
            <w:noWrap/>
            <w:vAlign w:val="bottom"/>
            <w:hideMark/>
          </w:tcPr>
          <w:p w14:paraId="440ACEB9"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c>
          <w:tcPr>
            <w:tcW w:w="2340" w:type="dxa"/>
            <w:tcBorders>
              <w:top w:val="nil"/>
              <w:left w:val="nil"/>
              <w:bottom w:val="single" w:sz="4" w:space="0" w:color="auto"/>
              <w:right w:val="single" w:sz="4" w:space="0" w:color="auto"/>
            </w:tcBorders>
            <w:noWrap/>
            <w:vAlign w:val="center"/>
            <w:hideMark/>
          </w:tcPr>
          <w:p w14:paraId="6DA97974"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Recommendation</w:t>
            </w:r>
          </w:p>
        </w:tc>
        <w:tc>
          <w:tcPr>
            <w:tcW w:w="3420" w:type="dxa"/>
            <w:tcBorders>
              <w:top w:val="nil"/>
              <w:left w:val="nil"/>
              <w:bottom w:val="single" w:sz="4" w:space="0" w:color="auto"/>
              <w:right w:val="single" w:sz="4" w:space="0" w:color="auto"/>
            </w:tcBorders>
            <w:noWrap/>
            <w:vAlign w:val="center"/>
            <w:hideMark/>
          </w:tcPr>
          <w:p w14:paraId="19A546B6"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No action required to maintain stock above limit reference point</w:t>
            </w:r>
          </w:p>
        </w:tc>
        <w:tc>
          <w:tcPr>
            <w:tcW w:w="4945" w:type="dxa"/>
            <w:tcBorders>
              <w:top w:val="nil"/>
              <w:left w:val="nil"/>
              <w:bottom w:val="single" w:sz="4" w:space="0" w:color="auto"/>
              <w:right w:val="single" w:sz="4" w:space="0" w:color="auto"/>
            </w:tcBorders>
            <w:noWrap/>
            <w:vAlign w:val="center"/>
            <w:hideMark/>
          </w:tcPr>
          <w:p w14:paraId="7496796C"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r>
      <w:tr w:rsidR="00FE1374" w:rsidRPr="00B845AF" w14:paraId="21F14ADA" w14:textId="77777777" w:rsidTr="00835632">
        <w:trPr>
          <w:trHeight w:val="300"/>
        </w:trPr>
        <w:tc>
          <w:tcPr>
            <w:tcW w:w="2245" w:type="dxa"/>
            <w:tcBorders>
              <w:top w:val="nil"/>
              <w:left w:val="single" w:sz="4" w:space="0" w:color="auto"/>
              <w:bottom w:val="single" w:sz="4" w:space="0" w:color="auto"/>
              <w:right w:val="single" w:sz="4" w:space="0" w:color="auto"/>
            </w:tcBorders>
            <w:noWrap/>
            <w:vAlign w:val="bottom"/>
            <w:hideMark/>
          </w:tcPr>
          <w:p w14:paraId="32458D32"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Reference Points/Management Procedure</w:t>
            </w:r>
          </w:p>
        </w:tc>
        <w:tc>
          <w:tcPr>
            <w:tcW w:w="2340" w:type="dxa"/>
            <w:tcBorders>
              <w:top w:val="nil"/>
              <w:left w:val="nil"/>
              <w:bottom w:val="single" w:sz="4" w:space="0" w:color="auto"/>
              <w:right w:val="single" w:sz="4" w:space="0" w:color="auto"/>
            </w:tcBorders>
            <w:noWrap/>
            <w:vAlign w:val="center"/>
            <w:hideMark/>
          </w:tcPr>
          <w:p w14:paraId="314691D4"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 Reference point</w:t>
            </w:r>
          </w:p>
        </w:tc>
        <w:tc>
          <w:tcPr>
            <w:tcW w:w="3420" w:type="dxa"/>
            <w:tcBorders>
              <w:top w:val="nil"/>
              <w:left w:val="nil"/>
              <w:bottom w:val="single" w:sz="4" w:space="0" w:color="auto"/>
              <w:right w:val="single" w:sz="4" w:space="0" w:color="auto"/>
            </w:tcBorders>
            <w:noWrap/>
            <w:vAlign w:val="center"/>
            <w:hideMark/>
          </w:tcPr>
          <w:p w14:paraId="7B55439C"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Estimate [5%-95%]</w:t>
            </w:r>
          </w:p>
        </w:tc>
        <w:tc>
          <w:tcPr>
            <w:tcW w:w="4945" w:type="dxa"/>
            <w:tcBorders>
              <w:top w:val="nil"/>
              <w:left w:val="nil"/>
              <w:bottom w:val="single" w:sz="4" w:space="0" w:color="auto"/>
              <w:right w:val="single" w:sz="4" w:space="0" w:color="auto"/>
            </w:tcBorders>
            <w:noWrap/>
            <w:vAlign w:val="center"/>
            <w:hideMark/>
          </w:tcPr>
          <w:p w14:paraId="110FB076"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Comment</w:t>
            </w:r>
          </w:p>
        </w:tc>
      </w:tr>
      <w:tr w:rsidR="00FE1374" w:rsidRPr="00B845AF" w14:paraId="0A1BADD5" w14:textId="77777777" w:rsidTr="00835632">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40D15893"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3A3FCEE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30%</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3CF1430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41,933 mt [33,967-49,899]</w:t>
            </w:r>
          </w:p>
        </w:tc>
        <w:tc>
          <w:tcPr>
            <w:tcW w:w="4945" w:type="dxa"/>
            <w:tcBorders>
              <w:top w:val="nil"/>
              <w:left w:val="nil"/>
              <w:bottom w:val="single" w:sz="4" w:space="0" w:color="auto"/>
              <w:right w:val="single" w:sz="4" w:space="0" w:color="auto"/>
            </w:tcBorders>
            <w:noWrap/>
            <w:vAlign w:val="center"/>
            <w:hideMark/>
          </w:tcPr>
          <w:p w14:paraId="0EA5CFA5"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Threshold reference point</w:t>
            </w:r>
          </w:p>
        </w:tc>
      </w:tr>
      <w:tr w:rsidR="00FE1374" w:rsidRPr="00B845AF" w14:paraId="55F8D451" w14:textId="77777777" w:rsidTr="00835632">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62E88364"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0D058A5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289809FD"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19,569 mt [15,851-23,286]</w:t>
            </w:r>
          </w:p>
        </w:tc>
        <w:tc>
          <w:tcPr>
            <w:tcW w:w="4945" w:type="dxa"/>
            <w:tcBorders>
              <w:top w:val="nil"/>
              <w:left w:val="nil"/>
              <w:bottom w:val="single" w:sz="4" w:space="0" w:color="auto"/>
              <w:right w:val="single" w:sz="4" w:space="0" w:color="auto"/>
            </w:tcBorders>
            <w:noWrap/>
            <w:vAlign w:val="center"/>
            <w:hideMark/>
          </w:tcPr>
          <w:p w14:paraId="6BC3EA1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Limit reference point</w:t>
            </w:r>
          </w:p>
        </w:tc>
      </w:tr>
      <w:tr w:rsidR="00FE1374" w:rsidRPr="00B845AF" w14:paraId="674DBB31"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45F5FE6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092E244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MSY</w:t>
            </w:r>
          </w:p>
        </w:tc>
        <w:tc>
          <w:tcPr>
            <w:tcW w:w="3420" w:type="dxa"/>
            <w:tcBorders>
              <w:top w:val="nil"/>
              <w:left w:val="nil"/>
              <w:bottom w:val="single" w:sz="4" w:space="0" w:color="auto"/>
              <w:right w:val="single" w:sz="4" w:space="0" w:color="auto"/>
            </w:tcBorders>
            <w:noWrap/>
            <w:vAlign w:val="center"/>
            <w:hideMark/>
          </w:tcPr>
          <w:p w14:paraId="4A33076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106,578 mt [86,192-127,027]</w:t>
            </w:r>
          </w:p>
        </w:tc>
        <w:tc>
          <w:tcPr>
            <w:tcW w:w="4945" w:type="dxa"/>
            <w:tcBorders>
              <w:top w:val="nil"/>
              <w:left w:val="nil"/>
              <w:bottom w:val="single" w:sz="4" w:space="0" w:color="auto"/>
              <w:right w:val="single" w:sz="4" w:space="0" w:color="auto"/>
            </w:tcBorders>
            <w:noWrap/>
            <w:vAlign w:val="center"/>
            <w:hideMark/>
          </w:tcPr>
          <w:p w14:paraId="22B07A3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r>
      <w:tr w:rsidR="00FE1374" w:rsidRPr="00B845AF" w14:paraId="790AF946"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2C132284"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Fishing Mortality</w:t>
            </w:r>
          </w:p>
          <w:p w14:paraId="751FE204"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(Fishing Intensity)</w:t>
            </w:r>
          </w:p>
        </w:tc>
        <w:tc>
          <w:tcPr>
            <w:tcW w:w="2340" w:type="dxa"/>
            <w:tcBorders>
              <w:top w:val="nil"/>
              <w:left w:val="nil"/>
              <w:bottom w:val="single" w:sz="4" w:space="0" w:color="auto"/>
              <w:right w:val="single" w:sz="4" w:space="0" w:color="auto"/>
            </w:tcBorders>
            <w:noWrap/>
            <w:vAlign w:val="center"/>
            <w:hideMark/>
          </w:tcPr>
          <w:p w14:paraId="632E98E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F45%SPR</w:t>
            </w:r>
          </w:p>
        </w:tc>
        <w:tc>
          <w:tcPr>
            <w:tcW w:w="3420" w:type="dxa"/>
            <w:tcBorders>
              <w:top w:val="nil"/>
              <w:left w:val="nil"/>
              <w:bottom w:val="single" w:sz="4" w:space="0" w:color="auto"/>
              <w:right w:val="single" w:sz="4" w:space="0" w:color="auto"/>
            </w:tcBorders>
            <w:noWrap/>
            <w:vAlign w:val="center"/>
            <w:hideMark/>
          </w:tcPr>
          <w:p w14:paraId="0DACD40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45%SPR</w:t>
            </w:r>
          </w:p>
        </w:tc>
        <w:tc>
          <w:tcPr>
            <w:tcW w:w="4945" w:type="dxa"/>
            <w:tcBorders>
              <w:top w:val="nil"/>
              <w:left w:val="nil"/>
              <w:bottom w:val="single" w:sz="4" w:space="0" w:color="auto"/>
              <w:right w:val="single" w:sz="4" w:space="0" w:color="auto"/>
            </w:tcBorders>
            <w:noWrap/>
            <w:vAlign w:val="center"/>
            <w:hideMark/>
          </w:tcPr>
          <w:p w14:paraId="3A4EB88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Defined SPR-based reference point; Fishing intensity</w:t>
            </w:r>
          </w:p>
        </w:tc>
      </w:tr>
      <w:tr w:rsidR="00FE1374" w:rsidRPr="00B845AF" w14:paraId="707FA252" w14:textId="77777777" w:rsidTr="00835632">
        <w:trPr>
          <w:trHeight w:val="300"/>
        </w:trPr>
        <w:tc>
          <w:tcPr>
            <w:tcW w:w="8005" w:type="dxa"/>
            <w:gridSpan w:val="3"/>
            <w:tcBorders>
              <w:top w:val="single" w:sz="4" w:space="0" w:color="auto"/>
              <w:left w:val="single" w:sz="4" w:space="0" w:color="auto"/>
              <w:bottom w:val="single" w:sz="4" w:space="0" w:color="auto"/>
              <w:right w:val="single" w:sz="4" w:space="0" w:color="auto"/>
            </w:tcBorders>
            <w:noWrap/>
            <w:vAlign w:val="center"/>
            <w:hideMark/>
          </w:tcPr>
          <w:p w14:paraId="3509DC87"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Recent Estimates</w:t>
            </w:r>
          </w:p>
        </w:tc>
        <w:tc>
          <w:tcPr>
            <w:tcW w:w="4945" w:type="dxa"/>
            <w:tcBorders>
              <w:top w:val="single" w:sz="4" w:space="0" w:color="auto"/>
              <w:left w:val="nil"/>
              <w:bottom w:val="single" w:sz="4" w:space="0" w:color="auto"/>
              <w:right w:val="single" w:sz="4" w:space="0" w:color="auto"/>
            </w:tcBorders>
            <w:noWrap/>
            <w:vAlign w:val="center"/>
            <w:hideMark/>
          </w:tcPr>
          <w:p w14:paraId="565E08AC"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Recent Trend/projection</w:t>
            </w:r>
          </w:p>
        </w:tc>
      </w:tr>
      <w:tr w:rsidR="00FE1374" w:rsidRPr="00B845AF" w14:paraId="7B238878"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6B831CF2"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1FFA652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64085386"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84,209 mt [49,547 – 96,362]</w:t>
            </w:r>
          </w:p>
        </w:tc>
        <w:tc>
          <w:tcPr>
            <w:tcW w:w="4945" w:type="dxa"/>
            <w:tcBorders>
              <w:top w:val="nil"/>
              <w:left w:val="nil"/>
              <w:bottom w:val="single" w:sz="4" w:space="0" w:color="auto"/>
              <w:right w:val="single" w:sz="4" w:space="0" w:color="auto"/>
            </w:tcBorders>
            <w:noWrap/>
            <w:vAlign w:val="center"/>
            <w:hideMark/>
          </w:tcPr>
          <w:p w14:paraId="2E793644" w14:textId="77777777" w:rsidR="00FE1374" w:rsidRPr="00B845AF" w:rsidRDefault="00FE1374" w:rsidP="0011022F">
            <w:pPr>
              <w:pStyle w:val="SCtext"/>
              <w:numPr>
                <w:ilvl w:val="0"/>
                <w:numId w:val="0"/>
              </w:numPr>
              <w:rPr>
                <w:rFonts w:asciiTheme="minorHAnsi" w:hAnsiTheme="minorHAnsi" w:cstheme="minorHAnsi"/>
                <w:lang w:val="en-US"/>
              </w:rPr>
            </w:pPr>
            <w:proofErr w:type="spellStart"/>
            <w:r w:rsidRPr="00B845AF">
              <w:rPr>
                <w:rFonts w:asciiTheme="minorHAnsi" w:hAnsiTheme="minorHAnsi" w:cstheme="minorHAnsi"/>
                <w:lang w:val="en-US"/>
              </w:rPr>
              <w:t>SSB</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increasing</w:t>
            </w:r>
          </w:p>
        </w:tc>
      </w:tr>
      <w:tr w:rsidR="00FE1374" w:rsidRPr="00B845AF" w14:paraId="624595E0" w14:textId="77777777" w:rsidTr="00835632">
        <w:trPr>
          <w:trHeight w:val="300"/>
        </w:trPr>
        <w:tc>
          <w:tcPr>
            <w:tcW w:w="2245" w:type="dxa"/>
            <w:vMerge w:val="restart"/>
            <w:tcBorders>
              <w:top w:val="single" w:sz="4" w:space="0" w:color="auto"/>
              <w:left w:val="single" w:sz="4" w:space="0" w:color="auto"/>
              <w:bottom w:val="single" w:sz="4" w:space="0" w:color="000000"/>
              <w:right w:val="single" w:sz="4" w:space="0" w:color="auto"/>
            </w:tcBorders>
            <w:vAlign w:val="center"/>
            <w:hideMark/>
          </w:tcPr>
          <w:p w14:paraId="1D376586"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Depletion</w:t>
            </w:r>
          </w:p>
        </w:tc>
        <w:tc>
          <w:tcPr>
            <w:tcW w:w="2340" w:type="dxa"/>
            <w:tcBorders>
              <w:top w:val="nil"/>
              <w:left w:val="nil"/>
              <w:bottom w:val="single" w:sz="4" w:space="0" w:color="auto"/>
              <w:right w:val="single" w:sz="4" w:space="0" w:color="auto"/>
            </w:tcBorders>
            <w:noWrap/>
            <w:vAlign w:val="center"/>
            <w:hideMark/>
          </w:tcPr>
          <w:p w14:paraId="713E77F4"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048CC74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0.60 [0.38 – 0.83]</w:t>
            </w:r>
          </w:p>
        </w:tc>
        <w:tc>
          <w:tcPr>
            <w:tcW w:w="4945" w:type="dxa"/>
            <w:tcBorders>
              <w:top w:val="nil"/>
              <w:left w:val="nil"/>
              <w:bottom w:val="single" w:sz="4" w:space="0" w:color="auto"/>
              <w:right w:val="single" w:sz="4" w:space="0" w:color="auto"/>
            </w:tcBorders>
            <w:noWrap/>
            <w:vAlign w:val="center"/>
            <w:hideMark/>
          </w:tcPr>
          <w:p w14:paraId="27C5972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Moderate depletion</w:t>
            </w:r>
          </w:p>
        </w:tc>
      </w:tr>
      <w:tr w:rsidR="00FE1374" w:rsidRPr="00B845AF" w14:paraId="43D1DA20" w14:textId="77777777" w:rsidTr="00835632">
        <w:trPr>
          <w:trHeight w:val="300"/>
        </w:trPr>
        <w:tc>
          <w:tcPr>
            <w:tcW w:w="2245" w:type="dxa"/>
            <w:vMerge/>
            <w:tcBorders>
              <w:top w:val="single" w:sz="4" w:space="0" w:color="auto"/>
              <w:left w:val="single" w:sz="4" w:space="0" w:color="auto"/>
              <w:bottom w:val="single" w:sz="4" w:space="0" w:color="000000"/>
              <w:right w:val="single" w:sz="4" w:space="0" w:color="auto"/>
            </w:tcBorders>
            <w:vAlign w:val="center"/>
            <w:hideMark/>
          </w:tcPr>
          <w:p w14:paraId="2293AE3C"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168FF0F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/30%</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2B1B096C"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2.01 [1.26 – 2.76]</w:t>
            </w:r>
          </w:p>
        </w:tc>
        <w:tc>
          <w:tcPr>
            <w:tcW w:w="4945" w:type="dxa"/>
            <w:tcBorders>
              <w:top w:val="nil"/>
              <w:left w:val="nil"/>
              <w:bottom w:val="single" w:sz="4" w:space="0" w:color="auto"/>
              <w:right w:val="single" w:sz="4" w:space="0" w:color="auto"/>
            </w:tcBorders>
            <w:noWrap/>
            <w:vAlign w:val="center"/>
            <w:hideMark/>
          </w:tcPr>
          <w:p w14:paraId="47452CB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Well above threshold</w:t>
            </w:r>
          </w:p>
        </w:tc>
      </w:tr>
      <w:tr w:rsidR="00FE1374" w:rsidRPr="00B845AF" w14:paraId="31D4135E" w14:textId="77777777" w:rsidTr="00835632">
        <w:trPr>
          <w:trHeight w:val="300"/>
        </w:trPr>
        <w:tc>
          <w:tcPr>
            <w:tcW w:w="2245" w:type="dxa"/>
            <w:vMerge/>
            <w:tcBorders>
              <w:top w:val="single" w:sz="4" w:space="0" w:color="auto"/>
              <w:left w:val="single" w:sz="4" w:space="0" w:color="auto"/>
              <w:bottom w:val="single" w:sz="4" w:space="0" w:color="000000"/>
              <w:right w:val="single" w:sz="4" w:space="0" w:color="auto"/>
            </w:tcBorders>
            <w:vAlign w:val="center"/>
            <w:hideMark/>
          </w:tcPr>
          <w:p w14:paraId="64A9CF72"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61882FBD"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409C5202"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4.30 [3.31 – 4.55]</w:t>
            </w:r>
          </w:p>
        </w:tc>
        <w:tc>
          <w:tcPr>
            <w:tcW w:w="4945" w:type="dxa"/>
            <w:tcBorders>
              <w:top w:val="nil"/>
              <w:left w:val="nil"/>
              <w:bottom w:val="single" w:sz="4" w:space="0" w:color="auto"/>
              <w:right w:val="single" w:sz="4" w:space="0" w:color="auto"/>
            </w:tcBorders>
            <w:noWrap/>
            <w:vAlign w:val="center"/>
            <w:hideMark/>
          </w:tcPr>
          <w:p w14:paraId="4802E33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Well above limit</w:t>
            </w:r>
          </w:p>
        </w:tc>
      </w:tr>
      <w:tr w:rsidR="00FE1374" w:rsidRPr="00B845AF" w14:paraId="7B046BFC" w14:textId="77777777" w:rsidTr="00835632">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2FF7DB2F"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Fishing Mortality</w:t>
            </w:r>
          </w:p>
          <w:p w14:paraId="52A0725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(Fishing Intensity)</w:t>
            </w:r>
          </w:p>
        </w:tc>
        <w:tc>
          <w:tcPr>
            <w:tcW w:w="2340" w:type="dxa"/>
            <w:tcBorders>
              <w:top w:val="nil"/>
              <w:left w:val="nil"/>
              <w:bottom w:val="single" w:sz="4" w:space="0" w:color="auto"/>
              <w:right w:val="single" w:sz="4" w:space="0" w:color="auto"/>
            </w:tcBorders>
            <w:noWrap/>
            <w:vAlign w:val="center"/>
            <w:hideMark/>
          </w:tcPr>
          <w:p w14:paraId="704F4C65"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w:t>
            </w:r>
            <w:r w:rsidRPr="00B845AF">
              <w:rPr>
                <w:rFonts w:asciiTheme="minorHAnsi" w:hAnsiTheme="minorHAnsi" w:cstheme="minorHAnsi"/>
                <w:vertAlign w:val="subscript"/>
                <w:lang w:val="en-US"/>
              </w:rPr>
              <w:t>2021-2023</w:t>
            </w:r>
          </w:p>
        </w:tc>
        <w:tc>
          <w:tcPr>
            <w:tcW w:w="3420" w:type="dxa"/>
            <w:tcBorders>
              <w:top w:val="nil"/>
              <w:left w:val="nil"/>
              <w:bottom w:val="single" w:sz="4" w:space="0" w:color="auto"/>
              <w:right w:val="single" w:sz="4" w:space="0" w:color="auto"/>
            </w:tcBorders>
            <w:noWrap/>
            <w:vAlign w:val="center"/>
            <w:hideMark/>
          </w:tcPr>
          <w:p w14:paraId="2D32A1E6"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F66%SPR [F74–F57%SPR]</w:t>
            </w:r>
          </w:p>
        </w:tc>
        <w:tc>
          <w:tcPr>
            <w:tcW w:w="4945" w:type="dxa"/>
            <w:tcBorders>
              <w:top w:val="nil"/>
              <w:left w:val="nil"/>
              <w:bottom w:val="single" w:sz="4" w:space="0" w:color="auto"/>
              <w:right w:val="single" w:sz="4" w:space="0" w:color="auto"/>
            </w:tcBorders>
            <w:noWrap/>
            <w:vAlign w:val="center"/>
            <w:hideMark/>
          </w:tcPr>
          <w:p w14:paraId="0A79BAE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r w:rsidRPr="00B845AF">
              <w:rPr>
                <w:rFonts w:asciiTheme="minorHAnsi" w:hAnsiTheme="minorHAnsi" w:cstheme="minorHAnsi"/>
                <w:lang w:val="en-US"/>
              </w:rPr>
              <w:t xml:space="preserve"> Decreasing</w:t>
            </w:r>
          </w:p>
        </w:tc>
      </w:tr>
      <w:tr w:rsidR="00FE1374" w:rsidRPr="00B845AF" w14:paraId="5062D20B" w14:textId="77777777" w:rsidTr="00835632">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73AF9F99"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338AB6E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w:t>
            </w:r>
            <w:r w:rsidRPr="00B845AF">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6B989629"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F72%SPR [66%SPR – 78%SPR]</w:t>
            </w:r>
          </w:p>
        </w:tc>
        <w:tc>
          <w:tcPr>
            <w:tcW w:w="4945" w:type="dxa"/>
            <w:tcBorders>
              <w:top w:val="nil"/>
              <w:left w:val="nil"/>
              <w:bottom w:val="single" w:sz="4" w:space="0" w:color="auto"/>
              <w:right w:val="single" w:sz="4" w:space="0" w:color="auto"/>
            </w:tcBorders>
            <w:noWrap/>
            <w:vAlign w:val="center"/>
            <w:hideMark/>
          </w:tcPr>
          <w:p w14:paraId="57C58A9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r w:rsidRPr="00B845AF">
              <w:rPr>
                <w:rFonts w:asciiTheme="minorHAnsi" w:hAnsiTheme="minorHAnsi" w:cstheme="minorHAnsi"/>
                <w:lang w:val="en-US"/>
              </w:rPr>
              <w:t xml:space="preserve"> Decreasing</w:t>
            </w:r>
          </w:p>
        </w:tc>
      </w:tr>
      <w:tr w:rsidR="00FE1374" w:rsidRPr="00B845AF" w14:paraId="31663D12" w14:textId="77777777" w:rsidTr="00835632">
        <w:trPr>
          <w:trHeight w:val="332"/>
        </w:trPr>
        <w:tc>
          <w:tcPr>
            <w:tcW w:w="2245" w:type="dxa"/>
            <w:vMerge w:val="restart"/>
            <w:tcBorders>
              <w:top w:val="nil"/>
              <w:left w:val="single" w:sz="4" w:space="0" w:color="auto"/>
              <w:bottom w:val="single" w:sz="4" w:space="0" w:color="000000"/>
              <w:right w:val="single" w:sz="4" w:space="0" w:color="auto"/>
            </w:tcBorders>
            <w:noWrap/>
            <w:vAlign w:val="center"/>
            <w:hideMark/>
          </w:tcPr>
          <w:p w14:paraId="7A20CE4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579580C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w:t>
            </w:r>
            <w:r w:rsidRPr="00B845AF">
              <w:rPr>
                <w:rFonts w:asciiTheme="minorHAnsi" w:hAnsiTheme="minorHAnsi" w:cstheme="minorHAnsi"/>
                <w:vertAlign w:val="subscript"/>
                <w:lang w:val="en-US"/>
              </w:rPr>
              <w:t>2021-2024</w:t>
            </w:r>
          </w:p>
        </w:tc>
        <w:tc>
          <w:tcPr>
            <w:tcW w:w="3420" w:type="dxa"/>
            <w:tcBorders>
              <w:top w:val="nil"/>
              <w:left w:val="nil"/>
              <w:bottom w:val="single" w:sz="4" w:space="0" w:color="auto"/>
              <w:right w:val="single" w:sz="4" w:space="0" w:color="auto"/>
            </w:tcBorders>
            <w:noWrap/>
            <w:vAlign w:val="center"/>
            <w:hideMark/>
          </w:tcPr>
          <w:p w14:paraId="1D7A6B86"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45,091 mt</w:t>
            </w:r>
          </w:p>
        </w:tc>
        <w:tc>
          <w:tcPr>
            <w:tcW w:w="4945" w:type="dxa"/>
            <w:tcBorders>
              <w:top w:val="nil"/>
              <w:left w:val="nil"/>
              <w:bottom w:val="single" w:sz="4" w:space="0" w:color="auto"/>
              <w:right w:val="single" w:sz="4" w:space="0" w:color="auto"/>
            </w:tcBorders>
            <w:noWrap/>
            <w:vAlign w:val="center"/>
            <w:hideMark/>
          </w:tcPr>
          <w:p w14:paraId="7C7BB89C"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xml:space="preserve">Catch decreasing </w:t>
            </w:r>
          </w:p>
        </w:tc>
      </w:tr>
      <w:tr w:rsidR="00FE1374" w:rsidRPr="00B845AF" w14:paraId="10029683" w14:textId="77777777" w:rsidTr="00835632">
        <w:trPr>
          <w:trHeight w:val="287"/>
        </w:trPr>
        <w:tc>
          <w:tcPr>
            <w:tcW w:w="2245" w:type="dxa"/>
            <w:vMerge/>
            <w:tcBorders>
              <w:top w:val="nil"/>
              <w:left w:val="single" w:sz="4" w:space="0" w:color="auto"/>
              <w:bottom w:val="single" w:sz="4" w:space="0" w:color="000000"/>
              <w:right w:val="single" w:sz="4" w:space="0" w:color="auto"/>
            </w:tcBorders>
            <w:vAlign w:val="center"/>
            <w:hideMark/>
          </w:tcPr>
          <w:p w14:paraId="3A41B3E1"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059E9E80"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w:t>
            </w:r>
            <w:r w:rsidRPr="00B845AF">
              <w:rPr>
                <w:rFonts w:asciiTheme="minorHAnsi" w:hAnsiTheme="minorHAnsi" w:cstheme="minorHAnsi"/>
                <w:vertAlign w:val="subscript"/>
                <w:lang w:val="en-US"/>
              </w:rPr>
              <w:t>2024</w:t>
            </w:r>
          </w:p>
        </w:tc>
        <w:tc>
          <w:tcPr>
            <w:tcW w:w="3420" w:type="dxa"/>
            <w:tcBorders>
              <w:top w:val="nil"/>
              <w:left w:val="nil"/>
              <w:bottom w:val="single" w:sz="4" w:space="0" w:color="auto"/>
              <w:right w:val="single" w:sz="4" w:space="0" w:color="auto"/>
            </w:tcBorders>
            <w:noWrap/>
            <w:vAlign w:val="center"/>
            <w:hideMark/>
          </w:tcPr>
          <w:p w14:paraId="31334D39"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42,403 mt</w:t>
            </w:r>
          </w:p>
        </w:tc>
        <w:tc>
          <w:tcPr>
            <w:tcW w:w="4945" w:type="dxa"/>
            <w:tcBorders>
              <w:top w:val="nil"/>
              <w:left w:val="nil"/>
              <w:bottom w:val="single" w:sz="4" w:space="0" w:color="auto"/>
              <w:right w:val="single" w:sz="4" w:space="0" w:color="auto"/>
            </w:tcBorders>
            <w:noWrap/>
            <w:vAlign w:val="center"/>
            <w:hideMark/>
          </w:tcPr>
          <w:p w14:paraId="18264A7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 decreasing</w:t>
            </w:r>
          </w:p>
        </w:tc>
      </w:tr>
      <w:tr w:rsidR="00FE1374" w:rsidRPr="00B845AF" w14:paraId="44937AE7" w14:textId="77777777" w:rsidTr="00835632">
        <w:trPr>
          <w:trHeight w:val="300"/>
        </w:trPr>
        <w:tc>
          <w:tcPr>
            <w:tcW w:w="8005" w:type="dxa"/>
            <w:gridSpan w:val="3"/>
            <w:tcBorders>
              <w:top w:val="nil"/>
              <w:left w:val="single" w:sz="4" w:space="0" w:color="auto"/>
              <w:bottom w:val="single" w:sz="4" w:space="0" w:color="auto"/>
              <w:right w:val="single" w:sz="4" w:space="0" w:color="auto"/>
            </w:tcBorders>
            <w:noWrap/>
            <w:vAlign w:val="center"/>
            <w:hideMark/>
          </w:tcPr>
          <w:p w14:paraId="4E54E1AD"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Status</w:t>
            </w:r>
          </w:p>
        </w:tc>
        <w:tc>
          <w:tcPr>
            <w:tcW w:w="4945" w:type="dxa"/>
            <w:tcBorders>
              <w:top w:val="nil"/>
              <w:left w:val="nil"/>
              <w:bottom w:val="single" w:sz="4" w:space="0" w:color="auto"/>
              <w:right w:val="single" w:sz="4" w:space="0" w:color="auto"/>
            </w:tcBorders>
            <w:noWrap/>
            <w:vAlign w:val="center"/>
            <w:hideMark/>
          </w:tcPr>
          <w:p w14:paraId="29628BA1"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Likelihood</w:t>
            </w:r>
          </w:p>
        </w:tc>
      </w:tr>
      <w:tr w:rsidR="00FE1374" w:rsidRPr="00B845AF" w14:paraId="627874CE" w14:textId="77777777" w:rsidTr="00835632">
        <w:trPr>
          <w:trHeight w:val="300"/>
        </w:trPr>
        <w:tc>
          <w:tcPr>
            <w:tcW w:w="2245" w:type="dxa"/>
            <w:vMerge w:val="restart"/>
            <w:tcBorders>
              <w:top w:val="nil"/>
              <w:left w:val="single" w:sz="4" w:space="0" w:color="auto"/>
              <w:bottom w:val="single" w:sz="4" w:space="0" w:color="000000"/>
              <w:right w:val="single" w:sz="4" w:space="0" w:color="auto"/>
            </w:tcBorders>
            <w:noWrap/>
            <w:vAlign w:val="center"/>
            <w:hideMark/>
          </w:tcPr>
          <w:p w14:paraId="68DEBA7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43A4838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/30%</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1956CE80"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2.01 [1.26 – 2.76]</w:t>
            </w:r>
          </w:p>
        </w:tc>
        <w:tc>
          <w:tcPr>
            <w:tcW w:w="4945" w:type="dxa"/>
            <w:tcBorders>
              <w:top w:val="nil"/>
              <w:left w:val="nil"/>
              <w:bottom w:val="single" w:sz="4" w:space="0" w:color="auto"/>
              <w:right w:val="single" w:sz="4" w:space="0" w:color="auto"/>
            </w:tcBorders>
            <w:noWrap/>
            <w:vAlign w:val="center"/>
            <w:hideMark/>
          </w:tcPr>
          <w:p w14:paraId="323CD30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Virtually certain (&gt;99% probability) to be above threshold</w:t>
            </w:r>
          </w:p>
        </w:tc>
      </w:tr>
      <w:tr w:rsidR="00FE1374" w:rsidRPr="00B845AF" w14:paraId="4661176B" w14:textId="77777777" w:rsidTr="00835632">
        <w:trPr>
          <w:trHeight w:val="300"/>
        </w:trPr>
        <w:tc>
          <w:tcPr>
            <w:tcW w:w="2245" w:type="dxa"/>
            <w:vMerge/>
            <w:tcBorders>
              <w:top w:val="nil"/>
              <w:left w:val="single" w:sz="4" w:space="0" w:color="auto"/>
              <w:bottom w:val="single" w:sz="4" w:space="0" w:color="000000"/>
              <w:right w:val="single" w:sz="4" w:space="0" w:color="auto"/>
            </w:tcBorders>
            <w:vAlign w:val="center"/>
            <w:hideMark/>
          </w:tcPr>
          <w:p w14:paraId="4225E4B1"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42C33CAF"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2024</w:t>
            </w:r>
            <w:r w:rsidRPr="00B845AF">
              <w:rPr>
                <w:rFonts w:asciiTheme="minorHAnsi" w:hAnsiTheme="minorHAnsi" w:cstheme="minorHAnsi"/>
                <w:lang w:val="en-US"/>
              </w:rPr>
              <w:t>/14%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56FBCC0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4.30 [3.31 – 4.55]</w:t>
            </w:r>
          </w:p>
        </w:tc>
        <w:tc>
          <w:tcPr>
            <w:tcW w:w="4945" w:type="dxa"/>
            <w:tcBorders>
              <w:top w:val="nil"/>
              <w:left w:val="nil"/>
              <w:bottom w:val="single" w:sz="4" w:space="0" w:color="auto"/>
              <w:right w:val="single" w:sz="4" w:space="0" w:color="auto"/>
            </w:tcBorders>
            <w:noWrap/>
            <w:vAlign w:val="center"/>
            <w:hideMark/>
          </w:tcPr>
          <w:p w14:paraId="14CE38A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Virtually certain (&gt;99% probability) to be above limit</w:t>
            </w:r>
          </w:p>
        </w:tc>
      </w:tr>
      <w:tr w:rsidR="00FE1374" w:rsidRPr="00B845AF" w14:paraId="74AF4404" w14:textId="77777777" w:rsidTr="00835632">
        <w:trPr>
          <w:trHeight w:val="300"/>
        </w:trPr>
        <w:tc>
          <w:tcPr>
            <w:tcW w:w="2245" w:type="dxa"/>
            <w:tcBorders>
              <w:top w:val="nil"/>
              <w:left w:val="single" w:sz="4" w:space="0" w:color="auto"/>
              <w:bottom w:val="single" w:sz="4" w:space="0" w:color="000000"/>
              <w:right w:val="single" w:sz="4" w:space="0" w:color="auto"/>
            </w:tcBorders>
            <w:noWrap/>
            <w:vAlign w:val="center"/>
            <w:hideMark/>
          </w:tcPr>
          <w:p w14:paraId="15CC442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Fishing Mortality (Fishing Intensity)</w:t>
            </w:r>
          </w:p>
        </w:tc>
        <w:tc>
          <w:tcPr>
            <w:tcW w:w="2340" w:type="dxa"/>
            <w:tcBorders>
              <w:top w:val="nil"/>
              <w:left w:val="nil"/>
              <w:bottom w:val="single" w:sz="4" w:space="0" w:color="auto"/>
              <w:right w:val="single" w:sz="4" w:space="0" w:color="auto"/>
            </w:tcBorders>
            <w:noWrap/>
            <w:vAlign w:val="center"/>
            <w:hideMark/>
          </w:tcPr>
          <w:p w14:paraId="585F75A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F</w:t>
            </w:r>
            <w:r w:rsidRPr="00B845AF">
              <w:rPr>
                <w:rFonts w:asciiTheme="minorHAnsi" w:hAnsiTheme="minorHAnsi" w:cstheme="minorHAnsi"/>
                <w:vertAlign w:val="subscript"/>
                <w:lang w:val="en-US"/>
              </w:rPr>
              <w:t>2021-2023</w:t>
            </w:r>
            <w:r w:rsidRPr="00B845AF">
              <w:rPr>
                <w:rFonts w:asciiTheme="minorHAnsi" w:hAnsiTheme="minorHAnsi" w:cstheme="minorHAnsi"/>
                <w:lang w:val="en-US"/>
              </w:rPr>
              <w:t>/F45%SPR</w:t>
            </w:r>
          </w:p>
        </w:tc>
        <w:tc>
          <w:tcPr>
            <w:tcW w:w="3420" w:type="dxa"/>
            <w:tcBorders>
              <w:top w:val="nil"/>
              <w:left w:val="nil"/>
              <w:bottom w:val="single" w:sz="4" w:space="0" w:color="auto"/>
              <w:right w:val="single" w:sz="4" w:space="0" w:color="auto"/>
            </w:tcBorders>
            <w:noWrap/>
            <w:vAlign w:val="center"/>
            <w:hideMark/>
          </w:tcPr>
          <w:p w14:paraId="6131F15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1.46 [1.62-1.30]</w:t>
            </w:r>
          </w:p>
        </w:tc>
        <w:tc>
          <w:tcPr>
            <w:tcW w:w="4945" w:type="dxa"/>
            <w:tcBorders>
              <w:top w:val="nil"/>
              <w:left w:val="nil"/>
              <w:bottom w:val="single" w:sz="4" w:space="0" w:color="auto"/>
              <w:right w:val="single" w:sz="4" w:space="0" w:color="auto"/>
            </w:tcBorders>
            <w:noWrap/>
            <w:vAlign w:val="center"/>
            <w:hideMark/>
          </w:tcPr>
          <w:p w14:paraId="5405919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Virtually certain (&gt;99% probability) to be below target</w:t>
            </w:r>
          </w:p>
        </w:tc>
      </w:tr>
      <w:tr w:rsidR="00FE1374" w:rsidRPr="00B845AF" w14:paraId="2F6F7C4E" w14:textId="77777777" w:rsidTr="00835632">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02D13874"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lastRenderedPageBreak/>
              <w:t>Projections</w:t>
            </w:r>
          </w:p>
        </w:tc>
      </w:tr>
      <w:tr w:rsidR="00FE1374" w:rsidRPr="00B845AF" w14:paraId="250A6D81" w14:textId="77777777" w:rsidTr="00835632">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63007EB9"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Constant F (F</w:t>
            </w:r>
            <w:r w:rsidRPr="00B845AF">
              <w:rPr>
                <w:rFonts w:asciiTheme="minorHAnsi" w:hAnsiTheme="minorHAnsi" w:cstheme="minorHAnsi"/>
                <w:b/>
                <w:bCs/>
                <w:vertAlign w:val="subscript"/>
                <w:lang w:val="en-US"/>
              </w:rPr>
              <w:t>2021-2023</w:t>
            </w:r>
            <w:r w:rsidRPr="00B845AF">
              <w:rPr>
                <w:rFonts w:asciiTheme="minorHAnsi" w:hAnsiTheme="minorHAnsi" w:cstheme="minorHAnsi"/>
                <w:b/>
                <w:bCs/>
                <w:lang w:val="en-US"/>
              </w:rPr>
              <w:t>)</w:t>
            </w:r>
          </w:p>
        </w:tc>
      </w:tr>
      <w:tr w:rsidR="00FE1374" w:rsidRPr="00B845AF" w14:paraId="088A8E93"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1C17AFB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53BD3F72"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1E37E031"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109,384 mt [82,915 - 136,573]</w:t>
            </w:r>
          </w:p>
        </w:tc>
        <w:tc>
          <w:tcPr>
            <w:tcW w:w="4945" w:type="dxa"/>
            <w:tcBorders>
              <w:top w:val="nil"/>
              <w:left w:val="nil"/>
              <w:bottom w:val="single" w:sz="4" w:space="0" w:color="auto"/>
              <w:right w:val="single" w:sz="4" w:space="0" w:color="auto"/>
            </w:tcBorders>
            <w:noWrap/>
            <w:vAlign w:val="center"/>
            <w:hideMark/>
          </w:tcPr>
          <w:p w14:paraId="60A0813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Likely (&gt;60% probability) to be above target</w:t>
            </w:r>
          </w:p>
        </w:tc>
      </w:tr>
      <w:tr w:rsidR="00FE1374" w:rsidRPr="00B845AF" w14:paraId="214A1F70"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tcPr>
          <w:p w14:paraId="468C6496"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12FB976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2034</w:t>
            </w:r>
            <w:r w:rsidRPr="00B845AF">
              <w:rPr>
                <w:rFonts w:asciiTheme="minorHAnsi" w:hAnsiTheme="minorHAnsi" w:cstheme="minorHAnsi"/>
                <w:lang w:val="en-US"/>
              </w:rPr>
              <w:t xml:space="preserve">/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58EBF3C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1.37 [0.78 - 1.95]</w:t>
            </w:r>
          </w:p>
        </w:tc>
        <w:tc>
          <w:tcPr>
            <w:tcW w:w="4945" w:type="dxa"/>
            <w:tcBorders>
              <w:top w:val="nil"/>
              <w:left w:val="nil"/>
              <w:bottom w:val="single" w:sz="4" w:space="0" w:color="auto"/>
              <w:right w:val="single" w:sz="4" w:space="0" w:color="auto"/>
            </w:tcBorders>
            <w:noWrap/>
            <w:vAlign w:val="center"/>
            <w:hideMark/>
          </w:tcPr>
          <w:p w14:paraId="6EF3FD52"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100.0%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w:t>
            </w:r>
          </w:p>
        </w:tc>
      </w:tr>
      <w:tr w:rsidR="00FE1374" w:rsidRPr="00B845AF" w14:paraId="10232A50"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33A4CDD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5479E695"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w:t>
            </w:r>
            <w:r w:rsidRPr="00B845AF">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638FB96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50,710 mt [35,338 t - 76,111]</w:t>
            </w:r>
          </w:p>
        </w:tc>
        <w:tc>
          <w:tcPr>
            <w:tcW w:w="4945" w:type="dxa"/>
            <w:tcBorders>
              <w:top w:val="nil"/>
              <w:left w:val="nil"/>
              <w:bottom w:val="single" w:sz="4" w:space="0" w:color="auto"/>
              <w:right w:val="single" w:sz="4" w:space="0" w:color="auto"/>
            </w:tcBorders>
            <w:noWrap/>
            <w:vAlign w:val="center"/>
            <w:hideMark/>
          </w:tcPr>
          <w:p w14:paraId="1BC92F2A"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r>
      <w:tr w:rsidR="00FE1374" w:rsidRPr="00B845AF" w14:paraId="16F0F1A0" w14:textId="77777777" w:rsidTr="00835632">
        <w:trPr>
          <w:trHeight w:val="300"/>
        </w:trPr>
        <w:tc>
          <w:tcPr>
            <w:tcW w:w="12950" w:type="dxa"/>
            <w:gridSpan w:val="4"/>
            <w:tcBorders>
              <w:top w:val="nil"/>
              <w:left w:val="single" w:sz="4" w:space="0" w:color="auto"/>
              <w:bottom w:val="single" w:sz="4" w:space="0" w:color="auto"/>
              <w:right w:val="single" w:sz="4" w:space="0" w:color="auto"/>
            </w:tcBorders>
            <w:noWrap/>
            <w:vAlign w:val="center"/>
            <w:hideMark/>
          </w:tcPr>
          <w:p w14:paraId="301B008D" w14:textId="77777777" w:rsidR="00FE1374" w:rsidRPr="00B845AF" w:rsidRDefault="00FE1374" w:rsidP="0011022F">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Random F (sampled from F in 2005–2019)</w:t>
            </w:r>
          </w:p>
        </w:tc>
      </w:tr>
      <w:tr w:rsidR="00FE1374" w:rsidRPr="00B845AF" w14:paraId="255F349C"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hideMark/>
          </w:tcPr>
          <w:p w14:paraId="347236C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Biomass</w:t>
            </w:r>
          </w:p>
        </w:tc>
        <w:tc>
          <w:tcPr>
            <w:tcW w:w="2340" w:type="dxa"/>
            <w:tcBorders>
              <w:top w:val="nil"/>
              <w:left w:val="nil"/>
              <w:bottom w:val="single" w:sz="4" w:space="0" w:color="auto"/>
              <w:right w:val="single" w:sz="4" w:space="0" w:color="auto"/>
            </w:tcBorders>
            <w:noWrap/>
            <w:vAlign w:val="center"/>
            <w:hideMark/>
          </w:tcPr>
          <w:p w14:paraId="1CAC5E37"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1BA7295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67,340 mt [47,082 – 87,597]</w:t>
            </w:r>
          </w:p>
        </w:tc>
        <w:tc>
          <w:tcPr>
            <w:tcW w:w="4945" w:type="dxa"/>
            <w:tcBorders>
              <w:top w:val="nil"/>
              <w:left w:val="nil"/>
              <w:bottom w:val="single" w:sz="4" w:space="0" w:color="auto"/>
              <w:right w:val="single" w:sz="4" w:space="0" w:color="auto"/>
            </w:tcBorders>
            <w:noWrap/>
            <w:vAlign w:val="center"/>
            <w:hideMark/>
          </w:tcPr>
          <w:p w14:paraId="76EAB644"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Very likely (&gt;90% probability) to be above target</w:t>
            </w:r>
          </w:p>
        </w:tc>
      </w:tr>
      <w:tr w:rsidR="00FE1374" w:rsidRPr="00B845AF" w14:paraId="3A04A5A0" w14:textId="77777777" w:rsidTr="00835632">
        <w:trPr>
          <w:trHeight w:val="300"/>
        </w:trPr>
        <w:tc>
          <w:tcPr>
            <w:tcW w:w="2245" w:type="dxa"/>
            <w:tcBorders>
              <w:top w:val="nil"/>
              <w:left w:val="single" w:sz="4" w:space="0" w:color="auto"/>
              <w:bottom w:val="single" w:sz="4" w:space="0" w:color="auto"/>
              <w:right w:val="single" w:sz="4" w:space="0" w:color="auto"/>
            </w:tcBorders>
            <w:noWrap/>
            <w:vAlign w:val="center"/>
          </w:tcPr>
          <w:p w14:paraId="5071F959" w14:textId="77777777" w:rsidR="00FE1374" w:rsidRPr="00B845AF" w:rsidRDefault="00FE1374" w:rsidP="0011022F">
            <w:pPr>
              <w:pStyle w:val="SCtext"/>
              <w:numPr>
                <w:ilvl w:val="0"/>
                <w:numId w:val="0"/>
              </w:numPr>
              <w:rPr>
                <w:rFonts w:asciiTheme="minorHAnsi" w:hAnsiTheme="minorHAnsi" w:cstheme="minorHAnsi"/>
                <w:lang w:val="en-US"/>
              </w:rPr>
            </w:pPr>
          </w:p>
        </w:tc>
        <w:tc>
          <w:tcPr>
            <w:tcW w:w="2340" w:type="dxa"/>
            <w:tcBorders>
              <w:top w:val="nil"/>
              <w:left w:val="nil"/>
              <w:bottom w:val="single" w:sz="4" w:space="0" w:color="auto"/>
              <w:right w:val="single" w:sz="4" w:space="0" w:color="auto"/>
            </w:tcBorders>
            <w:noWrap/>
            <w:vAlign w:val="center"/>
            <w:hideMark/>
          </w:tcPr>
          <w:p w14:paraId="3F779968"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SSB</w:t>
            </w:r>
            <w:r w:rsidRPr="00B845AF">
              <w:rPr>
                <w:rFonts w:asciiTheme="minorHAnsi" w:hAnsiTheme="minorHAnsi" w:cstheme="minorHAnsi"/>
                <w:vertAlign w:val="subscript"/>
                <w:lang w:val="en-US"/>
              </w:rPr>
              <w:t>2034</w:t>
            </w:r>
            <w:r w:rsidRPr="00B845AF">
              <w:rPr>
                <w:rFonts w:asciiTheme="minorHAnsi" w:hAnsiTheme="minorHAnsi" w:cstheme="minorHAnsi"/>
                <w:lang w:val="en-US"/>
              </w:rPr>
              <w:t xml:space="preserve">/ </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p>
        </w:tc>
        <w:tc>
          <w:tcPr>
            <w:tcW w:w="3420" w:type="dxa"/>
            <w:tcBorders>
              <w:top w:val="nil"/>
              <w:left w:val="nil"/>
              <w:bottom w:val="single" w:sz="4" w:space="0" w:color="auto"/>
              <w:right w:val="single" w:sz="4" w:space="0" w:color="auto"/>
            </w:tcBorders>
            <w:noWrap/>
            <w:vAlign w:val="center"/>
            <w:hideMark/>
          </w:tcPr>
          <w:p w14:paraId="6A450EF5"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1.15 [0.60-1.70]</w:t>
            </w:r>
          </w:p>
        </w:tc>
        <w:tc>
          <w:tcPr>
            <w:tcW w:w="4945" w:type="dxa"/>
            <w:tcBorders>
              <w:top w:val="nil"/>
              <w:left w:val="nil"/>
              <w:bottom w:val="single" w:sz="4" w:space="0" w:color="auto"/>
              <w:right w:val="single" w:sz="4" w:space="0" w:color="auto"/>
            </w:tcBorders>
            <w:noWrap/>
            <w:vAlign w:val="center"/>
            <w:hideMark/>
          </w:tcPr>
          <w:p w14:paraId="765BC795"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99.1 % probability of the female SSB remaining above the 14%</w:t>
            </w:r>
            <w:proofErr w:type="gramStart"/>
            <w:r w:rsidRPr="00B845AF">
              <w:rPr>
                <w:rFonts w:asciiTheme="minorHAnsi" w:hAnsiTheme="minorHAnsi" w:cstheme="minorHAnsi"/>
                <w:lang w:val="en-US"/>
              </w:rPr>
              <w:t>SSB</w:t>
            </w:r>
            <w:r w:rsidRPr="00B845AF">
              <w:rPr>
                <w:rFonts w:asciiTheme="minorHAnsi" w:hAnsiTheme="minorHAnsi" w:cstheme="minorHAnsi"/>
                <w:vertAlign w:val="subscript"/>
                <w:lang w:val="en-US"/>
              </w:rPr>
              <w:t>current,F</w:t>
            </w:r>
            <w:proofErr w:type="gramEnd"/>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LRP for all 10 years</w:t>
            </w:r>
          </w:p>
        </w:tc>
      </w:tr>
      <w:tr w:rsidR="00FE1374" w:rsidRPr="00B845AF" w14:paraId="219AAE35" w14:textId="77777777" w:rsidTr="00835632">
        <w:trPr>
          <w:trHeight w:val="314"/>
        </w:trPr>
        <w:tc>
          <w:tcPr>
            <w:tcW w:w="2245" w:type="dxa"/>
            <w:tcBorders>
              <w:top w:val="nil"/>
              <w:left w:val="single" w:sz="4" w:space="0" w:color="auto"/>
              <w:bottom w:val="single" w:sz="4" w:space="0" w:color="auto"/>
              <w:right w:val="single" w:sz="4" w:space="0" w:color="auto"/>
            </w:tcBorders>
            <w:noWrap/>
            <w:vAlign w:val="center"/>
            <w:hideMark/>
          </w:tcPr>
          <w:p w14:paraId="5F52C6C3"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Catch</w:t>
            </w:r>
          </w:p>
        </w:tc>
        <w:tc>
          <w:tcPr>
            <w:tcW w:w="2340" w:type="dxa"/>
            <w:tcBorders>
              <w:top w:val="nil"/>
              <w:left w:val="nil"/>
              <w:bottom w:val="single" w:sz="4" w:space="0" w:color="auto"/>
              <w:right w:val="single" w:sz="4" w:space="0" w:color="auto"/>
            </w:tcBorders>
            <w:noWrap/>
            <w:vAlign w:val="center"/>
            <w:hideMark/>
          </w:tcPr>
          <w:p w14:paraId="05A0064D"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C</w:t>
            </w:r>
            <w:r w:rsidRPr="00B845AF">
              <w:rPr>
                <w:rFonts w:asciiTheme="minorHAnsi" w:hAnsiTheme="minorHAnsi" w:cstheme="minorHAnsi"/>
                <w:vertAlign w:val="subscript"/>
                <w:lang w:val="en-US"/>
              </w:rPr>
              <w:t>2034</w:t>
            </w:r>
          </w:p>
        </w:tc>
        <w:tc>
          <w:tcPr>
            <w:tcW w:w="3420" w:type="dxa"/>
            <w:tcBorders>
              <w:top w:val="nil"/>
              <w:left w:val="nil"/>
              <w:bottom w:val="single" w:sz="4" w:space="0" w:color="auto"/>
              <w:right w:val="single" w:sz="4" w:space="0" w:color="auto"/>
            </w:tcBorders>
            <w:noWrap/>
            <w:vAlign w:val="center"/>
            <w:hideMark/>
          </w:tcPr>
          <w:p w14:paraId="671E7B2E"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78,016 t [46,974 - 126,542]</w:t>
            </w:r>
          </w:p>
        </w:tc>
        <w:tc>
          <w:tcPr>
            <w:tcW w:w="4945" w:type="dxa"/>
            <w:tcBorders>
              <w:top w:val="nil"/>
              <w:left w:val="nil"/>
              <w:bottom w:val="single" w:sz="4" w:space="0" w:color="auto"/>
              <w:right w:val="single" w:sz="4" w:space="0" w:color="auto"/>
            </w:tcBorders>
            <w:noWrap/>
            <w:vAlign w:val="center"/>
            <w:hideMark/>
          </w:tcPr>
          <w:p w14:paraId="1768914B" w14:textId="77777777" w:rsidR="00FE1374" w:rsidRPr="00B845AF" w:rsidRDefault="00FE1374" w:rsidP="0011022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w:t>
            </w:r>
          </w:p>
        </w:tc>
      </w:tr>
    </w:tbl>
    <w:p w14:paraId="6D35F812" w14:textId="77777777" w:rsidR="00FE1374" w:rsidRPr="00B845AF" w:rsidRDefault="00FE1374" w:rsidP="0072185B">
      <w:pPr>
        <w:pStyle w:val="SCtext"/>
        <w:numPr>
          <w:ilvl w:val="0"/>
          <w:numId w:val="0"/>
        </w:numPr>
        <w:rPr>
          <w:rFonts w:asciiTheme="minorHAnsi" w:hAnsiTheme="minorHAnsi" w:cstheme="minorHAnsi"/>
          <w:lang w:val="en-US"/>
        </w:rPr>
        <w:sectPr w:rsidR="00FE1374" w:rsidRPr="00B845AF" w:rsidSect="009A4F45">
          <w:pgSz w:w="15840" w:h="12240" w:orient="landscape" w:code="1"/>
          <w:pgMar w:top="1440" w:right="1440" w:bottom="1440" w:left="1440" w:header="720" w:footer="720" w:gutter="0"/>
          <w:cols w:space="720"/>
        </w:sectPr>
      </w:pPr>
    </w:p>
    <w:p w14:paraId="2580F4C8" w14:textId="77777777" w:rsidR="009A4F45" w:rsidRDefault="009A4F45" w:rsidP="0072185B">
      <w:pPr>
        <w:pStyle w:val="SCtext"/>
        <w:numPr>
          <w:ilvl w:val="0"/>
          <w:numId w:val="0"/>
        </w:numPr>
        <w:rPr>
          <w:rFonts w:asciiTheme="minorHAnsi" w:hAnsiTheme="minorHAnsi" w:cstheme="minorHAnsi"/>
          <w:lang w:val="en-US"/>
        </w:rPr>
      </w:pPr>
    </w:p>
    <w:p w14:paraId="05BF6903" w14:textId="77777777" w:rsidR="009A4F45" w:rsidRDefault="009A4F45" w:rsidP="0072185B">
      <w:pPr>
        <w:pStyle w:val="SCtext"/>
        <w:numPr>
          <w:ilvl w:val="0"/>
          <w:numId w:val="0"/>
        </w:numPr>
        <w:rPr>
          <w:rFonts w:asciiTheme="minorHAnsi" w:hAnsiTheme="minorHAnsi" w:cstheme="minorHAnsi"/>
          <w:lang w:val="en-US"/>
        </w:rPr>
      </w:pPr>
    </w:p>
    <w:p w14:paraId="4A7AC4D2" w14:textId="5F3B6C87" w:rsidR="00FE1374" w:rsidRPr="00B845AF" w:rsidRDefault="00FE1374" w:rsidP="0072185B">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25538457" wp14:editId="1008B295">
            <wp:extent cx="5943600" cy="2449830"/>
            <wp:effectExtent l="0" t="0" r="0" b="7620"/>
            <wp:docPr id="34" name="Picture" descr="Figure 11.3: Conceptual model of north Pacific albacore biology and population dyna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Figure 11.3: Conceptual model of north Pacific albacore biology and population dynamic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43600" cy="2449830"/>
                    </a:xfrm>
                    <a:prstGeom prst="rect">
                      <a:avLst/>
                    </a:prstGeom>
                    <a:noFill/>
                    <a:ln>
                      <a:noFill/>
                    </a:ln>
                  </pic:spPr>
                </pic:pic>
              </a:graphicData>
            </a:graphic>
          </wp:inline>
        </w:drawing>
      </w:r>
      <w:r w:rsidRPr="00B845AF">
        <w:rPr>
          <w:rFonts w:asciiTheme="minorHAnsi" w:hAnsiTheme="minorHAnsi" w:cstheme="minorHAnsi"/>
          <w:lang w:val="en-US"/>
        </w:rPr>
        <w:t xml:space="preserve"> </w:t>
      </w:r>
    </w:p>
    <w:p w14:paraId="62DD96E9" w14:textId="11830E28" w:rsidR="00FE1374" w:rsidRDefault="00FE1374" w:rsidP="0072185B">
      <w:pPr>
        <w:pStyle w:val="SCtext"/>
        <w:numPr>
          <w:ilvl w:val="0"/>
          <w:numId w:val="0"/>
        </w:numPr>
        <w:rPr>
          <w:rFonts w:asciiTheme="minorHAnsi" w:hAnsiTheme="minorHAnsi" w:cstheme="minorHAnsi"/>
          <w:iCs/>
          <w:lang w:val="en-US"/>
        </w:rPr>
      </w:pPr>
      <w:r w:rsidRPr="00B845AF">
        <w:rPr>
          <w:rFonts w:asciiTheme="minorHAnsi" w:hAnsiTheme="minorHAnsi" w:cstheme="minorHAnsi"/>
          <w:b/>
          <w:bCs/>
          <w:iCs/>
          <w:lang w:val="en-US"/>
        </w:rPr>
        <w:t>Figure A-01</w:t>
      </w:r>
      <w:r w:rsidR="001F2ACA" w:rsidRPr="00B845AF">
        <w:rPr>
          <w:rFonts w:asciiTheme="minorHAnsi" w:eastAsia="MS Mincho" w:hAnsiTheme="minorHAnsi" w:cstheme="minorHAnsi"/>
          <w:iCs/>
          <w:lang w:val="en-US" w:eastAsia="ja-JP"/>
        </w:rPr>
        <w:t>:</w:t>
      </w:r>
      <w:r w:rsidRPr="00B845AF">
        <w:rPr>
          <w:rFonts w:asciiTheme="minorHAnsi" w:hAnsiTheme="minorHAnsi" w:cstheme="minorHAnsi"/>
          <w:iCs/>
          <w:lang w:val="en-US"/>
        </w:rPr>
        <w:t xml:space="preserve"> Conceptual model of </w:t>
      </w:r>
      <w:r w:rsidR="009A3BBD" w:rsidRPr="00B845AF">
        <w:rPr>
          <w:rFonts w:asciiTheme="minorHAnsi" w:hAnsiTheme="minorHAnsi" w:cstheme="minorHAnsi"/>
          <w:iCs/>
          <w:lang w:val="en-US"/>
        </w:rPr>
        <w:t>North Pacific</w:t>
      </w:r>
      <w:r w:rsidRPr="00B845AF">
        <w:rPr>
          <w:rFonts w:asciiTheme="minorHAnsi" w:hAnsiTheme="minorHAnsi" w:cstheme="minorHAnsi"/>
          <w:iCs/>
          <w:lang w:val="en-US"/>
        </w:rPr>
        <w:t xml:space="preserve"> albacore biology and population dynamics. Figure 11.3 in stock assessment report.</w:t>
      </w:r>
    </w:p>
    <w:p w14:paraId="0EF1191E" w14:textId="77777777" w:rsidR="009A4F45" w:rsidRPr="00B845AF" w:rsidRDefault="009A4F45" w:rsidP="0072185B">
      <w:pPr>
        <w:pStyle w:val="SCtext"/>
        <w:numPr>
          <w:ilvl w:val="0"/>
          <w:numId w:val="0"/>
        </w:numPr>
        <w:rPr>
          <w:rFonts w:asciiTheme="minorHAnsi" w:hAnsiTheme="minorHAnsi" w:cstheme="minorHAnsi"/>
          <w:iCs/>
          <w:lang w:val="en-US"/>
        </w:rPr>
      </w:pPr>
    </w:p>
    <w:p w14:paraId="69F354B0" w14:textId="77777777" w:rsidR="00FE1374" w:rsidRPr="00B845AF" w:rsidRDefault="00FE1374" w:rsidP="0072185B">
      <w:pPr>
        <w:pStyle w:val="SCtext"/>
        <w:numPr>
          <w:ilvl w:val="0"/>
          <w:numId w:val="0"/>
        </w:numPr>
        <w:rPr>
          <w:rFonts w:asciiTheme="minorHAnsi" w:hAnsiTheme="minorHAnsi" w:cstheme="minorHAnsi"/>
          <w:iCs/>
          <w:lang w:val="en-US"/>
        </w:rPr>
      </w:pPr>
    </w:p>
    <w:p w14:paraId="3704E14B" w14:textId="77777777" w:rsidR="00FE1374" w:rsidRPr="00B845AF" w:rsidRDefault="00FE1374" w:rsidP="0072185B">
      <w:pPr>
        <w:pStyle w:val="SCtext"/>
        <w:numPr>
          <w:ilvl w:val="0"/>
          <w:numId w:val="0"/>
        </w:numPr>
        <w:rPr>
          <w:rFonts w:asciiTheme="minorHAnsi" w:hAnsiTheme="minorHAnsi" w:cstheme="minorHAnsi"/>
          <w:iCs/>
          <w:lang w:val="en-US"/>
        </w:rPr>
      </w:pPr>
    </w:p>
    <w:p w14:paraId="5143CFAA" w14:textId="06D57A93" w:rsidR="00FE1374" w:rsidRPr="00B845AF" w:rsidRDefault="00FE1374" w:rsidP="00022673">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38B7C1B7" wp14:editId="7C8F5D2C">
            <wp:extent cx="5943600" cy="3650615"/>
            <wp:effectExtent l="0" t="0" r="0" b="6985"/>
            <wp:docPr id="35" name="Picture 2" descr="Figure 11.1: Estimated total annual catch of north Pacific albacore (Thunnus alalunga) by all countries harvesting the stock, 1994-2024. Catches in the “Others” categories includes small amount of catch by other countries such as Kiribati, Belize, Panama, and Marshall Isl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gure 11.1: Estimated total annual catch of north Pacific albacore (Thunnus alalunga) by all countries harvesting the stock, 1994-2024. Catches in the “Others” categories includes small amount of catch by other countries such as Kiribati, Belize, Panama, and Marshall Island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3650615"/>
                    </a:xfrm>
                    <a:prstGeom prst="rect">
                      <a:avLst/>
                    </a:prstGeom>
                    <a:noFill/>
                    <a:ln>
                      <a:noFill/>
                    </a:ln>
                  </pic:spPr>
                </pic:pic>
              </a:graphicData>
            </a:graphic>
          </wp:inline>
        </w:drawing>
      </w:r>
    </w:p>
    <w:p w14:paraId="3182894C" w14:textId="1792CABE" w:rsidR="00FE1374" w:rsidRPr="00B845AF" w:rsidRDefault="00FE1374" w:rsidP="00022673">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A-02</w:t>
      </w:r>
      <w:r w:rsidRPr="00B845AF">
        <w:rPr>
          <w:rFonts w:asciiTheme="minorHAnsi" w:hAnsiTheme="minorHAnsi" w:cstheme="minorHAnsi"/>
          <w:lang w:val="en-US"/>
        </w:rPr>
        <w:t xml:space="preserve">: Estimated total annual catch of </w:t>
      </w:r>
      <w:r w:rsidR="009A3BBD" w:rsidRPr="00B845AF">
        <w:rPr>
          <w:rFonts w:asciiTheme="minorHAnsi" w:hAnsiTheme="minorHAnsi" w:cstheme="minorHAnsi"/>
          <w:lang w:val="en-US"/>
        </w:rPr>
        <w:t>North Pacific</w:t>
      </w:r>
      <w:r w:rsidRPr="00B845AF">
        <w:rPr>
          <w:rFonts w:asciiTheme="minorHAnsi" w:hAnsiTheme="minorHAnsi" w:cstheme="minorHAnsi"/>
          <w:lang w:val="en-US"/>
        </w:rPr>
        <w:t xml:space="preserve"> albacore (</w:t>
      </w:r>
      <w:r w:rsidRPr="00B845AF">
        <w:rPr>
          <w:rFonts w:asciiTheme="minorHAnsi" w:hAnsiTheme="minorHAnsi" w:cstheme="minorHAnsi"/>
          <w:i/>
          <w:iCs/>
          <w:lang w:val="en-US"/>
        </w:rPr>
        <w:t>Thunnus alalunga</w:t>
      </w:r>
      <w:r w:rsidRPr="00B845AF">
        <w:rPr>
          <w:rFonts w:asciiTheme="minorHAnsi" w:hAnsiTheme="minorHAnsi" w:cstheme="minorHAnsi"/>
          <w:lang w:val="en-US"/>
        </w:rPr>
        <w:t xml:space="preserve">) by all members harvesting the stock, 1994-2024. Catches in the </w:t>
      </w:r>
      <w:proofErr w:type="gramStart"/>
      <w:r w:rsidRPr="00B845AF">
        <w:rPr>
          <w:rFonts w:asciiTheme="minorHAnsi" w:hAnsiTheme="minorHAnsi" w:cstheme="minorHAnsi"/>
          <w:lang w:val="en-US"/>
        </w:rPr>
        <w:t>“Others”</w:t>
      </w:r>
      <w:proofErr w:type="gramEnd"/>
      <w:r w:rsidRPr="00B845AF">
        <w:rPr>
          <w:rFonts w:asciiTheme="minorHAnsi" w:hAnsiTheme="minorHAnsi" w:cstheme="minorHAnsi"/>
          <w:lang w:val="en-US"/>
        </w:rPr>
        <w:t xml:space="preserve"> categories </w:t>
      </w:r>
      <w:proofErr w:type="gramStart"/>
      <w:r w:rsidRPr="00B845AF">
        <w:rPr>
          <w:rFonts w:asciiTheme="minorHAnsi" w:hAnsiTheme="minorHAnsi" w:cstheme="minorHAnsi"/>
          <w:lang w:val="en-US"/>
        </w:rPr>
        <w:t>includes</w:t>
      </w:r>
      <w:proofErr w:type="gramEnd"/>
      <w:r w:rsidRPr="00B845AF">
        <w:rPr>
          <w:rFonts w:asciiTheme="minorHAnsi" w:hAnsiTheme="minorHAnsi" w:cstheme="minorHAnsi"/>
          <w:lang w:val="en-US"/>
        </w:rPr>
        <w:t xml:space="preserve"> small amount of catch by other countries such as Kiribati, Belize, Panama, and Marshall Islands. Figure 11.1 in stock assessment report.</w:t>
      </w:r>
    </w:p>
    <w:p w14:paraId="77D9E898" w14:textId="77777777" w:rsidR="00FE1374" w:rsidRPr="00B845AF" w:rsidRDefault="00FE1374" w:rsidP="00022673">
      <w:pPr>
        <w:pStyle w:val="SCtext"/>
        <w:numPr>
          <w:ilvl w:val="0"/>
          <w:numId w:val="0"/>
        </w:numPr>
        <w:rPr>
          <w:rFonts w:asciiTheme="minorHAnsi" w:hAnsiTheme="minorHAnsi" w:cstheme="minorHAnsi"/>
          <w:lang w:val="en-US"/>
        </w:rPr>
      </w:pPr>
    </w:p>
    <w:p w14:paraId="5E9F2A05" w14:textId="77777777" w:rsidR="009A4F45" w:rsidRDefault="009A4F45" w:rsidP="00022673">
      <w:pPr>
        <w:pStyle w:val="SCtext"/>
        <w:numPr>
          <w:ilvl w:val="0"/>
          <w:numId w:val="0"/>
        </w:numPr>
        <w:rPr>
          <w:rFonts w:asciiTheme="minorHAnsi" w:hAnsiTheme="minorHAnsi" w:cstheme="minorHAnsi"/>
          <w:lang w:val="en-US"/>
        </w:rPr>
      </w:pPr>
    </w:p>
    <w:p w14:paraId="1ABD400E" w14:textId="77777777" w:rsidR="009A4F45" w:rsidRDefault="009A4F45" w:rsidP="00022673">
      <w:pPr>
        <w:pStyle w:val="SCtext"/>
        <w:numPr>
          <w:ilvl w:val="0"/>
          <w:numId w:val="0"/>
        </w:numPr>
        <w:rPr>
          <w:rFonts w:asciiTheme="minorHAnsi" w:hAnsiTheme="minorHAnsi" w:cstheme="minorHAnsi"/>
          <w:lang w:val="en-US"/>
        </w:rPr>
      </w:pPr>
    </w:p>
    <w:p w14:paraId="7DBD1410" w14:textId="1B1BF61C" w:rsidR="00FE1374" w:rsidRPr="00B845AF" w:rsidRDefault="00FE1374" w:rsidP="00022673">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22F65D11" wp14:editId="605D2738">
            <wp:extent cx="5943600" cy="3105150"/>
            <wp:effectExtent l="0" t="0" r="0" b="0"/>
            <wp:docPr id="36" name="Picture 4" descr="Figure 11.8: Trends and 95% confidence intervals of the adult index (F10) used in the base case model. Note that the 95% confidence intervals are based on the model assumption of lognormal error, and include both input and additional coefficients of variation (CV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igure 11.8: Trends and 95% confidence intervals of the adult index (F10) used in the base case model. Note that the 95% confidence intervals are based on the model assumption of lognormal error, and include both input and additional coefficients of variation (CVs)."/>
                    <pic:cNvPicPr>
                      <a:picLocks noChangeAspect="1" noChangeArrowheads="1"/>
                    </pic:cNvPicPr>
                  </pic:nvPicPr>
                  <pic:blipFill>
                    <a:blip r:embed="rId47" cstate="print">
                      <a:extLst>
                        <a:ext uri="{28A0092B-C50C-407E-A947-70E740481C1C}">
                          <a14:useLocalDpi xmlns:a14="http://schemas.microsoft.com/office/drawing/2010/main" val="0"/>
                        </a:ext>
                      </a:extLst>
                    </a:blip>
                    <a:srcRect t="15115"/>
                    <a:stretch>
                      <a:fillRect/>
                    </a:stretch>
                  </pic:blipFill>
                  <pic:spPr bwMode="auto">
                    <a:xfrm>
                      <a:off x="0" y="0"/>
                      <a:ext cx="5943600" cy="3105150"/>
                    </a:xfrm>
                    <a:prstGeom prst="rect">
                      <a:avLst/>
                    </a:prstGeom>
                    <a:noFill/>
                    <a:ln>
                      <a:noFill/>
                    </a:ln>
                  </pic:spPr>
                </pic:pic>
              </a:graphicData>
            </a:graphic>
          </wp:inline>
        </w:drawing>
      </w:r>
    </w:p>
    <w:p w14:paraId="59B7ABF6" w14:textId="77777777" w:rsidR="00FE1374" w:rsidRPr="00B845AF" w:rsidRDefault="00FE1374" w:rsidP="00022673">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A-03</w:t>
      </w:r>
      <w:r w:rsidRPr="00B845AF">
        <w:rPr>
          <w:rFonts w:asciiTheme="minorHAnsi" w:hAnsiTheme="minorHAnsi" w:cstheme="minorHAnsi"/>
          <w:lang w:val="en-US"/>
        </w:rPr>
        <w:t xml:space="preserve">: Trends and 95% confidence intervals of the adult index (F10) used in the base case model. Note that the 95% confidence intervals are based on the model assumption of lognormal </w:t>
      </w:r>
      <w:proofErr w:type="gramStart"/>
      <w:r w:rsidRPr="00B845AF">
        <w:rPr>
          <w:rFonts w:asciiTheme="minorHAnsi" w:hAnsiTheme="minorHAnsi" w:cstheme="minorHAnsi"/>
          <w:lang w:val="en-US"/>
        </w:rPr>
        <w:t>error, and</w:t>
      </w:r>
      <w:proofErr w:type="gramEnd"/>
      <w:r w:rsidRPr="00B845AF">
        <w:rPr>
          <w:rFonts w:asciiTheme="minorHAnsi" w:hAnsiTheme="minorHAnsi" w:cstheme="minorHAnsi"/>
          <w:lang w:val="en-US"/>
        </w:rPr>
        <w:t xml:space="preserve"> include both input and additional coefficients of variation (CVs). Figure 11.38 in stock assessment report. Figure 11.8 in stock assessment report.</w:t>
      </w:r>
    </w:p>
    <w:p w14:paraId="764CE9D6" w14:textId="77777777" w:rsidR="00FE1374" w:rsidRPr="00B845AF" w:rsidRDefault="00FE1374" w:rsidP="00022673">
      <w:pPr>
        <w:pStyle w:val="SCtext"/>
        <w:numPr>
          <w:ilvl w:val="0"/>
          <w:numId w:val="0"/>
        </w:numPr>
        <w:rPr>
          <w:rFonts w:asciiTheme="minorHAnsi" w:hAnsiTheme="minorHAnsi" w:cstheme="minorHAnsi"/>
          <w:lang w:val="en-US"/>
        </w:rPr>
      </w:pPr>
    </w:p>
    <w:p w14:paraId="19065D76" w14:textId="77777777" w:rsidR="009A4F45" w:rsidRDefault="009A4F45" w:rsidP="00022673">
      <w:pPr>
        <w:pStyle w:val="SCtext"/>
        <w:numPr>
          <w:ilvl w:val="0"/>
          <w:numId w:val="0"/>
        </w:numPr>
        <w:rPr>
          <w:rFonts w:asciiTheme="minorHAnsi" w:hAnsiTheme="minorHAnsi" w:cstheme="minorHAnsi"/>
          <w:lang w:val="en-US"/>
        </w:rPr>
      </w:pPr>
    </w:p>
    <w:p w14:paraId="7FB39F0A" w14:textId="694F0F2F" w:rsidR="00FE1374" w:rsidRPr="00B845AF" w:rsidRDefault="00FE1374" w:rsidP="00022673">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70B68B92" wp14:editId="26156663">
            <wp:extent cx="5629910" cy="7076440"/>
            <wp:effectExtent l="0" t="0" r="8890" b="0"/>
            <wp:docPr id="1983198565" name="Picture 6" descr="Figure 11.34: Maximum likelihood estimates of (a) age-1+ biomass, (b) female spawning biomass (SSB), and (c) age-0 recruitment of north Pacific albacore tuna (Thunnus alalunga). Dashed lines indicate 95% confidence interv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ure 11.34: Maximum likelihood estimates of (a) age-1+ biomass, (b) female spawning biomass (SSB), and (c) age-0 recruitment of north Pacific albacore tuna (Thunnus alalunga). Dashed lines indicate 95% confidence intervals."/>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629910" cy="7076440"/>
                    </a:xfrm>
                    <a:prstGeom prst="rect">
                      <a:avLst/>
                    </a:prstGeom>
                    <a:noFill/>
                    <a:ln>
                      <a:noFill/>
                    </a:ln>
                  </pic:spPr>
                </pic:pic>
              </a:graphicData>
            </a:graphic>
          </wp:inline>
        </w:drawing>
      </w:r>
    </w:p>
    <w:p w14:paraId="28E93CD8" w14:textId="2778750F" w:rsidR="00FE1374" w:rsidRPr="00B845AF" w:rsidRDefault="00FE1374" w:rsidP="00022673">
      <w:pPr>
        <w:pStyle w:val="SCtext"/>
        <w:numPr>
          <w:ilvl w:val="0"/>
          <w:numId w:val="0"/>
        </w:numPr>
        <w:rPr>
          <w:rFonts w:asciiTheme="minorHAnsi" w:hAnsiTheme="minorHAnsi" w:cstheme="minorHAnsi"/>
          <w:lang w:val="en-US"/>
        </w:rPr>
      </w:pPr>
      <w:bookmarkStart w:id="35" w:name="_Hlk233881052"/>
      <w:r w:rsidRPr="00B845AF">
        <w:rPr>
          <w:rFonts w:asciiTheme="minorHAnsi" w:hAnsiTheme="minorHAnsi" w:cstheme="minorHAnsi"/>
          <w:b/>
          <w:bCs/>
          <w:lang w:val="en-US"/>
        </w:rPr>
        <w:t>Figure A-04</w:t>
      </w:r>
      <w:bookmarkEnd w:id="35"/>
      <w:r w:rsidRPr="00B845AF">
        <w:rPr>
          <w:rFonts w:asciiTheme="minorHAnsi" w:hAnsiTheme="minorHAnsi" w:cstheme="minorHAnsi"/>
          <w:lang w:val="en-US"/>
        </w:rPr>
        <w:t xml:space="preserve">: Maximum likelihood estimates of (a) age-1+ biomass, (b) female spawning biomass (SSB), and (c) age-0 recruitment of </w:t>
      </w:r>
      <w:r w:rsidR="009A3BBD" w:rsidRPr="00B845AF">
        <w:rPr>
          <w:rFonts w:asciiTheme="minorHAnsi" w:hAnsiTheme="minorHAnsi" w:cstheme="minorHAnsi"/>
          <w:lang w:val="en-US"/>
        </w:rPr>
        <w:t>North Pacific</w:t>
      </w:r>
      <w:r w:rsidRPr="00B845AF">
        <w:rPr>
          <w:rFonts w:asciiTheme="minorHAnsi" w:hAnsiTheme="minorHAnsi" w:cstheme="minorHAnsi"/>
          <w:lang w:val="en-US"/>
        </w:rPr>
        <w:t xml:space="preserve"> albacore tuna (</w:t>
      </w:r>
      <w:r w:rsidRPr="00B845AF">
        <w:rPr>
          <w:rFonts w:asciiTheme="minorHAnsi" w:hAnsiTheme="minorHAnsi" w:cstheme="minorHAnsi"/>
          <w:i/>
          <w:iCs/>
          <w:lang w:val="en-US"/>
        </w:rPr>
        <w:t>Thunnus alalunga</w:t>
      </w:r>
      <w:r w:rsidRPr="00B845AF">
        <w:rPr>
          <w:rFonts w:asciiTheme="minorHAnsi" w:hAnsiTheme="minorHAnsi" w:cstheme="minorHAnsi"/>
          <w:lang w:val="en-US"/>
        </w:rPr>
        <w:t xml:space="preserve">). Dashed lines indicate 95% confidence intervals. Figure 11.34 in stock assessment report. </w:t>
      </w:r>
    </w:p>
    <w:p w14:paraId="16CFE7D6" w14:textId="26EC3C60" w:rsidR="00FE1374" w:rsidRPr="00B845AF" w:rsidRDefault="00FE1374" w:rsidP="00960004">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1E05B1AB" wp14:editId="5B7DAE75">
            <wp:extent cx="5745480" cy="5745480"/>
            <wp:effectExtent l="0" t="0" r="7620" b="7620"/>
            <wp:docPr id="38" name="Picture 8" descr="Figure 11.38: (A) Estimated dynamic biomass ratio (SSB/SSBcurrent, F=0) of north Pacific albacore relative to biomass-based threshold (30%SSBcurrent, F=0; dotted line) and limit (14%SSBcurrent, F=0; dashed line) reference points over the modeling period (1994 – 2024). 95% confidence intervals are indicated by the lighter gray bands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is considered to be breached if the lower bound of the 60% confidence intervals overlaps the limit reference po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Figure 11.38: (A) Estimated dynamic biomass ratio (SSB/SSBcurrent, F=0) of north Pacific albacore relative to biomass-based threshold (30%SSBcurrent, F=0; dotted line) and limit (14%SSBcurrent, F=0; dashed line) reference points over the modeling period (1994 – 2024). 95% confidence intervals are indicated by the lighter gray bands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is considered to be breached if the lower bound of the 60% confidence intervals overlaps the limit reference point."/>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45480" cy="5745480"/>
                    </a:xfrm>
                    <a:prstGeom prst="rect">
                      <a:avLst/>
                    </a:prstGeom>
                    <a:noFill/>
                    <a:ln>
                      <a:noFill/>
                    </a:ln>
                  </pic:spPr>
                </pic:pic>
              </a:graphicData>
            </a:graphic>
          </wp:inline>
        </w:drawing>
      </w:r>
    </w:p>
    <w:p w14:paraId="40FDCD84" w14:textId="42953449" w:rsidR="00FE1374" w:rsidRPr="00B845AF" w:rsidRDefault="00FE1374" w:rsidP="00960004">
      <w:pPr>
        <w:pStyle w:val="SCtext"/>
        <w:numPr>
          <w:ilvl w:val="0"/>
          <w:numId w:val="0"/>
        </w:numPr>
        <w:rPr>
          <w:rFonts w:asciiTheme="minorHAnsi" w:hAnsiTheme="minorHAnsi" w:cstheme="minorHAnsi"/>
          <w:lang w:val="en-US"/>
        </w:rPr>
      </w:pPr>
      <w:r w:rsidRPr="00B845AF">
        <w:rPr>
          <w:rFonts w:asciiTheme="minorHAnsi" w:hAnsiTheme="minorHAnsi" w:cstheme="minorHAnsi"/>
          <w:b/>
          <w:bCs/>
          <w:lang w:val="en-US"/>
        </w:rPr>
        <w:t>Figure A-05</w:t>
      </w:r>
      <w:r w:rsidRPr="00B845AF">
        <w:rPr>
          <w:rFonts w:asciiTheme="minorHAnsi" w:hAnsiTheme="minorHAnsi" w:cstheme="minorHAnsi"/>
          <w:lang w:val="en-US"/>
        </w:rPr>
        <w:t>: (A) Estimated dynamic biomass ratio (SSB/SSB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xml:space="preserve">) of </w:t>
      </w:r>
      <w:r w:rsidR="009A3BBD" w:rsidRPr="00B845AF">
        <w:rPr>
          <w:rFonts w:asciiTheme="minorHAnsi" w:hAnsiTheme="minorHAnsi" w:cstheme="minorHAnsi"/>
          <w:lang w:val="en-US"/>
        </w:rPr>
        <w:t>North Pacific</w:t>
      </w:r>
      <w:r w:rsidRPr="00B845AF">
        <w:rPr>
          <w:rFonts w:asciiTheme="minorHAnsi" w:hAnsiTheme="minorHAnsi" w:cstheme="minorHAnsi"/>
          <w:lang w:val="en-US"/>
        </w:rPr>
        <w:t xml:space="preserve"> albacore relative to biomass-based threshold (30%SSB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dotted line) and limit (14%SSB</w:t>
      </w:r>
      <w:r w:rsidRPr="00B845AF">
        <w:rPr>
          <w:rFonts w:asciiTheme="minorHAnsi" w:hAnsiTheme="minorHAnsi" w:cstheme="minorHAnsi"/>
          <w:vertAlign w:val="subscript"/>
          <w:lang w:val="en-US"/>
        </w:rPr>
        <w:t>current, F=0</w:t>
      </w:r>
      <w:r w:rsidRPr="00B845AF">
        <w:rPr>
          <w:rFonts w:asciiTheme="minorHAnsi" w:hAnsiTheme="minorHAnsi" w:cstheme="minorHAnsi"/>
          <w:lang w:val="en-US"/>
        </w:rPr>
        <w:t xml:space="preserve">; dashed line) reference points over the modeling period (1994 – 2024). 95% confidence intervals are indicated by the lighter gray </w:t>
      </w:r>
      <w:proofErr w:type="gramStart"/>
      <w:r w:rsidRPr="00B845AF">
        <w:rPr>
          <w:rFonts w:asciiTheme="minorHAnsi" w:hAnsiTheme="minorHAnsi" w:cstheme="minorHAnsi"/>
          <w:lang w:val="en-US"/>
        </w:rPr>
        <w:t>bands</w:t>
      </w:r>
      <w:proofErr w:type="gramEnd"/>
      <w:r w:rsidRPr="00B845AF">
        <w:rPr>
          <w:rFonts w:asciiTheme="minorHAnsi" w:hAnsiTheme="minorHAnsi" w:cstheme="minorHAnsi"/>
          <w:lang w:val="en-US"/>
        </w:rPr>
        <w:t xml:space="preserve"> and 60% confidence intervals are indicated by the darker gray bands. (B) Estimated fishing intensity relative to the fishing intensity-based target reference point (F45%SPR) over the modeling period (1994 – 2024). The gray area indicates the 95% confidence intervals. The limit reference point </w:t>
      </w:r>
      <w:proofErr w:type="gramStart"/>
      <w:r w:rsidRPr="00B845AF">
        <w:rPr>
          <w:rFonts w:asciiTheme="minorHAnsi" w:hAnsiTheme="minorHAnsi" w:cstheme="minorHAnsi"/>
          <w:lang w:val="en-US"/>
        </w:rPr>
        <w:t>is considered to be</w:t>
      </w:r>
      <w:proofErr w:type="gramEnd"/>
      <w:r w:rsidRPr="00B845AF">
        <w:rPr>
          <w:rFonts w:asciiTheme="minorHAnsi" w:hAnsiTheme="minorHAnsi" w:cstheme="minorHAnsi"/>
          <w:lang w:val="en-US"/>
        </w:rPr>
        <w:t xml:space="preserve"> breached if the lower bound of the 60% confidence intervals overlaps the limit reference point. Figure 11.38 in stock assessment report.</w:t>
      </w:r>
    </w:p>
    <w:p w14:paraId="63C21373" w14:textId="77777777" w:rsidR="00FE1374" w:rsidRPr="00B845AF" w:rsidRDefault="00FE1374" w:rsidP="00960004">
      <w:pPr>
        <w:pStyle w:val="SCtext"/>
        <w:numPr>
          <w:ilvl w:val="0"/>
          <w:numId w:val="0"/>
        </w:numPr>
        <w:rPr>
          <w:rFonts w:asciiTheme="minorHAnsi" w:hAnsiTheme="minorHAnsi" w:cstheme="minorHAnsi"/>
          <w:lang w:val="en-US"/>
        </w:rPr>
      </w:pPr>
    </w:p>
    <w:p w14:paraId="2770FC18" w14:textId="412F82D4" w:rsidR="00FE1374" w:rsidRPr="00B845AF" w:rsidRDefault="00FE1374" w:rsidP="00960004">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7F9AA753" wp14:editId="6B121FC6">
            <wp:extent cx="4285615" cy="4285615"/>
            <wp:effectExtent l="0" t="0" r="635" b="635"/>
            <wp:docPr id="39" name="Picture 10" descr="Figure 11.35: Estimated sex-specific instantaneous fishing mortality at age (F-at-age) for the 2026 base case model, averaged across 2021-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igure 11.35: Estimated sex-specific instantaneous fishing mortality at age (F-at-age) for the 2026 base case model, averaged across 2021-202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285615" cy="4285615"/>
                    </a:xfrm>
                    <a:prstGeom prst="rect">
                      <a:avLst/>
                    </a:prstGeom>
                    <a:noFill/>
                    <a:ln>
                      <a:noFill/>
                    </a:ln>
                  </pic:spPr>
                </pic:pic>
              </a:graphicData>
            </a:graphic>
          </wp:inline>
        </w:drawing>
      </w:r>
    </w:p>
    <w:p w14:paraId="3483EBFA" w14:textId="350DA5BC" w:rsidR="00FE1374" w:rsidRPr="00B845AF" w:rsidRDefault="00FE1374" w:rsidP="00960004">
      <w:pPr>
        <w:pStyle w:val="SCtext"/>
        <w:numPr>
          <w:ilvl w:val="0"/>
          <w:numId w:val="0"/>
        </w:numPr>
        <w:rPr>
          <w:rFonts w:asciiTheme="minorHAnsi" w:hAnsiTheme="minorHAnsi" w:cstheme="minorHAnsi"/>
          <w:bCs/>
          <w:lang w:val="en-US"/>
        </w:rPr>
      </w:pPr>
      <w:bookmarkStart w:id="36" w:name="_Ref232158364"/>
      <w:bookmarkStart w:id="37" w:name="_Toc233569003"/>
      <w:r w:rsidRPr="00B845AF">
        <w:rPr>
          <w:rFonts w:asciiTheme="minorHAnsi" w:hAnsiTheme="minorHAnsi" w:cstheme="minorHAnsi"/>
          <w:b/>
          <w:lang w:val="en-US"/>
        </w:rPr>
        <w:t>Figure</w:t>
      </w:r>
      <w:bookmarkEnd w:id="36"/>
      <w:r w:rsidRPr="00B845AF">
        <w:rPr>
          <w:rFonts w:asciiTheme="minorHAnsi" w:hAnsiTheme="minorHAnsi" w:cstheme="minorHAnsi"/>
          <w:b/>
          <w:lang w:val="en-US"/>
        </w:rPr>
        <w:t xml:space="preserve"> A-06</w:t>
      </w:r>
      <w:r w:rsidR="00221731"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Estimated sex-specific instantaneous fishing mortality at age (F-at-age) for the 2026 base case model, averaged across 2021-2023.</w:t>
      </w:r>
      <w:bookmarkEnd w:id="37"/>
      <w:r w:rsidRPr="00B845AF">
        <w:rPr>
          <w:rFonts w:asciiTheme="minorHAnsi" w:hAnsiTheme="minorHAnsi" w:cstheme="minorHAnsi"/>
          <w:bCs/>
          <w:lang w:val="en-US"/>
        </w:rPr>
        <w:t xml:space="preserve"> Figure 11.35 in stock assessment report.</w:t>
      </w:r>
    </w:p>
    <w:p w14:paraId="4400A5B2" w14:textId="56856236" w:rsidR="00FE1374" w:rsidRPr="00B845AF" w:rsidRDefault="00FE1374" w:rsidP="00C22EFB">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3159DC40" wp14:editId="5F635DB0">
            <wp:extent cx="5943600" cy="6428105"/>
            <wp:effectExtent l="0" t="0" r="0" b="0"/>
            <wp:docPr id="40" name="Picture 12" descr="Figure 11.31: Historical catch at age of north Pacific albacore estimated by the 2026 base case model. Panels are arranged for the total catch and ages 0-5 (top), 6-10 (middle), and 11-15 (bottom). Note the difference in y-axis scale between the top panel and middle and bottom pan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igure 11.31: Historical catch at age of north Pacific albacore estimated by the 2026 base case model. Panels are arranged for the total catch and ages 0-5 (top), 6-10 (middle), and 11-15 (bottom). Note the difference in y-axis scale between the top panel and middle and bottom panels."/>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3600" cy="6428105"/>
                    </a:xfrm>
                    <a:prstGeom prst="rect">
                      <a:avLst/>
                    </a:prstGeom>
                    <a:noFill/>
                    <a:ln>
                      <a:noFill/>
                    </a:ln>
                  </pic:spPr>
                </pic:pic>
              </a:graphicData>
            </a:graphic>
          </wp:inline>
        </w:drawing>
      </w:r>
    </w:p>
    <w:p w14:paraId="67E16944" w14:textId="4E65FA21" w:rsidR="00FE1374" w:rsidRPr="00B845AF" w:rsidRDefault="00FE1374" w:rsidP="00C22EFB">
      <w:pPr>
        <w:pStyle w:val="SCtext"/>
        <w:numPr>
          <w:ilvl w:val="0"/>
          <w:numId w:val="0"/>
        </w:numPr>
        <w:rPr>
          <w:rFonts w:asciiTheme="minorHAnsi" w:hAnsiTheme="minorHAnsi" w:cstheme="minorHAnsi"/>
          <w:bCs/>
          <w:lang w:val="en-US"/>
        </w:rPr>
      </w:pPr>
      <w:bookmarkStart w:id="38" w:name="_Ref232158372"/>
      <w:bookmarkStart w:id="39" w:name="_Toc233569004"/>
      <w:r w:rsidRPr="00B845AF">
        <w:rPr>
          <w:rFonts w:asciiTheme="minorHAnsi" w:hAnsiTheme="minorHAnsi" w:cstheme="minorHAnsi"/>
          <w:b/>
          <w:lang w:val="en-US"/>
        </w:rPr>
        <w:t xml:space="preserve">Figure </w:t>
      </w:r>
      <w:bookmarkEnd w:id="38"/>
      <w:r w:rsidRPr="00B845AF">
        <w:rPr>
          <w:rFonts w:asciiTheme="minorHAnsi" w:hAnsiTheme="minorHAnsi" w:cstheme="minorHAnsi"/>
          <w:b/>
          <w:lang w:val="en-US"/>
        </w:rPr>
        <w:t>A-07</w:t>
      </w:r>
      <w:r w:rsidR="00221731"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Historical catch at age of </w:t>
      </w:r>
      <w:r w:rsidR="009A3BBD" w:rsidRPr="00B845AF">
        <w:rPr>
          <w:rFonts w:asciiTheme="minorHAnsi" w:hAnsiTheme="minorHAnsi" w:cstheme="minorHAnsi"/>
          <w:bCs/>
          <w:lang w:val="en-US"/>
        </w:rPr>
        <w:t>North Pacific</w:t>
      </w:r>
      <w:r w:rsidRPr="00B845AF">
        <w:rPr>
          <w:rFonts w:asciiTheme="minorHAnsi" w:hAnsiTheme="minorHAnsi" w:cstheme="minorHAnsi"/>
          <w:bCs/>
          <w:lang w:val="en-US"/>
        </w:rPr>
        <w:t xml:space="preserve"> albacore estimated by the 2026 base case model. Panels are arranged for the total catch and ages 0-5 (top), 6-10 (middle), and 11-15 (bottom). Note the difference in y-axis scale between the top panel and middle and bottom panels.</w:t>
      </w:r>
      <w:bookmarkEnd w:id="39"/>
      <w:r w:rsidRPr="00B845AF">
        <w:rPr>
          <w:rFonts w:asciiTheme="minorHAnsi" w:hAnsiTheme="minorHAnsi" w:cstheme="minorHAnsi"/>
          <w:bCs/>
          <w:lang w:val="en-US"/>
        </w:rPr>
        <w:t xml:space="preserve"> Figure 11.31 in stock assessment report.</w:t>
      </w:r>
    </w:p>
    <w:p w14:paraId="4D903A1B" w14:textId="79CDDFDD" w:rsidR="00FE1374" w:rsidRPr="00B845AF" w:rsidRDefault="00FE1374" w:rsidP="009A4F45">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020E0BFF" wp14:editId="557F910B">
            <wp:extent cx="5155096" cy="5155096"/>
            <wp:effectExtent l="0" t="0" r="7620" b="7620"/>
            <wp:docPr id="176639361" name="Picture 2"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graph with different colored lines&#10;&#10;AI-generated content may be incorrect."/>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159777" cy="5159777"/>
                    </a:xfrm>
                    <a:prstGeom prst="rect">
                      <a:avLst/>
                    </a:prstGeom>
                    <a:noFill/>
                    <a:ln>
                      <a:noFill/>
                    </a:ln>
                  </pic:spPr>
                </pic:pic>
              </a:graphicData>
            </a:graphic>
          </wp:inline>
        </w:drawing>
      </w:r>
    </w:p>
    <w:p w14:paraId="311206EF" w14:textId="29E8F22D" w:rsidR="009A4F45" w:rsidRDefault="00FE1374" w:rsidP="003B355F">
      <w:pPr>
        <w:pStyle w:val="SCtext"/>
        <w:numPr>
          <w:ilvl w:val="0"/>
          <w:numId w:val="0"/>
        </w:numPr>
        <w:rPr>
          <w:rFonts w:asciiTheme="minorHAnsi" w:hAnsiTheme="minorHAnsi" w:cstheme="minorHAnsi"/>
          <w:bCs/>
          <w:lang w:val="en-US"/>
        </w:rPr>
      </w:pPr>
      <w:bookmarkStart w:id="40" w:name="_Ref232158380"/>
      <w:bookmarkStart w:id="41" w:name="_Toc233569005"/>
      <w:r w:rsidRPr="00B845AF">
        <w:rPr>
          <w:rFonts w:asciiTheme="minorHAnsi" w:hAnsiTheme="minorHAnsi" w:cstheme="minorHAnsi"/>
          <w:b/>
          <w:lang w:val="en-US"/>
        </w:rPr>
        <w:t>Figure</w:t>
      </w:r>
      <w:bookmarkEnd w:id="40"/>
      <w:r w:rsidRPr="00B845AF">
        <w:rPr>
          <w:rFonts w:asciiTheme="minorHAnsi" w:hAnsiTheme="minorHAnsi" w:cstheme="minorHAnsi"/>
          <w:b/>
          <w:lang w:val="en-US"/>
        </w:rPr>
        <w:t xml:space="preserve"> A-08</w:t>
      </w:r>
      <w:r w:rsidR="00221731"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Fishery impact analysis on </w:t>
      </w:r>
      <w:r w:rsidR="009A3BBD" w:rsidRPr="00B845AF">
        <w:rPr>
          <w:rFonts w:asciiTheme="minorHAnsi" w:hAnsiTheme="minorHAnsi" w:cstheme="minorHAnsi"/>
          <w:bCs/>
          <w:lang w:val="en-US"/>
        </w:rPr>
        <w:t>North Pacific</w:t>
      </w:r>
      <w:r w:rsidRPr="00B845AF">
        <w:rPr>
          <w:rFonts w:asciiTheme="minorHAnsi" w:hAnsiTheme="minorHAnsi" w:cstheme="minorHAnsi"/>
          <w:bCs/>
          <w:lang w:val="en-US"/>
        </w:rPr>
        <w:t xml:space="preserve"> albacore showing female spawning biomass (SSB; red) estimated by the 2026 base case model as a percentage of dynamic, unfished female SSB (SSB_(</w:t>
      </w:r>
      <w:proofErr w:type="spellStart"/>
      <w:proofErr w:type="gramStart"/>
      <w:r w:rsidRPr="00B845AF">
        <w:rPr>
          <w:rFonts w:asciiTheme="minorHAnsi" w:hAnsiTheme="minorHAnsi" w:cstheme="minorHAnsi"/>
          <w:bCs/>
          <w:lang w:val="en-US"/>
        </w:rPr>
        <w:t>current,F</w:t>
      </w:r>
      <w:proofErr w:type="spellEnd"/>
      <w:proofErr w:type="gramEnd"/>
      <w:r w:rsidRPr="00B845AF">
        <w:rPr>
          <w:rFonts w:asciiTheme="minorHAnsi" w:hAnsiTheme="minorHAnsi" w:cstheme="minorHAnsi"/>
          <w:bCs/>
          <w:lang w:val="en-US"/>
        </w:rPr>
        <w:t xml:space="preserve">=0)). Colored areas show the relative proportion of fishing impact attributed to longline (green) and surface (blue) fisheries (primarily troll and pole-and-line </w:t>
      </w:r>
      <w:proofErr w:type="gramStart"/>
      <w:r w:rsidRPr="00B845AF">
        <w:rPr>
          <w:rFonts w:asciiTheme="minorHAnsi" w:hAnsiTheme="minorHAnsi" w:cstheme="minorHAnsi"/>
          <w:bCs/>
          <w:lang w:val="en-US"/>
        </w:rPr>
        <w:t>gear, but</w:t>
      </w:r>
      <w:proofErr w:type="gramEnd"/>
      <w:r w:rsidRPr="00B845AF">
        <w:rPr>
          <w:rFonts w:asciiTheme="minorHAnsi" w:hAnsiTheme="minorHAnsi" w:cstheme="minorHAnsi"/>
          <w:bCs/>
          <w:lang w:val="en-US"/>
        </w:rPr>
        <w:t xml:space="preserve"> including all other gears except longline).</w:t>
      </w:r>
      <w:bookmarkEnd w:id="41"/>
      <w:r w:rsidRPr="00B845AF">
        <w:rPr>
          <w:rFonts w:asciiTheme="minorHAnsi" w:hAnsiTheme="minorHAnsi" w:cstheme="minorHAnsi"/>
          <w:bCs/>
          <w:lang w:val="en-US"/>
        </w:rPr>
        <w:t xml:space="preserve"> Figure 11.36 in stock assessment report.</w:t>
      </w:r>
    </w:p>
    <w:p w14:paraId="689F7C0A" w14:textId="77777777" w:rsidR="009A4F45" w:rsidRDefault="009A4F45">
      <w:pPr>
        <w:rPr>
          <w:rFonts w:asciiTheme="minorHAnsi" w:eastAsiaTheme="minorEastAsia" w:hAnsiTheme="minorHAnsi" w:cstheme="minorHAnsi"/>
          <w:bCs/>
          <w:szCs w:val="22"/>
          <w:lang w:eastAsia="ko-KR"/>
        </w:rPr>
      </w:pPr>
      <w:r>
        <w:rPr>
          <w:rFonts w:asciiTheme="minorHAnsi" w:hAnsiTheme="minorHAnsi" w:cstheme="minorHAnsi"/>
          <w:bCs/>
        </w:rPr>
        <w:br w:type="page"/>
      </w:r>
    </w:p>
    <w:p w14:paraId="34A7F183" w14:textId="77777777" w:rsidR="00FE1374" w:rsidRPr="00B845AF" w:rsidRDefault="00FE1374" w:rsidP="003B355F">
      <w:pPr>
        <w:pStyle w:val="SCtext"/>
        <w:numPr>
          <w:ilvl w:val="0"/>
          <w:numId w:val="0"/>
        </w:numPr>
        <w:rPr>
          <w:rFonts w:asciiTheme="minorHAnsi" w:hAnsiTheme="minorHAnsi" w:cstheme="minorHAnsi"/>
          <w:bCs/>
          <w:lang w:val="en-US"/>
        </w:rPr>
      </w:pPr>
    </w:p>
    <w:p w14:paraId="1BA0D299" w14:textId="7F120F88" w:rsidR="00FE1374" w:rsidRPr="00B845AF" w:rsidRDefault="00FE1374" w:rsidP="00F15A06">
      <w:pPr>
        <w:pStyle w:val="SCtext"/>
        <w:numPr>
          <w:ilvl w:val="0"/>
          <w:numId w:val="0"/>
        </w:numP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3C2F86AD" wp14:editId="064E6182">
            <wp:extent cx="5943600" cy="2974975"/>
            <wp:effectExtent l="0" t="0" r="0" b="0"/>
            <wp:docPr id="42" name="Picture 16" descr="Figure 11.37: (a) Stock status phase plot showing the status of the north Pacific albacore (Thunnus alalunga) stock relative to the biomass-based threshold (30%SSBcurrent,F=0) and limit (14%SSBcurrent,F=0)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SSBcurrent,F=0 ratios in (B) were calculated as the average during 2021-2023 (F%SPR, 2021-2023) and 2024 (SSB2024/SSBcurrent, F=0), respectively. The model representing an update of the 2023 base case model is similar to but not identical to the 2023 base case model due to changes in data preparation and model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gure 11.37: (a) Stock status phase plot showing the status of the north Pacific albacore (Thunnus alalunga) stock relative to the biomass-based threshold (30%SSBcurrent,F=0) and limit (14%SSBcurrent,F=0)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SSBcurrent,F=0 ratios in (B) were calculated as the average during 2021-2023 (F%SPR, 2021-2023) and 2024 (SSB2024/SSBcurrent, F=0), respectively. The model representing an update of the 2023 base case model is similar to but not identical to the 2023 base case model due to changes in data preparation and model structure."/>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03BBEDE9" w14:textId="7C664178" w:rsidR="00FE1374" w:rsidRPr="00B845AF" w:rsidRDefault="00FE1374" w:rsidP="00F15A06">
      <w:pPr>
        <w:pStyle w:val="SCtext"/>
        <w:numPr>
          <w:ilvl w:val="0"/>
          <w:numId w:val="0"/>
        </w:numPr>
        <w:rPr>
          <w:rFonts w:asciiTheme="minorHAnsi" w:hAnsiTheme="minorHAnsi" w:cstheme="minorHAnsi"/>
          <w:bCs/>
          <w:lang w:val="en-US"/>
        </w:rPr>
      </w:pPr>
      <w:bookmarkStart w:id="42" w:name="_Ref232158418"/>
      <w:bookmarkStart w:id="43" w:name="_Toc233569006"/>
      <w:r w:rsidRPr="00B845AF">
        <w:rPr>
          <w:rFonts w:asciiTheme="minorHAnsi" w:hAnsiTheme="minorHAnsi" w:cstheme="minorHAnsi"/>
          <w:b/>
          <w:lang w:val="en-US"/>
        </w:rPr>
        <w:t>Figure</w:t>
      </w:r>
      <w:bookmarkEnd w:id="42"/>
      <w:r w:rsidRPr="00B845AF">
        <w:rPr>
          <w:rFonts w:asciiTheme="minorHAnsi" w:hAnsiTheme="minorHAnsi" w:cstheme="minorHAnsi"/>
          <w:b/>
          <w:lang w:val="en-US"/>
        </w:rPr>
        <w:t xml:space="preserve"> A-09</w:t>
      </w:r>
      <w:r w:rsidR="00221731"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(a) Stock status phase plot showing the status of the </w:t>
      </w:r>
      <w:r w:rsidR="009A3BBD" w:rsidRPr="00B845AF">
        <w:rPr>
          <w:rFonts w:asciiTheme="minorHAnsi" w:hAnsiTheme="minorHAnsi" w:cstheme="minorHAnsi"/>
          <w:bCs/>
          <w:lang w:val="en-US"/>
        </w:rPr>
        <w:t>North Pacific</w:t>
      </w:r>
      <w:r w:rsidRPr="00B845AF">
        <w:rPr>
          <w:rFonts w:asciiTheme="minorHAnsi" w:hAnsiTheme="minorHAnsi" w:cstheme="minorHAnsi"/>
          <w:bCs/>
          <w:lang w:val="en-US"/>
        </w:rPr>
        <w:t xml:space="preserve"> albacore (</w:t>
      </w:r>
      <w:r w:rsidRPr="00B845AF">
        <w:rPr>
          <w:rFonts w:asciiTheme="minorHAnsi" w:hAnsiTheme="minorHAnsi" w:cstheme="minorHAnsi"/>
          <w:bCs/>
          <w:i/>
          <w:iCs/>
          <w:lang w:val="en-US"/>
        </w:rPr>
        <w:t>Thunnus alalunga</w:t>
      </w:r>
      <w:r w:rsidRPr="00B845AF">
        <w:rPr>
          <w:rFonts w:asciiTheme="minorHAnsi" w:hAnsiTheme="minorHAnsi" w:cstheme="minorHAnsi"/>
          <w:bCs/>
          <w:lang w:val="en-US"/>
        </w:rPr>
        <w:t>) stock relative to the biomass-based threshold (30%</w:t>
      </w:r>
      <w:proofErr w:type="gramStart"/>
      <w:r w:rsidRPr="00B845AF">
        <w:rPr>
          <w:rFonts w:asciiTheme="minorHAnsi" w:hAnsiTheme="minorHAnsi" w:cstheme="minorHAnsi"/>
          <w:bCs/>
          <w:lang w:val="en-US"/>
        </w:rPr>
        <w:t>SSB</w:t>
      </w:r>
      <w:r w:rsidRPr="00B845AF">
        <w:rPr>
          <w:rFonts w:asciiTheme="minorHAnsi" w:hAnsiTheme="minorHAnsi" w:cstheme="minorHAnsi"/>
          <w:bCs/>
          <w:vertAlign w:val="subscript"/>
          <w:lang w:val="en-US"/>
        </w:rPr>
        <w:t>current,F</w:t>
      </w:r>
      <w:proofErr w:type="gramEnd"/>
      <w:r w:rsidRPr="00B845AF">
        <w:rPr>
          <w:rFonts w:asciiTheme="minorHAnsi" w:hAnsiTheme="minorHAnsi" w:cstheme="minorHAnsi"/>
          <w:bCs/>
          <w:vertAlign w:val="subscript"/>
          <w:lang w:val="en-US"/>
        </w:rPr>
        <w:t>=0</w:t>
      </w:r>
      <w:r w:rsidRPr="00B845AF">
        <w:rPr>
          <w:rFonts w:asciiTheme="minorHAnsi" w:hAnsiTheme="minorHAnsi" w:cstheme="minorHAnsi"/>
          <w:bCs/>
          <w:lang w:val="en-US"/>
        </w:rPr>
        <w:t>) and limit (14%</w:t>
      </w:r>
      <w:proofErr w:type="gramStart"/>
      <w:r w:rsidRPr="00B845AF">
        <w:rPr>
          <w:rFonts w:asciiTheme="minorHAnsi" w:hAnsiTheme="minorHAnsi" w:cstheme="minorHAnsi"/>
          <w:bCs/>
          <w:lang w:val="en-US"/>
        </w:rPr>
        <w:t>SSB</w:t>
      </w:r>
      <w:r w:rsidRPr="00B845AF">
        <w:rPr>
          <w:rFonts w:asciiTheme="minorHAnsi" w:hAnsiTheme="minorHAnsi" w:cstheme="minorHAnsi"/>
          <w:bCs/>
          <w:vertAlign w:val="subscript"/>
          <w:lang w:val="en-US"/>
        </w:rPr>
        <w:t>current,F</w:t>
      </w:r>
      <w:proofErr w:type="gramEnd"/>
      <w:r w:rsidRPr="00B845AF">
        <w:rPr>
          <w:rFonts w:asciiTheme="minorHAnsi" w:hAnsiTheme="minorHAnsi" w:cstheme="minorHAnsi"/>
          <w:bCs/>
          <w:vertAlign w:val="subscript"/>
          <w:lang w:val="en-US"/>
        </w:rPr>
        <w:t>=0</w:t>
      </w:r>
      <w:r w:rsidRPr="00B845AF">
        <w:rPr>
          <w:rFonts w:asciiTheme="minorHAnsi" w:hAnsiTheme="minorHAnsi" w:cstheme="minorHAnsi"/>
          <w:bCs/>
          <w:lang w:val="en-US"/>
        </w:rPr>
        <w:t>) reference points, and fishing intensity-based target reference point (F45%SPR) over the modeling period (1994 – 2024). Blue triangle indicates the start year (1994) and black circle with 95% confidence intervals indicates the terminal year (2024). (B) Stock status plot showing current stock status and 95% confidence intervals of the base case model (black circle), a sensitivity run an important sensitivity run of CV = 0.06 for Linf in the growth model (gray), an important sensitivity run with two initial fishing mortality parameters (red), and a model representing an update of the 2023 base case model to 2026 data (purple). Red zones in both panels indicate female SSBs falling below the limit reference point while the orange zones indicate female SSBs between the threshold and limit reference points. Green zones indicate female SSBs above the threshold reference point and fishing intensity levels below the target reference point. Yellow areas indicate female SSBs above the threshold reference point and fishing intensity levels above the target reference point. The Fs in this figure are indicators of fishing intensity based on spawning potential ratio (SPR) and calculated as %SPR. SPR is the ratio of the equilibrium SSB per recruit that would result from the estimated F-at-age relative to that of an unfished population. A higher %SPR indicates lower fishing intensity. Current fishing intensity values and SSB/</w:t>
      </w:r>
      <w:proofErr w:type="gramStart"/>
      <w:r w:rsidRPr="00B845AF">
        <w:rPr>
          <w:rFonts w:asciiTheme="minorHAnsi" w:hAnsiTheme="minorHAnsi" w:cstheme="minorHAnsi"/>
          <w:bCs/>
          <w:lang w:val="en-US"/>
        </w:rPr>
        <w:t>SSBcurrent,F</w:t>
      </w:r>
      <w:proofErr w:type="gramEnd"/>
      <w:r w:rsidRPr="00B845AF">
        <w:rPr>
          <w:rFonts w:asciiTheme="minorHAnsi" w:hAnsiTheme="minorHAnsi" w:cstheme="minorHAnsi"/>
          <w:bCs/>
          <w:lang w:val="en-US"/>
        </w:rPr>
        <w:t xml:space="preserve">=0 ratios in (B) were calculated as the average during 2021-2023 (F%SPR, 2021-2023) and 2024 (SSB2024/SSBcurrent, F=0), respectively. The model representing an update of the 2023 base case model is </w:t>
      </w:r>
      <w:proofErr w:type="gramStart"/>
      <w:r w:rsidRPr="00B845AF">
        <w:rPr>
          <w:rFonts w:asciiTheme="minorHAnsi" w:hAnsiTheme="minorHAnsi" w:cstheme="minorHAnsi"/>
          <w:bCs/>
          <w:lang w:val="en-US"/>
        </w:rPr>
        <w:t>similar to</w:t>
      </w:r>
      <w:proofErr w:type="gramEnd"/>
      <w:r w:rsidRPr="00B845AF">
        <w:rPr>
          <w:rFonts w:asciiTheme="minorHAnsi" w:hAnsiTheme="minorHAnsi" w:cstheme="minorHAnsi"/>
          <w:bCs/>
          <w:lang w:val="en-US"/>
        </w:rPr>
        <w:t xml:space="preserve"> but not identical to the 2023 base case model due to changes in data preparation and model structure.</w:t>
      </w:r>
      <w:bookmarkEnd w:id="43"/>
      <w:r w:rsidRPr="00B845AF">
        <w:rPr>
          <w:rFonts w:asciiTheme="minorHAnsi" w:hAnsiTheme="minorHAnsi" w:cstheme="minorHAnsi"/>
          <w:bCs/>
          <w:lang w:val="en-US"/>
        </w:rPr>
        <w:t xml:space="preserve"> Figure 11.37 in stock assessment report</w:t>
      </w:r>
      <w:r w:rsidR="00122A68" w:rsidRPr="00B845AF">
        <w:rPr>
          <w:rFonts w:asciiTheme="minorHAnsi" w:hAnsiTheme="minorHAnsi" w:cstheme="minorHAnsi"/>
          <w:bCs/>
          <w:lang w:val="en-US"/>
        </w:rPr>
        <w:t>.</w:t>
      </w:r>
    </w:p>
    <w:p w14:paraId="5BA2AB35" w14:textId="54B26C85" w:rsidR="00FE1374" w:rsidRPr="00B845AF" w:rsidRDefault="00FE1374" w:rsidP="009A4F45">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lastRenderedPageBreak/>
        <w:drawing>
          <wp:inline distT="0" distB="0" distL="0" distR="0" wp14:anchorId="07FF76B8" wp14:editId="02F0678E">
            <wp:extent cx="3670853" cy="3363024"/>
            <wp:effectExtent l="0" t="0" r="6350" b="8890"/>
            <wp:docPr id="43" name="Picture 15" descr="Figure 0.9: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igure 0.9: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72570" cy="3364597"/>
                    </a:xfrm>
                    <a:prstGeom prst="rect">
                      <a:avLst/>
                    </a:prstGeom>
                    <a:noFill/>
                    <a:ln>
                      <a:noFill/>
                    </a:ln>
                  </pic:spPr>
                </pic:pic>
              </a:graphicData>
            </a:graphic>
          </wp:inline>
        </w:drawing>
      </w:r>
    </w:p>
    <w:p w14:paraId="0A8EE680" w14:textId="07CF1DB5" w:rsidR="00FE1374" w:rsidRPr="00B845AF" w:rsidRDefault="00FE1374" w:rsidP="00F15A06">
      <w:pPr>
        <w:pStyle w:val="SCtext"/>
        <w:numPr>
          <w:ilvl w:val="0"/>
          <w:numId w:val="0"/>
        </w:numPr>
        <w:rPr>
          <w:rFonts w:asciiTheme="minorHAnsi" w:hAnsiTheme="minorHAnsi" w:cstheme="minorHAnsi"/>
          <w:bCs/>
          <w:lang w:val="en-US"/>
        </w:rPr>
      </w:pPr>
      <w:bookmarkStart w:id="44" w:name="_Ref232158486"/>
      <w:bookmarkStart w:id="45" w:name="_Toc233569007"/>
      <w:r w:rsidRPr="00B845AF">
        <w:rPr>
          <w:rFonts w:asciiTheme="minorHAnsi" w:hAnsiTheme="minorHAnsi" w:cstheme="minorHAnsi"/>
          <w:b/>
          <w:lang w:val="en-US"/>
        </w:rPr>
        <w:t xml:space="preserve">Figure </w:t>
      </w:r>
      <w:bookmarkEnd w:id="44"/>
      <w:r w:rsidRPr="00B845AF">
        <w:rPr>
          <w:rFonts w:asciiTheme="minorHAnsi" w:hAnsiTheme="minorHAnsi" w:cstheme="minorHAnsi"/>
          <w:b/>
          <w:lang w:val="en-US"/>
        </w:rPr>
        <w:t>A-10</w:t>
      </w:r>
      <w:r w:rsidR="00DA7C4E"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Future projection results under a constant fishing intensity (F2021-2023) harvest scenario. Solid lines indicate mean values,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w:t>
      </w:r>
      <w:bookmarkEnd w:id="45"/>
      <w:r w:rsidRPr="00B845AF">
        <w:rPr>
          <w:rFonts w:asciiTheme="minorHAnsi" w:hAnsiTheme="minorHAnsi" w:cstheme="minorHAnsi"/>
          <w:bCs/>
          <w:lang w:val="en-US"/>
        </w:rPr>
        <w:t xml:space="preserve"> Figure 11.50 in stock assessment report.</w:t>
      </w:r>
    </w:p>
    <w:p w14:paraId="272D729A" w14:textId="0F35CACD" w:rsidR="00FE1374" w:rsidRPr="00B845AF" w:rsidRDefault="00FE1374" w:rsidP="009A4F45">
      <w:pPr>
        <w:pStyle w:val="SCtext"/>
        <w:numPr>
          <w:ilvl w:val="0"/>
          <w:numId w:val="0"/>
        </w:numPr>
        <w:jc w:val="center"/>
        <w:rPr>
          <w:rFonts w:asciiTheme="minorHAnsi" w:hAnsiTheme="minorHAnsi" w:cstheme="minorHAnsi"/>
          <w:lang w:val="en-US"/>
        </w:rPr>
      </w:pPr>
      <w:r w:rsidRPr="00B845AF">
        <w:rPr>
          <w:rFonts w:asciiTheme="minorHAnsi" w:hAnsiTheme="minorHAnsi" w:cstheme="minorHAnsi"/>
          <w:noProof/>
          <w:lang w:val="en-US"/>
        </w:rPr>
        <w:drawing>
          <wp:inline distT="0" distB="0" distL="0" distR="0" wp14:anchorId="619ECF21" wp14:editId="47F9DA45">
            <wp:extent cx="3299791" cy="3018959"/>
            <wp:effectExtent l="0" t="0" r="0" b="0"/>
            <wp:docPr id="44" name="Picture 14" descr="A graph of different types of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 graph of different types of graphs&#10;&#10;AI-generated content may be incorrect."/>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17581" cy="3035235"/>
                    </a:xfrm>
                    <a:prstGeom prst="rect">
                      <a:avLst/>
                    </a:prstGeom>
                    <a:noFill/>
                    <a:ln>
                      <a:noFill/>
                    </a:ln>
                  </pic:spPr>
                </pic:pic>
              </a:graphicData>
            </a:graphic>
          </wp:inline>
        </w:drawing>
      </w:r>
    </w:p>
    <w:p w14:paraId="370D1455" w14:textId="3ACD7ED9" w:rsidR="0085097E" w:rsidRPr="00B845AF" w:rsidRDefault="00FE1374" w:rsidP="00825819">
      <w:pPr>
        <w:pStyle w:val="SCtext"/>
        <w:numPr>
          <w:ilvl w:val="0"/>
          <w:numId w:val="0"/>
        </w:numPr>
        <w:rPr>
          <w:rFonts w:asciiTheme="minorHAnsi" w:hAnsiTheme="minorHAnsi" w:cstheme="minorHAnsi"/>
          <w:lang w:val="en-US"/>
        </w:rPr>
      </w:pPr>
      <w:bookmarkStart w:id="46" w:name="_Ref232158496"/>
      <w:bookmarkStart w:id="47" w:name="_Toc233569008"/>
      <w:r w:rsidRPr="00B845AF">
        <w:rPr>
          <w:rFonts w:asciiTheme="minorHAnsi" w:hAnsiTheme="minorHAnsi" w:cstheme="minorHAnsi"/>
          <w:b/>
          <w:lang w:val="en-US"/>
        </w:rPr>
        <w:t>Figure</w:t>
      </w:r>
      <w:bookmarkEnd w:id="46"/>
      <w:r w:rsidRPr="00B845AF">
        <w:rPr>
          <w:rFonts w:asciiTheme="minorHAnsi" w:hAnsiTheme="minorHAnsi" w:cstheme="minorHAnsi"/>
          <w:b/>
          <w:lang w:val="en-US"/>
        </w:rPr>
        <w:t xml:space="preserve"> A-11</w:t>
      </w:r>
      <w:r w:rsidR="00DA7C4E"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Future projection results under a </w:t>
      </w:r>
      <w:proofErr w:type="gramStart"/>
      <w:r w:rsidRPr="00B845AF">
        <w:rPr>
          <w:rFonts w:asciiTheme="minorHAnsi" w:hAnsiTheme="minorHAnsi" w:cstheme="minorHAnsi"/>
          <w:bCs/>
          <w:lang w:val="en-US"/>
        </w:rPr>
        <w:t>randomly</w:t>
      </w:r>
      <w:proofErr w:type="gramEnd"/>
      <w:r w:rsidRPr="00B845AF">
        <w:rPr>
          <w:rFonts w:asciiTheme="minorHAnsi" w:hAnsiTheme="minorHAnsi" w:cstheme="minorHAnsi"/>
          <w:bCs/>
          <w:lang w:val="en-US"/>
        </w:rPr>
        <w:t xml:space="preserve"> F (2005-2019) scenario. Solid lines indicate mean values, and uncertainty ranges indicate 60% and 95% confidence intervals, and the dashed line is the reference point, respectively. (A) Annual changes in spawning biomass; (B) Interannual changes in fishing mortality (F%SPR); (C) Projected ratios to the limit reference point thresholds; and (D) Projected ratios to management targets for the total biomass.</w:t>
      </w:r>
      <w:bookmarkEnd w:id="47"/>
      <w:r w:rsidRPr="00B845AF">
        <w:rPr>
          <w:rFonts w:asciiTheme="minorHAnsi" w:hAnsiTheme="minorHAnsi" w:cstheme="minorHAnsi"/>
          <w:bCs/>
          <w:lang w:val="en-US"/>
        </w:rPr>
        <w:t xml:space="preserve"> Figure 11.51 in </w:t>
      </w:r>
      <w:r w:rsidR="00563C92" w:rsidRPr="00B845AF">
        <w:rPr>
          <w:rFonts w:asciiTheme="minorHAnsi" w:hAnsiTheme="minorHAnsi" w:cstheme="minorHAnsi"/>
          <w:bCs/>
          <w:lang w:val="en-US"/>
        </w:rPr>
        <w:t xml:space="preserve">the </w:t>
      </w:r>
      <w:r w:rsidRPr="00B845AF">
        <w:rPr>
          <w:rFonts w:asciiTheme="minorHAnsi" w:hAnsiTheme="minorHAnsi" w:cstheme="minorHAnsi"/>
          <w:bCs/>
          <w:lang w:val="en-US"/>
        </w:rPr>
        <w:t>stock assessment report.</w:t>
      </w:r>
    </w:p>
    <w:p w14:paraId="194CA2BA" w14:textId="3D7EE956" w:rsidR="0085097E" w:rsidRPr="00B845AF" w:rsidRDefault="0085097E" w:rsidP="00563C92">
      <w:pPr>
        <w:pStyle w:val="SC3"/>
        <w:rPr>
          <w:rFonts w:asciiTheme="minorHAnsi" w:hAnsiTheme="minorHAnsi" w:cstheme="minorHAnsi"/>
        </w:rPr>
      </w:pPr>
      <w:r w:rsidRPr="00B845AF">
        <w:rPr>
          <w:rFonts w:asciiTheme="minorHAnsi" w:hAnsiTheme="minorHAnsi" w:cstheme="minorHAnsi"/>
        </w:rPr>
        <w:lastRenderedPageBreak/>
        <w:t>Pacific bluefin tuna (</w:t>
      </w:r>
      <w:r w:rsidRPr="00B845AF">
        <w:rPr>
          <w:rFonts w:asciiTheme="minorHAnsi" w:hAnsiTheme="minorHAnsi" w:cstheme="minorHAnsi"/>
          <w:i/>
        </w:rPr>
        <w:t>Thunnus orientalis</w:t>
      </w:r>
      <w:r w:rsidRPr="00B845AF">
        <w:rPr>
          <w:rFonts w:asciiTheme="minorHAnsi" w:hAnsiTheme="minorHAnsi" w:cstheme="minorHAnsi"/>
        </w:rPr>
        <w:t>)</w:t>
      </w:r>
    </w:p>
    <w:p w14:paraId="595F9E65" w14:textId="2A5F17EA" w:rsidR="0085097E" w:rsidRPr="00B845AF" w:rsidRDefault="0085097E" w:rsidP="00563C92">
      <w:pPr>
        <w:widowControl w:val="0"/>
        <w:kinsoku w:val="0"/>
        <w:overflowPunct w:val="0"/>
        <w:autoSpaceDE w:val="0"/>
        <w:autoSpaceDN w:val="0"/>
        <w:adjustRightInd w:val="0"/>
        <w:snapToGrid w:val="0"/>
        <w:jc w:val="both"/>
        <w:rPr>
          <w:rFonts w:asciiTheme="minorHAnsi" w:eastAsia="MS Mincho" w:hAnsiTheme="minorHAnsi" w:cstheme="minorHAnsi"/>
          <w:b/>
          <w:iCs/>
          <w:szCs w:val="22"/>
          <w:lang w:eastAsia="ja-JP"/>
        </w:rPr>
      </w:pPr>
      <w:r w:rsidRPr="00B845AF">
        <w:rPr>
          <w:rFonts w:asciiTheme="minorHAnsi" w:hAnsiTheme="minorHAnsi" w:cstheme="minorHAnsi"/>
          <w:b/>
          <w:szCs w:val="22"/>
        </w:rPr>
        <w:t>4.4.3.1</w:t>
      </w:r>
      <w:r w:rsidRPr="00B845AF">
        <w:rPr>
          <w:rFonts w:asciiTheme="minorHAnsi" w:hAnsiTheme="minorHAnsi" w:cstheme="minorHAnsi"/>
          <w:b/>
          <w:szCs w:val="22"/>
        </w:rPr>
        <w:tab/>
        <w:t>Research on migratory patterns</w:t>
      </w:r>
    </w:p>
    <w:p w14:paraId="0F823CD7" w14:textId="1D253464" w:rsidR="00D649E0" w:rsidRPr="00B845AF" w:rsidRDefault="00D649E0" w:rsidP="00563C92">
      <w:pPr>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43DF2198" w14:textId="76964914" w:rsidR="0085097E" w:rsidRPr="00B845AF" w:rsidRDefault="00FF1DFE" w:rsidP="00563C92">
      <w:pPr>
        <w:pStyle w:val="SCtext"/>
        <w:rPr>
          <w:rFonts w:asciiTheme="minorHAnsi" w:hAnsiTheme="minorHAnsi" w:cstheme="minorHAnsi"/>
          <w:lang w:val="en-US"/>
        </w:rPr>
      </w:pPr>
      <w:r w:rsidRPr="00B845AF">
        <w:rPr>
          <w:rFonts w:asciiTheme="minorHAnsi" w:hAnsiTheme="minorHAnsi" w:cstheme="minorHAnsi"/>
          <w:lang w:val="en-US"/>
        </w:rPr>
        <w:t xml:space="preserve">No presentation was given, and </w:t>
      </w:r>
      <w:hyperlink r:id="rId56" w:history="1">
        <w:r w:rsidRPr="00B845AF">
          <w:rPr>
            <w:rStyle w:val="Hyperlink"/>
            <w:rFonts w:asciiTheme="minorHAnsi" w:hAnsiTheme="minorHAnsi" w:cstheme="minorHAnsi"/>
            <w:lang w:val="en-US"/>
          </w:rPr>
          <w:t>WCPFC-SC22-2026-SA-IP16</w:t>
        </w:r>
      </w:hyperlink>
      <w:r w:rsidRPr="00B845AF">
        <w:rPr>
          <w:rFonts w:asciiTheme="minorHAnsi" w:hAnsiTheme="minorHAnsi" w:cstheme="minorHAnsi"/>
          <w:lang w:val="en-US"/>
        </w:rPr>
        <w:t xml:space="preserve"> was accepted as read.</w:t>
      </w:r>
    </w:p>
    <w:p w14:paraId="3757A5A3" w14:textId="62189EE1" w:rsidR="0085097E" w:rsidRPr="00B845AF" w:rsidRDefault="0085097E" w:rsidP="00563C92">
      <w:pPr>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1AC87C20" w14:textId="1083489E" w:rsidR="0085097E" w:rsidRPr="00B845AF" w:rsidRDefault="0085097E" w:rsidP="00563C92">
      <w:pPr>
        <w:widowControl w:val="0"/>
        <w:kinsoku w:val="0"/>
        <w:overflowPunct w:val="0"/>
        <w:autoSpaceDE w:val="0"/>
        <w:autoSpaceDN w:val="0"/>
        <w:adjustRightInd w:val="0"/>
        <w:snapToGrid w:val="0"/>
        <w:jc w:val="both"/>
        <w:rPr>
          <w:rFonts w:asciiTheme="minorHAnsi" w:eastAsia="MS Mincho" w:hAnsiTheme="minorHAnsi" w:cstheme="minorHAnsi"/>
          <w:b/>
          <w:iCs/>
          <w:szCs w:val="22"/>
          <w:lang w:eastAsia="ja-JP"/>
        </w:rPr>
      </w:pPr>
      <w:r w:rsidRPr="00B845AF">
        <w:rPr>
          <w:rFonts w:asciiTheme="minorHAnsi" w:hAnsiTheme="minorHAnsi" w:cstheme="minorHAnsi"/>
          <w:b/>
          <w:szCs w:val="22"/>
        </w:rPr>
        <w:t>4.4.3.2</w:t>
      </w:r>
      <w:r w:rsidRPr="00B845AF">
        <w:rPr>
          <w:rFonts w:asciiTheme="minorHAnsi" w:hAnsiTheme="minorHAnsi" w:cstheme="minorHAnsi"/>
          <w:b/>
          <w:szCs w:val="22"/>
        </w:rPr>
        <w:tab/>
        <w:t>Pacific bluefin tuna stock assessment peer review</w:t>
      </w:r>
    </w:p>
    <w:p w14:paraId="659415B2" w14:textId="0D3ADA71" w:rsidR="0085097E" w:rsidRPr="00B845AF" w:rsidRDefault="0085097E" w:rsidP="00563C92">
      <w:pPr>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458B265E" w14:textId="557021B7" w:rsidR="00E03752" w:rsidRPr="00B845AF" w:rsidRDefault="00E03752" w:rsidP="00563C92">
      <w:pPr>
        <w:pStyle w:val="SCtext"/>
        <w:rPr>
          <w:rFonts w:asciiTheme="minorHAnsi" w:hAnsiTheme="minorHAnsi" w:cstheme="minorHAnsi"/>
          <w:lang w:val="en-US"/>
        </w:rPr>
      </w:pPr>
      <w:bookmarkStart w:id="48" w:name="_Hlk237489871"/>
      <w:r w:rsidRPr="00B845AF">
        <w:rPr>
          <w:rFonts w:asciiTheme="minorHAnsi" w:hAnsiTheme="minorHAnsi" w:cstheme="minorHAnsi"/>
          <w:lang w:val="en-US"/>
        </w:rPr>
        <w:t>The ISC presented the external peer review of the 2024 Pacific bluefin tuna assessment, conducted 20-23 March 2026 at Hokkaido University by a panel. The panel concluded the assessment is well-constructed and management-ready, with no major deficiencies, and found the 2022 SSB estimate of 23.2% SSB0, above the 20% SSB0 second rebuilding target, highly defensible. The panel identified two overarching priorities for the 2027 cycle: growth and length-at-age characterization (including cohort slicing to address a conflated July 1 nominal birthday), and the recruitment and abundance index gap, since the Japanese longline index ended in 2019 and the sole remaining adult index (Taiwanese longline, S5) faces quota-driven catchability risk, while no direct juvenile index has existed since 2011, driving a terminal recruitment CV of up to 53%. The panel recommended a three-tier framework for communicating results (robust, conditional, caveat) and advised that member countries consider additional staffing to support Pacific bluefin research capacity.</w:t>
      </w:r>
    </w:p>
    <w:bookmarkEnd w:id="48"/>
    <w:p w14:paraId="5833CC94" w14:textId="563C209B" w:rsidR="00E03752" w:rsidRDefault="00E03752" w:rsidP="00E03752">
      <w:pPr>
        <w:pStyle w:val="SCtext"/>
        <w:numPr>
          <w:ilvl w:val="0"/>
          <w:numId w:val="0"/>
        </w:numPr>
        <w:rPr>
          <w:rFonts w:asciiTheme="minorHAnsi" w:hAnsiTheme="minorHAnsi" w:cstheme="minorHAnsi"/>
          <w:lang w:val="en-US"/>
        </w:rPr>
      </w:pPr>
    </w:p>
    <w:p w14:paraId="797F167A" w14:textId="77777777" w:rsidR="00E03752" w:rsidRPr="00B845AF" w:rsidRDefault="00E03752" w:rsidP="00E03752">
      <w:pPr>
        <w:pStyle w:val="SCDR"/>
        <w:keepNext w:val="0"/>
        <w:widowControl w:val="0"/>
        <w:rPr>
          <w:rFonts w:asciiTheme="minorHAnsi" w:hAnsiTheme="minorHAnsi" w:cstheme="minorHAnsi"/>
        </w:rPr>
      </w:pPr>
      <w:r w:rsidRPr="00B845AF">
        <w:rPr>
          <w:rFonts w:asciiTheme="minorHAnsi" w:hAnsiTheme="minorHAnsi" w:cstheme="minorHAnsi"/>
        </w:rPr>
        <w:t>Discussion</w:t>
      </w:r>
    </w:p>
    <w:p w14:paraId="03D584F5" w14:textId="484529D1" w:rsidR="002E5CD3" w:rsidRPr="00B845AF" w:rsidRDefault="002E5CD3">
      <w:pPr>
        <w:pStyle w:val="SCtext"/>
        <w:rPr>
          <w:rFonts w:asciiTheme="minorHAnsi" w:hAnsiTheme="minorHAnsi" w:cstheme="minorHAnsi"/>
          <w:lang w:val="en-US"/>
        </w:rPr>
      </w:pPr>
      <w:r w:rsidRPr="00B845AF">
        <w:rPr>
          <w:rFonts w:asciiTheme="minorHAnsi" w:hAnsiTheme="minorHAnsi" w:cstheme="minorHAnsi"/>
          <w:lang w:val="en-US"/>
        </w:rPr>
        <w:t xml:space="preserve">Australia, on behalf of the FFA members, acknowledged the work undertaken by the PBFWG and noted that the 2024 assessment represents a methodological improvement, while observing that further work is needed to reduce uncertainty. The FFA members encouraged the PBFWG to prioritize implementation of </w:t>
      </w:r>
      <w:r w:rsidR="00563C92" w:rsidRPr="00B845AF">
        <w:rPr>
          <w:rFonts w:asciiTheme="minorHAnsi" w:hAnsiTheme="minorHAnsi" w:cstheme="minorHAnsi"/>
          <w:lang w:val="en-US"/>
        </w:rPr>
        <w:t>peer</w:t>
      </w:r>
      <w:r w:rsidRPr="00B845AF">
        <w:rPr>
          <w:rFonts w:asciiTheme="minorHAnsi" w:hAnsiTheme="minorHAnsi" w:cstheme="minorHAnsi"/>
          <w:lang w:val="en-US"/>
        </w:rPr>
        <w:t xml:space="preserve"> review recommendations, particularly those relating to the development of robust abundance indices, improved growth characterization, additional sensitivity analysis, and improved treatment of communication and uncertainty in future assessments. The FFA members also supported the peer review panel’s recommendation that future stock assessments clearly identify which conclusions are well supported by multiple sources of data, particularly where those conclusions influence management advice. The ISC responded that the points raised had been noted and that it would continue working toward the recommendations as time and resources allow.</w:t>
      </w:r>
    </w:p>
    <w:p w14:paraId="76C29AF2" w14:textId="77777777" w:rsidR="002E5CD3" w:rsidRPr="00B845AF" w:rsidRDefault="002E5CD3" w:rsidP="002E5CD3">
      <w:pPr>
        <w:pStyle w:val="SCtext"/>
        <w:numPr>
          <w:ilvl w:val="0"/>
          <w:numId w:val="0"/>
        </w:numPr>
        <w:rPr>
          <w:rFonts w:asciiTheme="minorHAnsi" w:hAnsiTheme="minorHAnsi" w:cstheme="minorHAnsi"/>
          <w:lang w:val="en-US"/>
        </w:rPr>
      </w:pPr>
    </w:p>
    <w:p w14:paraId="70168816" w14:textId="6AB11B8F" w:rsidR="002E5CD3" w:rsidRPr="00B845AF" w:rsidRDefault="00321A6E">
      <w:pPr>
        <w:pStyle w:val="SCtext"/>
        <w:rPr>
          <w:rFonts w:asciiTheme="minorHAnsi" w:hAnsiTheme="minorHAnsi" w:cstheme="minorHAnsi"/>
          <w:lang w:val="en-US"/>
        </w:rPr>
      </w:pPr>
      <w:r w:rsidRPr="00B845AF">
        <w:rPr>
          <w:rFonts w:asciiTheme="minorHAnsi" w:hAnsiTheme="minorHAnsi" w:cstheme="minorHAnsi"/>
          <w:lang w:val="en-US"/>
        </w:rPr>
        <w:t>Palau, on behalf of the PNA and Vanuatu, appreciated the Review Panel’s work and noted that enacting the recommendations would result in a better and more transparent assessment in the future. Palau recommended that the ISC fully respond to the review recommendations contained in section 10.6 of the report, suggesting that this could best be achieved through a formal document to the SC next year outlining the responses to those recommendations, including actions already undertaken and planned, as well as a timeline for work leading up to the next and future assessments. The ISC thanked Palau and noted that this had also been a recommendation arising from ISC26, and that clear documentation from the working group on how it intends to respond would be forthcoming</w:t>
      </w:r>
      <w:r w:rsidR="002E5CD3" w:rsidRPr="00B845AF">
        <w:rPr>
          <w:rFonts w:asciiTheme="minorHAnsi" w:hAnsiTheme="minorHAnsi" w:cstheme="minorHAnsi"/>
          <w:lang w:val="en-US"/>
        </w:rPr>
        <w:t>.</w:t>
      </w:r>
    </w:p>
    <w:p w14:paraId="074812E5" w14:textId="77777777" w:rsidR="002E5CD3" w:rsidRPr="00B845AF" w:rsidRDefault="002E5CD3" w:rsidP="002E5CD3">
      <w:pPr>
        <w:pStyle w:val="SCtext"/>
        <w:numPr>
          <w:ilvl w:val="0"/>
          <w:numId w:val="0"/>
        </w:numPr>
        <w:rPr>
          <w:rFonts w:asciiTheme="minorHAnsi" w:hAnsiTheme="minorHAnsi" w:cstheme="minorHAnsi"/>
          <w:lang w:val="en-US"/>
        </w:rPr>
      </w:pPr>
    </w:p>
    <w:p w14:paraId="7C9C2EBB" w14:textId="20621F9A" w:rsidR="002E5CD3" w:rsidRPr="00B845AF" w:rsidRDefault="002E5CD3">
      <w:pPr>
        <w:pStyle w:val="SCtext"/>
        <w:rPr>
          <w:rFonts w:asciiTheme="minorHAnsi" w:hAnsiTheme="minorHAnsi" w:cstheme="minorHAnsi"/>
          <w:lang w:val="en-US"/>
        </w:rPr>
      </w:pPr>
      <w:r w:rsidRPr="00B845AF">
        <w:rPr>
          <w:rFonts w:asciiTheme="minorHAnsi" w:hAnsiTheme="minorHAnsi" w:cstheme="minorHAnsi"/>
          <w:lang w:val="en-US"/>
        </w:rPr>
        <w:t xml:space="preserve">Chinese Taipei congratulated the ISC and the review panel on the successful completion of the peer review and, as a Chinese Taipei representative who had participated in the review process, expressed appreciation for its constructive recommendations. Chinese Taipei provided a brief update on a concern it had raised regarding management issues, including early fishery closures, noting that relevant results had already been provided to the ISC and that these results do not so far indicate that such management issues have materially affected the consistency of the </w:t>
      </w:r>
      <w:r w:rsidR="002030F5" w:rsidRPr="00B845AF">
        <w:rPr>
          <w:rFonts w:asciiTheme="minorHAnsi" w:hAnsiTheme="minorHAnsi" w:cstheme="minorHAnsi"/>
          <w:lang w:val="en-US"/>
        </w:rPr>
        <w:t xml:space="preserve">CPUE </w:t>
      </w:r>
      <w:r w:rsidRPr="00B845AF">
        <w:rPr>
          <w:rFonts w:asciiTheme="minorHAnsi" w:hAnsiTheme="minorHAnsi" w:cstheme="minorHAnsi"/>
          <w:lang w:val="en-US"/>
        </w:rPr>
        <w:t xml:space="preserve">index. Chinese Taipei noted that Pacific bluefin </w:t>
      </w:r>
      <w:r w:rsidRPr="00B845AF">
        <w:rPr>
          <w:rFonts w:asciiTheme="minorHAnsi" w:hAnsiTheme="minorHAnsi" w:cstheme="minorHAnsi"/>
          <w:lang w:val="en-US"/>
        </w:rPr>
        <w:lastRenderedPageBreak/>
        <w:t xml:space="preserve">tuna catches have increased and that stronger management measures may become necessary to ensure catches do not exceed appropriate </w:t>
      </w:r>
      <w:r w:rsidR="00563C92" w:rsidRPr="00B845AF">
        <w:rPr>
          <w:rFonts w:asciiTheme="minorHAnsi" w:hAnsiTheme="minorHAnsi" w:cstheme="minorHAnsi"/>
          <w:lang w:val="en-US"/>
        </w:rPr>
        <w:t>levels and</w:t>
      </w:r>
      <w:r w:rsidRPr="00B845AF">
        <w:rPr>
          <w:rFonts w:asciiTheme="minorHAnsi" w:hAnsiTheme="minorHAnsi" w:cstheme="minorHAnsi"/>
          <w:lang w:val="en-US"/>
        </w:rPr>
        <w:t xml:space="preserve"> stated it would continue to closely monitor the fishery. The ISC thanked Chinese Taipei for the quality of the information it has provided in support of the assessment, noting its importance to the assessment</w:t>
      </w:r>
      <w:r w:rsidR="002030F5" w:rsidRPr="00B845AF">
        <w:rPr>
          <w:rFonts w:asciiTheme="minorHAnsi" w:hAnsiTheme="minorHAnsi" w:cstheme="minorHAnsi"/>
          <w:lang w:val="en-US"/>
        </w:rPr>
        <w:t>’</w:t>
      </w:r>
      <w:r w:rsidRPr="00B845AF">
        <w:rPr>
          <w:rFonts w:asciiTheme="minorHAnsi" w:hAnsiTheme="minorHAnsi" w:cstheme="minorHAnsi"/>
          <w:lang w:val="en-US"/>
        </w:rPr>
        <w:t>s success.</w:t>
      </w:r>
    </w:p>
    <w:p w14:paraId="45518EA0" w14:textId="77777777" w:rsidR="002030F5" w:rsidRPr="00B845AF" w:rsidRDefault="002030F5" w:rsidP="002030F5">
      <w:pPr>
        <w:pStyle w:val="SCtext"/>
        <w:numPr>
          <w:ilvl w:val="0"/>
          <w:numId w:val="0"/>
        </w:numPr>
        <w:rPr>
          <w:rFonts w:asciiTheme="minorHAnsi" w:hAnsiTheme="minorHAnsi" w:cstheme="minorHAnsi"/>
          <w:lang w:val="en-US"/>
        </w:rPr>
      </w:pPr>
    </w:p>
    <w:p w14:paraId="2F6A9969" w14:textId="6923EA38" w:rsidR="002030F5" w:rsidRPr="00B845AF" w:rsidRDefault="002030F5">
      <w:pPr>
        <w:pStyle w:val="SCtext"/>
        <w:rPr>
          <w:rFonts w:asciiTheme="minorHAnsi" w:hAnsiTheme="minorHAnsi" w:cstheme="minorHAnsi"/>
          <w:lang w:val="en-US"/>
        </w:rPr>
      </w:pPr>
      <w:r w:rsidRPr="00B845AF">
        <w:rPr>
          <w:rFonts w:asciiTheme="minorHAnsi" w:hAnsiTheme="minorHAnsi" w:cstheme="minorHAnsi"/>
          <w:lang w:val="en-US"/>
        </w:rPr>
        <w:t>Japan thanked the ISC for the presentation and congratulated the successful completion of the first Pacific bluefin tuna peer review, also congratulating WCPFC for its collaboration in making the review possible and thanking the USA for its financial contribution supporting the review. Japan fully endorsed the panel’s conclusions and emphasized its appreciation that the panel had confirmed current Pacific bluefin tuna management is based on sound science, noting this reflects a stock recovery that Japan characterized as healthier than that of bigeye tuna according to recent information. Japan encouraged the ISC to follow up on the panel’s recommendations and to report back to the Scientific Committee periodically on progress, noting this is already planned by the ISC. Japan highlighted the recommendation, noted earlier by Australia on behalf of the FFA members, for a better recruitment index, and stated that Japan is continuously conducting recruitment monitoring projects and remains fully committed to continuing this work given the index</w:t>
      </w:r>
      <w:r w:rsidR="00FF1DFE" w:rsidRPr="00B845AF">
        <w:rPr>
          <w:rFonts w:asciiTheme="minorHAnsi" w:hAnsiTheme="minorHAnsi" w:cstheme="minorHAnsi"/>
          <w:lang w:val="en-US"/>
        </w:rPr>
        <w:t>’</w:t>
      </w:r>
      <w:r w:rsidRPr="00B845AF">
        <w:rPr>
          <w:rFonts w:asciiTheme="minorHAnsi" w:hAnsiTheme="minorHAnsi" w:cstheme="minorHAnsi"/>
          <w:lang w:val="en-US"/>
        </w:rPr>
        <w:t>s importance to the stock assessment, expressing hope that this information could be reported back to the S</w:t>
      </w:r>
      <w:r w:rsidR="00FF1DFE" w:rsidRPr="00B845AF">
        <w:rPr>
          <w:rFonts w:asciiTheme="minorHAnsi" w:hAnsiTheme="minorHAnsi" w:cstheme="minorHAnsi"/>
          <w:lang w:val="en-US"/>
        </w:rPr>
        <w:t>C</w:t>
      </w:r>
      <w:r w:rsidRPr="00B845AF">
        <w:rPr>
          <w:rFonts w:asciiTheme="minorHAnsi" w:hAnsiTheme="minorHAnsi" w:cstheme="minorHAnsi"/>
          <w:lang w:val="en-US"/>
        </w:rPr>
        <w:t>.</w:t>
      </w:r>
    </w:p>
    <w:p w14:paraId="21DD51B8" w14:textId="77777777" w:rsidR="00FF1DFE" w:rsidRPr="00B845AF" w:rsidRDefault="00FF1DFE" w:rsidP="00FF1DFE">
      <w:pPr>
        <w:pStyle w:val="SCtext"/>
        <w:numPr>
          <w:ilvl w:val="0"/>
          <w:numId w:val="0"/>
        </w:numPr>
        <w:rPr>
          <w:rFonts w:asciiTheme="minorHAnsi" w:hAnsiTheme="minorHAnsi" w:cstheme="minorHAnsi"/>
          <w:lang w:val="en-US"/>
        </w:rPr>
      </w:pPr>
    </w:p>
    <w:p w14:paraId="25DACD2F" w14:textId="69DB953D" w:rsidR="00E03752" w:rsidRPr="00B845AF" w:rsidRDefault="00FF1DFE">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theme co-convener thanked the ISC for the presentation and closed the item, noting that the Pacific bluefin tuna peer review was welcomed, including support for its recommendations regarding uncertainty and future stock assessment and management efforts.</w:t>
      </w:r>
    </w:p>
    <w:p w14:paraId="27F92200" w14:textId="1B9A0F80" w:rsidR="00AF4C66" w:rsidRPr="00B845AF" w:rsidRDefault="00AF4C66" w:rsidP="00AF4C66">
      <w:pPr>
        <w:pStyle w:val="SCtext"/>
        <w:numPr>
          <w:ilvl w:val="0"/>
          <w:numId w:val="0"/>
        </w:numPr>
        <w:rPr>
          <w:rFonts w:asciiTheme="minorHAnsi" w:eastAsia="MS Mincho" w:hAnsiTheme="minorHAnsi" w:cstheme="minorHAnsi"/>
          <w:lang w:val="en-US" w:eastAsia="ja-JP"/>
        </w:rPr>
      </w:pPr>
    </w:p>
    <w:p w14:paraId="67514475" w14:textId="602788FD" w:rsidR="00AF4C66" w:rsidRPr="00B845AF" w:rsidRDefault="00AF4C66" w:rsidP="00AF4C66">
      <w:pPr>
        <w:pStyle w:val="SCDR"/>
        <w:rPr>
          <w:rFonts w:asciiTheme="minorHAnsi" w:hAnsiTheme="minorHAnsi" w:cstheme="minorHAnsi"/>
          <w:lang w:eastAsia="ko-KR"/>
        </w:rPr>
      </w:pPr>
      <w:r w:rsidRPr="00B845AF">
        <w:rPr>
          <w:rFonts w:asciiTheme="minorHAnsi" w:hAnsiTheme="minorHAnsi" w:cstheme="minorHAnsi"/>
          <w:lang w:eastAsia="ja-JP"/>
        </w:rPr>
        <w:t>Outcomes</w:t>
      </w:r>
    </w:p>
    <w:p w14:paraId="7E85B0C6" w14:textId="30912FDA" w:rsidR="00AF4C66" w:rsidRPr="00B845AF" w:rsidRDefault="00AD5D1A">
      <w:pPr>
        <w:pStyle w:val="SCtext"/>
        <w:rPr>
          <w:rFonts w:asciiTheme="minorHAnsi" w:hAnsiTheme="minorHAnsi" w:cstheme="minorHAnsi"/>
          <w:lang w:val="en-US"/>
        </w:rPr>
      </w:pPr>
      <w:r w:rsidRPr="00B845AF">
        <w:rPr>
          <w:rFonts w:asciiTheme="minorHAnsi" w:hAnsiTheme="minorHAnsi" w:cstheme="minorHAnsi"/>
          <w:lang w:val="en-US"/>
        </w:rPr>
        <w:t>SC22 thanked the ISC and the independent Review Panel for the successful completion of the peer review of the 2024 Pacific bluefin tuna stock assessment, noting the Panel’s conclusion that the assessment represents a methodological improvement while recognizing that further work is needed to reduce uncertainty.</w:t>
      </w:r>
    </w:p>
    <w:p w14:paraId="4CE5903E" w14:textId="77777777" w:rsidR="00AD5D1A" w:rsidRPr="00B845AF" w:rsidRDefault="00AD5D1A" w:rsidP="00AD5D1A">
      <w:pPr>
        <w:pStyle w:val="SCtext"/>
        <w:numPr>
          <w:ilvl w:val="0"/>
          <w:numId w:val="0"/>
        </w:numPr>
        <w:rPr>
          <w:rFonts w:asciiTheme="minorHAnsi" w:hAnsiTheme="minorHAnsi" w:cstheme="minorHAnsi"/>
          <w:b/>
          <w:bCs/>
          <w:lang w:val="en-US"/>
        </w:rPr>
      </w:pPr>
    </w:p>
    <w:p w14:paraId="7431AB9A" w14:textId="63AED8E0" w:rsidR="00AD5D1A" w:rsidRPr="00B845AF" w:rsidRDefault="00AD5D1A">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recommended that the ISC Pacific Bluefin Tuna Working Group (PBFWG) respond to the recommendations of the peer review and provide advice to SC23 on how these recommendations can be addressed, including a timeline of work completed and planned </w:t>
      </w:r>
      <w:proofErr w:type="gramStart"/>
      <w:r w:rsidRPr="00B845AF">
        <w:rPr>
          <w:rFonts w:asciiTheme="minorHAnsi" w:hAnsiTheme="minorHAnsi" w:cstheme="minorHAnsi"/>
          <w:b/>
          <w:bCs/>
          <w:lang w:val="en-US"/>
        </w:rPr>
        <w:t>leading</w:t>
      </w:r>
      <w:proofErr w:type="gramEnd"/>
      <w:r w:rsidRPr="00B845AF">
        <w:rPr>
          <w:rFonts w:asciiTheme="minorHAnsi" w:hAnsiTheme="minorHAnsi" w:cstheme="minorHAnsi"/>
          <w:b/>
          <w:bCs/>
          <w:lang w:val="en-US"/>
        </w:rPr>
        <w:t xml:space="preserve"> up to the next and future assessments.</w:t>
      </w:r>
    </w:p>
    <w:p w14:paraId="02135A57" w14:textId="77777777" w:rsidR="0085097E" w:rsidRPr="00B845AF" w:rsidRDefault="0085097E" w:rsidP="00FF1DFE">
      <w:pPr>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0A21FEDF" w14:textId="73C1F022" w:rsidR="00D649E0" w:rsidRPr="00B845AF" w:rsidRDefault="00D649E0">
      <w:pPr>
        <w:pStyle w:val="SC2"/>
        <w:rPr>
          <w:rFonts w:asciiTheme="minorHAnsi" w:eastAsia="Batang" w:hAnsiTheme="minorHAnsi" w:cstheme="minorHAnsi"/>
          <w:lang w:eastAsia="ko-KR"/>
        </w:rPr>
      </w:pPr>
      <w:bookmarkStart w:id="49" w:name="_Hlk208550651"/>
      <w:r w:rsidRPr="00B845AF">
        <w:rPr>
          <w:rFonts w:asciiTheme="minorHAnsi" w:eastAsia="Batang" w:hAnsiTheme="minorHAnsi" w:cstheme="minorHAnsi"/>
          <w:lang w:eastAsia="ko-KR"/>
        </w:rPr>
        <w:t>Billfish</w:t>
      </w:r>
    </w:p>
    <w:p w14:paraId="65D23B51" w14:textId="76E5A12C" w:rsidR="00D649E0" w:rsidRPr="00B845AF" w:rsidRDefault="0085097E">
      <w:pPr>
        <w:pStyle w:val="SC3"/>
        <w:rPr>
          <w:rFonts w:asciiTheme="minorHAnsi" w:hAnsiTheme="minorHAnsi" w:cstheme="minorHAnsi"/>
        </w:rPr>
      </w:pPr>
      <w:r w:rsidRPr="00B845AF">
        <w:rPr>
          <w:rFonts w:asciiTheme="minorHAnsi" w:hAnsiTheme="minorHAnsi" w:cstheme="minorHAnsi"/>
        </w:rPr>
        <w:t>Pacific blue marlin (</w:t>
      </w:r>
      <w:r w:rsidRPr="00B845AF">
        <w:rPr>
          <w:rFonts w:asciiTheme="minorHAnsi" w:hAnsiTheme="minorHAnsi" w:cstheme="minorHAnsi"/>
          <w:i/>
          <w:iCs/>
        </w:rPr>
        <w:t>Makaira nigricans</w:t>
      </w:r>
      <w:r w:rsidR="00D649E0" w:rsidRPr="00B845AF">
        <w:rPr>
          <w:rFonts w:asciiTheme="minorHAnsi" w:hAnsiTheme="minorHAnsi" w:cstheme="minorHAnsi"/>
        </w:rPr>
        <w:t>)</w:t>
      </w:r>
    </w:p>
    <w:p w14:paraId="4D3A8417" w14:textId="6CA1ED24" w:rsidR="00D649E0" w:rsidRPr="00B845AF" w:rsidRDefault="0074406D" w:rsidP="0074406D">
      <w:pPr>
        <w:pStyle w:val="ListParagraph"/>
        <w:widowControl w:val="0"/>
        <w:kinsoku w:val="0"/>
        <w:overflowPunct w:val="0"/>
        <w:autoSpaceDE w:val="0"/>
        <w:autoSpaceDN w:val="0"/>
        <w:adjustRightInd w:val="0"/>
        <w:snapToGrid w:val="0"/>
        <w:ind w:left="0"/>
        <w:jc w:val="both"/>
        <w:rPr>
          <w:rFonts w:asciiTheme="minorHAnsi" w:eastAsia="Batang" w:hAnsiTheme="minorHAnsi" w:cstheme="minorHAnsi"/>
          <w:b/>
          <w:bCs/>
          <w:szCs w:val="22"/>
          <w:lang w:eastAsia="ko-KR"/>
        </w:rPr>
      </w:pPr>
      <w:r w:rsidRPr="00B845AF">
        <w:rPr>
          <w:rFonts w:asciiTheme="minorHAnsi" w:eastAsia="Batang" w:hAnsiTheme="minorHAnsi" w:cstheme="minorHAnsi"/>
          <w:b/>
          <w:bCs/>
          <w:szCs w:val="22"/>
          <w:lang w:eastAsia="ko-KR"/>
        </w:rPr>
        <w:t>4.5.1.1</w:t>
      </w:r>
      <w:r w:rsidRPr="00B845AF">
        <w:rPr>
          <w:rFonts w:asciiTheme="minorHAnsi" w:eastAsia="Batang" w:hAnsiTheme="minorHAnsi" w:cstheme="minorHAnsi"/>
          <w:b/>
          <w:bCs/>
          <w:szCs w:val="22"/>
          <w:lang w:eastAsia="ko-KR"/>
        </w:rPr>
        <w:tab/>
      </w:r>
      <w:r w:rsidR="0085097E" w:rsidRPr="00B845AF">
        <w:rPr>
          <w:rFonts w:asciiTheme="minorHAnsi" w:eastAsia="Batang" w:hAnsiTheme="minorHAnsi" w:cstheme="minorHAnsi"/>
          <w:b/>
          <w:bCs/>
          <w:szCs w:val="22"/>
          <w:lang w:eastAsia="ko-KR"/>
        </w:rPr>
        <w:t>Review of the Pacific blue marlin stock assessment</w:t>
      </w:r>
    </w:p>
    <w:bookmarkEnd w:id="49"/>
    <w:p w14:paraId="58EA5540" w14:textId="77777777" w:rsidR="00D649E0" w:rsidRPr="00B845AF" w:rsidRDefault="00D649E0" w:rsidP="00D649E0">
      <w:pPr>
        <w:adjustRightInd w:val="0"/>
        <w:snapToGrid w:val="0"/>
        <w:ind w:left="1440"/>
        <w:jc w:val="both"/>
        <w:rPr>
          <w:rFonts w:asciiTheme="minorHAnsi" w:hAnsiTheme="minorHAnsi" w:cstheme="minorHAnsi"/>
          <w:szCs w:val="22"/>
          <w:lang w:eastAsia="en-AU"/>
        </w:rPr>
      </w:pPr>
    </w:p>
    <w:p w14:paraId="54B7D249" w14:textId="15E9E9D6" w:rsidR="00362BEA" w:rsidRPr="00B845AF" w:rsidRDefault="00362BEA">
      <w:pPr>
        <w:pStyle w:val="SCtext"/>
        <w:rPr>
          <w:rFonts w:asciiTheme="minorHAnsi" w:hAnsiTheme="minorHAnsi" w:cstheme="minorHAnsi"/>
          <w:lang w:val="en-US"/>
        </w:rPr>
      </w:pPr>
      <w:r w:rsidRPr="00B845AF">
        <w:rPr>
          <w:rFonts w:asciiTheme="minorHAnsi" w:hAnsiTheme="minorHAnsi" w:cstheme="minorHAnsi"/>
          <w:lang w:val="en-US"/>
        </w:rPr>
        <w:t>The ISC BILLWG Chair, M. Sculley, presented the 2026 Pacific blue marlin (BUM) benchmark stock assessment, updating the 2021 assessment using Stock Synthesis 3.30.</w:t>
      </w:r>
      <w:r w:rsidR="006F11B8" w:rsidRPr="00B845AF">
        <w:rPr>
          <w:rFonts w:asciiTheme="minorHAnsi" w:hAnsiTheme="minorHAnsi" w:cstheme="minorHAnsi"/>
          <w:lang w:val="en-US"/>
        </w:rPr>
        <w:t>24.1.</w:t>
      </w:r>
      <w:r w:rsidRPr="00B845AF">
        <w:rPr>
          <w:rFonts w:asciiTheme="minorHAnsi" w:hAnsiTheme="minorHAnsi" w:cstheme="minorHAnsi"/>
          <w:lang w:val="en-US"/>
        </w:rPr>
        <w:t xml:space="preserve"> </w:t>
      </w:r>
    </w:p>
    <w:p w14:paraId="62722698" w14:textId="77777777" w:rsidR="00362BEA" w:rsidRPr="00B845AF" w:rsidRDefault="00362BEA" w:rsidP="00362BEA">
      <w:pPr>
        <w:pStyle w:val="SCtext"/>
        <w:numPr>
          <w:ilvl w:val="0"/>
          <w:numId w:val="0"/>
        </w:numPr>
        <w:rPr>
          <w:rFonts w:asciiTheme="minorHAnsi" w:hAnsiTheme="minorHAnsi" w:cstheme="minorHAnsi"/>
          <w:lang w:val="en-US"/>
        </w:rPr>
      </w:pPr>
    </w:p>
    <w:p w14:paraId="7DE8AA9B" w14:textId="68AB46BC" w:rsidR="00F04FB0" w:rsidRPr="00B845AF" w:rsidRDefault="006F11B8" w:rsidP="00362BEA">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assessment treated BUM as a single pan-Pacific stock and incorporated newly published sex-specific, two-stanza growth curves (Chang et al., 2025, based on otolith and bomb radiocarbon aging), replacing the two competing growth models used in the 2021 ensemble approach. A revised sex- and age-specific natural mortality schedule based on Lorenzen scaling was also adopted, with alternative assumptions tested in sensitivity runs. The basin-wide, two-sex, quarterly time-step model incorporated 12 harvest fleets covering Japan, Chinese Taipei, the </w:t>
      </w:r>
      <w:r w:rsidRPr="00B845AF">
        <w:rPr>
          <w:rFonts w:asciiTheme="minorHAnsi" w:hAnsiTheme="minorHAnsi" w:cstheme="minorHAnsi"/>
          <w:lang w:val="en-US"/>
        </w:rPr>
        <w:lastRenderedPageBreak/>
        <w:t xml:space="preserve">United States, and various-flag WCPFC and IATTC fleets, with several fleets combined or represented with mirrored selectivities, and incorporated six CPUE indices. Abundance indices were updated for the Japanese, Taiwanese, and Hawaii-based longline fleets, including a habitat model-based Japanese CPUE, a spatio-temporal delta-lognormal GLMM standardization for the Taiwanese DWLL CPUE, and a Hawaii index restricted to deep-set operations. Model diagnostics, including retrospective analysis, jitter analysis, likelihood profiling, and hindcast cross-validation, were presented alongside sensitivity runs testing growth, natural mortality, steepness, initial conditions, and data treatment assumptions. Several sensitivities, notably 25% growth, low M, and steepness of 0.65, produced Kobe plot positions near or above the F/FMSY = 1 threshold. The base case estimated spawning stock biomass at 42,038 mt in 2021–2023, 33% above SSBMSY and 9% above 20%SSB(F=0), with recent fishing mortality averaging F = 0.13, 50% below FMSY and 56% below F(20%SSB0). The stock was assessed as not overfished and not experiencing overfishing, with greater than 99% probability for each determination. Four projection scenarios (FHigh, FMSY, Frecent, and FLow) for 2025–2034 showed biomass increasing or remaining stable under Frecent and FLow but declining toward SSBMSY under FHigh and FMSY, with low probability of the stock becoming overfished or experiencing overfishing under any scenario. The ISC noted unresolved conflicts among CPUE indices that constrained the complexity of the final model relative to the conceptual model, residual patterns and runs-test failures in some size-composition fleets, and research recommendations including sex-specific data collection, further exploration of an East-West spatial model, and consideration of a quarters-as-years </w:t>
      </w:r>
      <w:r w:rsidR="00362BEA" w:rsidRPr="00B845AF">
        <w:rPr>
          <w:rFonts w:asciiTheme="minorHAnsi" w:hAnsiTheme="minorHAnsi" w:cstheme="minorHAnsi"/>
          <w:lang w:val="en-US"/>
        </w:rPr>
        <w:t>approach.</w:t>
      </w:r>
    </w:p>
    <w:p w14:paraId="4A941D27" w14:textId="2F2F3DEE" w:rsidR="007B492D" w:rsidRPr="00B845AF" w:rsidRDefault="007B492D" w:rsidP="007B492D">
      <w:pPr>
        <w:pStyle w:val="SCtext"/>
        <w:numPr>
          <w:ilvl w:val="0"/>
          <w:numId w:val="0"/>
        </w:numPr>
        <w:rPr>
          <w:rFonts w:asciiTheme="minorHAnsi" w:hAnsiTheme="minorHAnsi" w:cstheme="minorHAnsi"/>
          <w:lang w:val="en-US"/>
        </w:rPr>
      </w:pPr>
    </w:p>
    <w:p w14:paraId="5922E738" w14:textId="3A6218B9" w:rsidR="00F04FB0" w:rsidRPr="00B845AF" w:rsidRDefault="007B492D" w:rsidP="007B492D">
      <w:pPr>
        <w:pStyle w:val="SCDR"/>
        <w:keepNext w:val="0"/>
        <w:widowControl w:val="0"/>
        <w:rPr>
          <w:rFonts w:asciiTheme="minorHAnsi" w:hAnsiTheme="minorHAnsi" w:cstheme="minorHAnsi"/>
        </w:rPr>
      </w:pPr>
      <w:r w:rsidRPr="00B845AF">
        <w:rPr>
          <w:rFonts w:asciiTheme="minorHAnsi" w:hAnsiTheme="minorHAnsi" w:cstheme="minorHAnsi"/>
        </w:rPr>
        <w:t>Discussion</w:t>
      </w:r>
    </w:p>
    <w:p w14:paraId="5D9A5DA8" w14:textId="6A6309FC" w:rsidR="00F04FB0" w:rsidRPr="00B845AF" w:rsidRDefault="00285890">
      <w:pPr>
        <w:pStyle w:val="SCtext"/>
        <w:rPr>
          <w:rFonts w:asciiTheme="minorHAnsi" w:hAnsiTheme="minorHAnsi" w:cstheme="minorHAnsi"/>
          <w:lang w:val="en-US"/>
        </w:rPr>
      </w:pPr>
      <w:r w:rsidRPr="00B845AF">
        <w:rPr>
          <w:rFonts w:asciiTheme="minorHAnsi" w:eastAsia="Batang" w:hAnsiTheme="minorHAnsi" w:cstheme="minorHAnsi"/>
          <w:lang w:val="en-US"/>
        </w:rPr>
        <w:t>Japan stated support for the assessment’s conclusion that the stock was in a healthy condition, with greater than 99% probability of not being overfished or subject to overfishing, and commended the progress made in reducing uncertainty related to the growth model compared with the 2021 assessment.</w:t>
      </w:r>
    </w:p>
    <w:p w14:paraId="754B4958" w14:textId="77777777" w:rsidR="00F04FB0" w:rsidRPr="00B845AF" w:rsidRDefault="00F04FB0" w:rsidP="00F04FB0">
      <w:pPr>
        <w:pStyle w:val="SCtext"/>
        <w:numPr>
          <w:ilvl w:val="0"/>
          <w:numId w:val="0"/>
        </w:numPr>
        <w:rPr>
          <w:rFonts w:asciiTheme="minorHAnsi" w:hAnsiTheme="minorHAnsi" w:cstheme="minorHAnsi"/>
          <w:lang w:val="en-US"/>
        </w:rPr>
      </w:pPr>
    </w:p>
    <w:p w14:paraId="2609F37F" w14:textId="67E1527B" w:rsidR="00872C15" w:rsidRPr="00B845AF" w:rsidRDefault="00285890">
      <w:pPr>
        <w:pStyle w:val="SCtext"/>
        <w:rPr>
          <w:rFonts w:asciiTheme="minorHAnsi" w:hAnsiTheme="minorHAnsi" w:cstheme="minorHAnsi"/>
          <w:spacing w:val="1"/>
          <w:lang w:val="en-US"/>
        </w:rPr>
      </w:pPr>
      <w:r w:rsidRPr="00B845AF">
        <w:rPr>
          <w:rFonts w:asciiTheme="minorHAnsi" w:eastAsia="Batang" w:hAnsiTheme="minorHAnsi" w:cstheme="minorHAnsi"/>
          <w:lang w:val="en-US"/>
        </w:rPr>
        <w:t>New Zealand, on behalf of the FFA members, thanked the BILLWG for the 2026 assessment and acknowledged the substantial improvement over 2021 through updated biological parameters and comprehensive sensitivity analyses. FFA members noted that the model remained most sensitive to growth, natural mortality, and maturity assumptions, which were fixed based on North Pacific sampling despite the stock being assessed as Pan-Pacific, and that predictive skill was poor for some CPUE indices, particularly the Japanese longline late index. FFA members noted that the estimated 2024 increase in biomass rested largely on the final year of data, that the BILLWG had acknowledged the retrospective diagnostic might be optimistic, and suggested that the advice reflect that terminal year status was less well determined than the reported probabilities alone conveyed. FFA members supported the proposed research priorities, particularly improved spatial and sex-specific data collection, welcomed the Working Group’s commitment to joint CPUE standardization and consideration of a quarters-as-years structure, noted that SC22-SA-IP20 set Southwest Pacific sampling targets for blue marlin against near-zero current holdings and suggested prioritizing that component, and recognized the need for coordination with the IATTC given the Pan-Pacific nature of the stock.</w:t>
      </w:r>
    </w:p>
    <w:p w14:paraId="4A263896" w14:textId="77777777" w:rsidR="00285890" w:rsidRPr="00B845AF" w:rsidRDefault="00285890" w:rsidP="00285890">
      <w:pPr>
        <w:pStyle w:val="SCtext"/>
        <w:numPr>
          <w:ilvl w:val="0"/>
          <w:numId w:val="0"/>
        </w:numPr>
        <w:rPr>
          <w:rFonts w:asciiTheme="minorHAnsi" w:hAnsiTheme="minorHAnsi" w:cstheme="minorHAnsi"/>
          <w:spacing w:val="1"/>
          <w:lang w:val="en-US"/>
        </w:rPr>
      </w:pPr>
    </w:p>
    <w:p w14:paraId="67B6B8ED" w14:textId="2693222A" w:rsidR="00285890" w:rsidRPr="00B845AF" w:rsidRDefault="00285890">
      <w:pPr>
        <w:pStyle w:val="SCtext"/>
        <w:rPr>
          <w:rFonts w:asciiTheme="minorHAnsi" w:hAnsiTheme="minorHAnsi" w:cstheme="minorHAnsi"/>
          <w:spacing w:val="1"/>
          <w:lang w:val="en-US"/>
        </w:rPr>
      </w:pPr>
      <w:r w:rsidRPr="00B845AF">
        <w:rPr>
          <w:rFonts w:asciiTheme="minorHAnsi" w:hAnsiTheme="minorHAnsi" w:cstheme="minorHAnsi"/>
          <w:spacing w:val="1"/>
          <w:lang w:val="en-US"/>
        </w:rPr>
        <w:t>The BILLWG Chair thanked FFA and invited SC members who catch Pacific blue marlin in the South Pacific to join the next assessment, noting that a member from the IATTC had participated in the B</w:t>
      </w:r>
      <w:r w:rsidR="00442731" w:rsidRPr="00B845AF">
        <w:rPr>
          <w:rFonts w:asciiTheme="minorHAnsi" w:hAnsiTheme="minorHAnsi" w:cstheme="minorHAnsi"/>
          <w:spacing w:val="1"/>
          <w:lang w:val="en-US"/>
        </w:rPr>
        <w:t>ILLWG’s</w:t>
      </w:r>
      <w:r w:rsidRPr="00B845AF">
        <w:rPr>
          <w:rFonts w:asciiTheme="minorHAnsi" w:hAnsiTheme="minorHAnsi" w:cstheme="minorHAnsi"/>
          <w:spacing w:val="1"/>
          <w:lang w:val="en-US"/>
        </w:rPr>
        <w:t xml:space="preserve"> data preparation meeting and had been a valuable contributor, and encouraged SPC and other WCPFC members to participate in the next assessment given the stock</w:t>
      </w:r>
      <w:r w:rsidR="00442731" w:rsidRPr="00B845AF">
        <w:rPr>
          <w:rFonts w:asciiTheme="minorHAnsi" w:hAnsiTheme="minorHAnsi" w:cstheme="minorHAnsi"/>
          <w:spacing w:val="1"/>
          <w:lang w:val="en-US"/>
        </w:rPr>
        <w:t>’</w:t>
      </w:r>
      <w:r w:rsidRPr="00B845AF">
        <w:rPr>
          <w:rFonts w:asciiTheme="minorHAnsi" w:hAnsiTheme="minorHAnsi" w:cstheme="minorHAnsi"/>
          <w:spacing w:val="1"/>
          <w:lang w:val="en-US"/>
        </w:rPr>
        <w:t>s Pan-Pacific nature and the Working Group</w:t>
      </w:r>
      <w:r w:rsidR="00442731" w:rsidRPr="00B845AF">
        <w:rPr>
          <w:rFonts w:asciiTheme="minorHAnsi" w:hAnsiTheme="minorHAnsi" w:cstheme="minorHAnsi"/>
          <w:spacing w:val="1"/>
          <w:lang w:val="en-US"/>
        </w:rPr>
        <w:t>’</w:t>
      </w:r>
      <w:r w:rsidRPr="00B845AF">
        <w:rPr>
          <w:rFonts w:asciiTheme="minorHAnsi" w:hAnsiTheme="minorHAnsi" w:cstheme="minorHAnsi"/>
          <w:spacing w:val="1"/>
          <w:lang w:val="en-US"/>
        </w:rPr>
        <w:t>s North Pacific focus to date.</w:t>
      </w:r>
    </w:p>
    <w:p w14:paraId="75927D4C" w14:textId="77777777" w:rsidR="00442731" w:rsidRPr="00B845AF" w:rsidRDefault="00442731" w:rsidP="00442731">
      <w:pPr>
        <w:pStyle w:val="SCtext"/>
        <w:numPr>
          <w:ilvl w:val="0"/>
          <w:numId w:val="0"/>
        </w:numPr>
        <w:rPr>
          <w:rFonts w:asciiTheme="minorHAnsi" w:hAnsiTheme="minorHAnsi" w:cstheme="minorHAnsi"/>
          <w:spacing w:val="1"/>
          <w:lang w:val="en-US"/>
        </w:rPr>
      </w:pPr>
    </w:p>
    <w:p w14:paraId="77A8ECD8" w14:textId="6F632744" w:rsidR="00442731" w:rsidRPr="00B845AF" w:rsidRDefault="00442731">
      <w:pPr>
        <w:pStyle w:val="SCtext"/>
        <w:rPr>
          <w:rFonts w:asciiTheme="minorHAnsi" w:hAnsiTheme="minorHAnsi" w:cstheme="minorHAnsi"/>
          <w:spacing w:val="1"/>
          <w:lang w:val="en-US"/>
        </w:rPr>
      </w:pPr>
      <w:r w:rsidRPr="00B845AF">
        <w:rPr>
          <w:rFonts w:asciiTheme="minorHAnsi" w:hAnsiTheme="minorHAnsi" w:cstheme="minorHAnsi"/>
          <w:spacing w:val="1"/>
          <w:lang w:val="en-US"/>
        </w:rPr>
        <w:lastRenderedPageBreak/>
        <w:t xml:space="preserve">China congratulated the Working Group on the assessment and asked whether a single anomalous year of high CPUE and recruitment in 2024/2023 was sufficient to alter conclusions on stock status, and whether the reporting-system splitting of Japanese and Chinese Taipei CPUE data into multiple segments could affect catch data quality. The BILLWG Chair responded that the increase in CPUE and 2023 recruitment was believed to be </w:t>
      </w:r>
      <w:r w:rsidR="00563C92" w:rsidRPr="00B845AF">
        <w:rPr>
          <w:rFonts w:asciiTheme="minorHAnsi" w:hAnsiTheme="minorHAnsi" w:cstheme="minorHAnsi"/>
          <w:spacing w:val="1"/>
          <w:lang w:val="en-US"/>
        </w:rPr>
        <w:t>real but</w:t>
      </w:r>
      <w:r w:rsidRPr="00B845AF">
        <w:rPr>
          <w:rFonts w:asciiTheme="minorHAnsi" w:hAnsiTheme="minorHAnsi" w:cstheme="minorHAnsi"/>
          <w:spacing w:val="1"/>
          <w:lang w:val="en-US"/>
        </w:rPr>
        <w:t xml:space="preserve"> was not expected to be as large in future years, noting that the cohort was not expected to become fully visible in the fishery until 2025-2026, and that the next assessment would likely show a lower but still present recruitment increase for that year. On the CPUE segmentation question, the BILLWG Chair explained that the Working Group had defined a core area (20°N to 20°S) for standardizing the Japanese and Chinese Taipei longline CPUE indices, for which size data supporting selectivity estimation was available, while the corresponding catch data spanned the full fishing area for both fleets; to avoid double-counting catch, selectivity was estimated for the CPUE fleets and then fixed while selectivity for the remainder of the model was estimated separately, so as to isolate a real abundance signal from the effects of the CPUE fleets not overlapping with the full catch area.</w:t>
      </w:r>
    </w:p>
    <w:p w14:paraId="45711E83" w14:textId="77777777" w:rsidR="00442731" w:rsidRPr="00B845AF" w:rsidRDefault="00442731" w:rsidP="00442731">
      <w:pPr>
        <w:pStyle w:val="SCtext"/>
        <w:numPr>
          <w:ilvl w:val="0"/>
          <w:numId w:val="0"/>
        </w:numPr>
        <w:rPr>
          <w:rFonts w:asciiTheme="minorHAnsi" w:hAnsiTheme="minorHAnsi" w:cstheme="minorHAnsi"/>
          <w:spacing w:val="1"/>
          <w:lang w:val="en-US"/>
        </w:rPr>
      </w:pPr>
    </w:p>
    <w:p w14:paraId="1750EA24" w14:textId="7508FCD3" w:rsidR="00442731" w:rsidRPr="00B845AF" w:rsidRDefault="00442731">
      <w:pPr>
        <w:pStyle w:val="SCtext"/>
        <w:rPr>
          <w:rFonts w:asciiTheme="minorHAnsi" w:hAnsiTheme="minorHAnsi" w:cstheme="minorHAnsi"/>
          <w:spacing w:val="1"/>
          <w:lang w:val="en-US"/>
        </w:rPr>
      </w:pPr>
      <w:r w:rsidRPr="00B845AF">
        <w:rPr>
          <w:rFonts w:asciiTheme="minorHAnsi" w:hAnsiTheme="minorHAnsi" w:cstheme="minorHAnsi"/>
          <w:spacing w:val="1"/>
          <w:lang w:val="en-US"/>
        </w:rPr>
        <w:t>RMI, on behalf of the PNA and Vanuatu, thanked the ISC for an assessment that improved on the previous one and noted the stock</w:t>
      </w:r>
      <w:r w:rsidR="00292779" w:rsidRPr="00B845AF">
        <w:rPr>
          <w:rFonts w:asciiTheme="minorHAnsi" w:hAnsiTheme="minorHAnsi" w:cstheme="minorHAnsi"/>
          <w:spacing w:val="1"/>
          <w:lang w:val="en-US"/>
        </w:rPr>
        <w:t>’</w:t>
      </w:r>
      <w:r w:rsidRPr="00B845AF">
        <w:rPr>
          <w:rFonts w:asciiTheme="minorHAnsi" w:hAnsiTheme="minorHAnsi" w:cstheme="minorHAnsi"/>
          <w:spacing w:val="1"/>
          <w:lang w:val="en-US"/>
        </w:rPr>
        <w:t>s importance to domestic longline and sport fisheries, and asked why projected biomass was expected to decline more rapidly under the FMSY scenario than under the FHigh scenario, and whether this reflected an issue with the assumptions or recruitment scenarios used in the projections. The BILLWG Chair explained that FMSY corresponds to a fishing mortality of 0.26, while FHigh, drawn from the highest F in the time series (2003), is actually lower at 0.23; because the fishery had never exceeded FMSY historically, the FMSY projection scenario involves a much larger increase in catch relative to the 2021-2023 average F of 0.13, effectively doubling catch in a single year, which drives the more rapid decline in biomass.</w:t>
      </w:r>
    </w:p>
    <w:p w14:paraId="12BD9831" w14:textId="77777777" w:rsidR="00442731" w:rsidRPr="00B845AF" w:rsidRDefault="00442731" w:rsidP="00442731">
      <w:pPr>
        <w:pStyle w:val="SCtext"/>
        <w:numPr>
          <w:ilvl w:val="0"/>
          <w:numId w:val="0"/>
        </w:numPr>
        <w:rPr>
          <w:rFonts w:asciiTheme="minorHAnsi" w:hAnsiTheme="minorHAnsi" w:cstheme="minorHAnsi"/>
          <w:spacing w:val="1"/>
          <w:lang w:val="en-US"/>
        </w:rPr>
      </w:pPr>
    </w:p>
    <w:p w14:paraId="1E33003E" w14:textId="338D7F6C" w:rsidR="00442731" w:rsidRPr="00B845AF" w:rsidRDefault="00442731">
      <w:pPr>
        <w:pStyle w:val="SCtext"/>
        <w:rPr>
          <w:rFonts w:asciiTheme="minorHAnsi" w:hAnsiTheme="minorHAnsi" w:cstheme="minorHAnsi"/>
          <w:spacing w:val="1"/>
          <w:lang w:val="en-US"/>
        </w:rPr>
      </w:pPr>
      <w:r w:rsidRPr="00B845AF">
        <w:rPr>
          <w:rFonts w:asciiTheme="minorHAnsi" w:hAnsiTheme="minorHAnsi" w:cstheme="minorHAnsi"/>
          <w:spacing w:val="1"/>
          <w:lang w:val="en-US"/>
        </w:rPr>
        <w:t>Indonesia congratulated the Working Group on the new growth curve and asked whether the female conceptual model, including the spawning ground shown near Japan and the Philippines, was data-supported or still hypothetical, and how strongly the assessment results depend on the assumed selectivity pattern given the difficulty of collecting sex-specific data. The BILLWG Chair responded that the spawning depiction drew on a small number of papers, including one from the Japan/Chinese Taipei area showing spawners present May-September and another indicating year-round equatorial spawning peaking in the western Pacific in May-September north of the equator and March-November south of it; the Working Group believes spawning likely occurs year-round but could not capture this in the current single-spawning-event assumption, which was recognized as likely inadequate but could not be changed this cycle. On selectivity, sex-specific selectivity was applied only to the U.S. longline deep-set fleet, where observer data covering 10-20% of the fishery south of the Hawaiian Islands show lower selectivity for females that the Working Group attributes to availability rather than gear, since larger females are not present in the areas fished; all other fleets used combined selectivity due to inadequate sex-specific data, including from Japan, and the BILLWG Chair encouraged CCMs to record sex at measurement going forward.</w:t>
      </w:r>
    </w:p>
    <w:p w14:paraId="565E1332" w14:textId="77777777" w:rsidR="00442731" w:rsidRPr="00B845AF" w:rsidRDefault="00442731" w:rsidP="00442731">
      <w:pPr>
        <w:pStyle w:val="SCtext"/>
        <w:numPr>
          <w:ilvl w:val="0"/>
          <w:numId w:val="0"/>
        </w:numPr>
        <w:rPr>
          <w:rFonts w:asciiTheme="minorHAnsi" w:hAnsiTheme="minorHAnsi" w:cstheme="minorHAnsi"/>
          <w:spacing w:val="1"/>
          <w:lang w:val="en-US"/>
        </w:rPr>
      </w:pPr>
    </w:p>
    <w:p w14:paraId="66C4F0C2" w14:textId="12BCB820" w:rsidR="006255F2" w:rsidRPr="00B845AF" w:rsidRDefault="00442731">
      <w:pPr>
        <w:pStyle w:val="SCtext"/>
        <w:rPr>
          <w:rFonts w:asciiTheme="minorHAnsi" w:hAnsiTheme="minorHAnsi" w:cstheme="minorHAnsi"/>
          <w:spacing w:val="1"/>
          <w:lang w:val="en-US"/>
        </w:rPr>
      </w:pPr>
      <w:r w:rsidRPr="00B845AF">
        <w:rPr>
          <w:rFonts w:asciiTheme="minorHAnsi" w:eastAsia="MS Mincho" w:hAnsiTheme="minorHAnsi" w:cstheme="minorHAnsi"/>
          <w:spacing w:val="1"/>
          <w:lang w:val="en-US" w:eastAsia="ja-JP"/>
        </w:rPr>
        <w:t>Kiribati, on behalf of the PNA and Vanuatu, thanked the presenters and noted the projected rapid decline in stock biomass under most projection scenarios, stating that given this and the uncertainty surrounding the projections, any catch increases should be undertaken with caution and in a measured manner.</w:t>
      </w:r>
    </w:p>
    <w:p w14:paraId="4DCF972D" w14:textId="77777777" w:rsidR="00D649E0" w:rsidRDefault="00D649E0" w:rsidP="00D649E0">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eastAsia="ko-KR"/>
        </w:rPr>
      </w:pPr>
    </w:p>
    <w:p w14:paraId="012263BE" w14:textId="77777777" w:rsidR="009A4F45" w:rsidRDefault="009A4F45" w:rsidP="00D649E0">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eastAsia="ko-KR"/>
        </w:rPr>
      </w:pPr>
    </w:p>
    <w:p w14:paraId="3C237B1C" w14:textId="77777777" w:rsidR="009A4F45" w:rsidRDefault="009A4F45" w:rsidP="00D649E0">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eastAsia="ko-KR"/>
        </w:rPr>
      </w:pPr>
    </w:p>
    <w:p w14:paraId="26902537" w14:textId="77777777" w:rsidR="009A4F45" w:rsidRPr="00B845AF" w:rsidRDefault="009A4F45" w:rsidP="00D649E0">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eastAsia="ko-KR"/>
        </w:rPr>
      </w:pPr>
    </w:p>
    <w:p w14:paraId="2FE77FB3" w14:textId="053816EF" w:rsidR="00D649E0" w:rsidRPr="00B845AF" w:rsidRDefault="00B064CF" w:rsidP="00B064CF">
      <w:pPr>
        <w:widowControl w:val="0"/>
        <w:kinsoku w:val="0"/>
        <w:overflowPunct w:val="0"/>
        <w:autoSpaceDE w:val="0"/>
        <w:autoSpaceDN w:val="0"/>
        <w:adjustRightInd w:val="0"/>
        <w:snapToGrid w:val="0"/>
        <w:jc w:val="both"/>
        <w:rPr>
          <w:rFonts w:asciiTheme="minorHAnsi" w:eastAsia="Batang" w:hAnsiTheme="minorHAnsi" w:cstheme="minorHAnsi"/>
          <w:b/>
          <w:bCs/>
          <w:szCs w:val="22"/>
          <w:lang w:eastAsia="ko-KR"/>
        </w:rPr>
      </w:pPr>
      <w:r w:rsidRPr="00B845AF">
        <w:rPr>
          <w:rFonts w:asciiTheme="minorHAnsi" w:eastAsia="Batang" w:hAnsiTheme="minorHAnsi" w:cstheme="minorHAnsi"/>
          <w:b/>
          <w:bCs/>
          <w:szCs w:val="22"/>
          <w:lang w:eastAsia="ko-KR"/>
        </w:rPr>
        <w:lastRenderedPageBreak/>
        <w:t>4.5.1.2</w:t>
      </w:r>
      <w:r w:rsidRPr="00B845AF">
        <w:rPr>
          <w:rFonts w:asciiTheme="minorHAnsi" w:eastAsia="Batang" w:hAnsiTheme="minorHAnsi" w:cstheme="minorHAnsi"/>
          <w:b/>
          <w:bCs/>
          <w:szCs w:val="22"/>
          <w:lang w:eastAsia="ko-KR"/>
        </w:rPr>
        <w:tab/>
      </w:r>
      <w:r w:rsidR="00D649E0" w:rsidRPr="00B845AF">
        <w:rPr>
          <w:rFonts w:asciiTheme="minorHAnsi" w:eastAsia="Batang" w:hAnsiTheme="minorHAnsi" w:cstheme="minorHAnsi"/>
          <w:b/>
          <w:bCs/>
          <w:szCs w:val="22"/>
          <w:lang w:eastAsia="ko-KR"/>
        </w:rPr>
        <w:t>Provision of scientific information to the Commission</w:t>
      </w:r>
    </w:p>
    <w:p w14:paraId="5502EA20" w14:textId="77777777" w:rsidR="00135AA5" w:rsidRPr="00B845AF" w:rsidRDefault="00135AA5" w:rsidP="00135AA5">
      <w:pPr>
        <w:pStyle w:val="ListParagraph"/>
        <w:widowControl w:val="0"/>
        <w:kinsoku w:val="0"/>
        <w:overflowPunct w:val="0"/>
        <w:autoSpaceDE w:val="0"/>
        <w:autoSpaceDN w:val="0"/>
        <w:adjustRightInd w:val="0"/>
        <w:snapToGrid w:val="0"/>
        <w:ind w:left="1440"/>
        <w:jc w:val="both"/>
        <w:rPr>
          <w:rFonts w:asciiTheme="minorHAnsi" w:eastAsia="Batang" w:hAnsiTheme="minorHAnsi" w:cstheme="minorHAnsi"/>
          <w:b/>
          <w:bCs/>
          <w:szCs w:val="22"/>
          <w:lang w:eastAsia="ko-KR"/>
        </w:rPr>
      </w:pPr>
    </w:p>
    <w:p w14:paraId="0F4FE105" w14:textId="17E33A2B" w:rsidR="00135AA5" w:rsidRPr="00B845AF" w:rsidRDefault="00A43854" w:rsidP="00A43854">
      <w:pPr>
        <w:widowControl w:val="0"/>
        <w:kinsoku w:val="0"/>
        <w:overflowPunct w:val="0"/>
        <w:autoSpaceDE w:val="0"/>
        <w:autoSpaceDN w:val="0"/>
        <w:adjustRightInd w:val="0"/>
        <w:snapToGrid w:val="0"/>
        <w:jc w:val="both"/>
        <w:rPr>
          <w:rFonts w:asciiTheme="minorHAnsi" w:eastAsia="Batang" w:hAnsiTheme="minorHAnsi" w:cstheme="minorHAnsi"/>
          <w:b/>
          <w:i/>
          <w:iCs/>
          <w:szCs w:val="22"/>
          <w:lang w:eastAsia="ko-KR"/>
        </w:rPr>
      </w:pPr>
      <w:r w:rsidRPr="00B845AF">
        <w:rPr>
          <w:rFonts w:asciiTheme="minorHAnsi" w:hAnsiTheme="minorHAnsi" w:cstheme="minorHAnsi"/>
          <w:b/>
          <w:i/>
          <w:iCs/>
          <w:szCs w:val="22"/>
        </w:rPr>
        <w:t xml:space="preserve">a. </w:t>
      </w:r>
      <w:r w:rsidR="00D649E0" w:rsidRPr="00B845AF">
        <w:rPr>
          <w:rFonts w:asciiTheme="minorHAnsi" w:hAnsiTheme="minorHAnsi" w:cstheme="minorHAnsi"/>
          <w:b/>
          <w:i/>
          <w:iCs/>
          <w:szCs w:val="22"/>
        </w:rPr>
        <w:t xml:space="preserve">Stock </w:t>
      </w:r>
      <w:r w:rsidR="00D649E0" w:rsidRPr="00B845AF">
        <w:rPr>
          <w:rFonts w:asciiTheme="minorHAnsi" w:eastAsiaTheme="minorEastAsia" w:hAnsiTheme="minorHAnsi" w:cstheme="minorHAnsi"/>
          <w:b/>
          <w:i/>
          <w:iCs/>
          <w:szCs w:val="22"/>
          <w:lang w:eastAsia="ko-KR"/>
        </w:rPr>
        <w:t xml:space="preserve">assessment and </w:t>
      </w:r>
      <w:r w:rsidR="00D649E0" w:rsidRPr="00B845AF">
        <w:rPr>
          <w:rFonts w:asciiTheme="minorHAnsi" w:hAnsiTheme="minorHAnsi" w:cstheme="minorHAnsi"/>
          <w:b/>
          <w:i/>
          <w:iCs/>
          <w:szCs w:val="22"/>
        </w:rPr>
        <w:t xml:space="preserve">trends </w:t>
      </w:r>
    </w:p>
    <w:p w14:paraId="78681F41"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Batang" w:hAnsiTheme="minorHAnsi" w:cstheme="minorHAnsi"/>
          <w:b/>
          <w:szCs w:val="22"/>
          <w:lang w:eastAsia="ko-KR"/>
        </w:rPr>
      </w:pPr>
    </w:p>
    <w:p w14:paraId="32325B9D" w14:textId="49E6511E" w:rsidR="00883A86"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The Pacific blue marlin (</w:t>
      </w:r>
      <w:r w:rsidRPr="00B845AF">
        <w:rPr>
          <w:rFonts w:asciiTheme="minorHAnsi" w:hAnsiTheme="minorHAnsi" w:cstheme="minorHAnsi"/>
          <w:i/>
          <w:iCs/>
          <w:lang w:val="en-US"/>
        </w:rPr>
        <w:t>Makaira nigricans</w:t>
      </w:r>
      <w:r w:rsidRPr="00B845AF">
        <w:rPr>
          <w:rFonts w:asciiTheme="minorHAnsi" w:hAnsiTheme="minorHAnsi" w:cstheme="minorHAnsi"/>
          <w:lang w:val="en-US"/>
        </w:rPr>
        <w:t xml:space="preserve">) is considered a pan-Pacific stock caught primarily in tropical and </w:t>
      </w:r>
      <w:r w:rsidR="00563C92" w:rsidRPr="00B845AF">
        <w:rPr>
          <w:rFonts w:asciiTheme="minorHAnsi" w:hAnsiTheme="minorHAnsi" w:cstheme="minorHAnsi"/>
          <w:lang w:val="en-US"/>
        </w:rPr>
        <w:t>subtropical</w:t>
      </w:r>
      <w:r w:rsidRPr="00B845AF">
        <w:rPr>
          <w:rFonts w:asciiTheme="minorHAnsi" w:hAnsiTheme="minorHAnsi" w:cstheme="minorHAnsi"/>
          <w:lang w:val="en-US"/>
        </w:rPr>
        <w:t xml:space="preserve"> waters (</w:t>
      </w:r>
      <w:r w:rsidRPr="00B845AF">
        <w:rPr>
          <w:rFonts w:asciiTheme="minorHAnsi" w:hAnsiTheme="minorHAnsi" w:cstheme="minorHAnsi"/>
          <w:b/>
          <w:bCs/>
          <w:lang w:val="en-US"/>
        </w:rPr>
        <w:t>Figure BUM-01, Table BUM-01</w:t>
      </w:r>
      <w:r w:rsidRPr="00B845AF">
        <w:rPr>
          <w:rFonts w:asciiTheme="minorHAnsi" w:hAnsiTheme="minorHAnsi" w:cstheme="minorHAnsi"/>
          <w:lang w:val="en-US"/>
        </w:rPr>
        <w:t xml:space="preserve">). All available fishery data from ISC Members, the Inter-American Tropical Tuna Commission (IATTC), and the Western and Central Pacific Fisheries Commission (WCPFC) were used for this stock assessment. For modeling observations of catch-per-unit-effort (CPUE) and size composition data, it was assumed that there was instantaneous mixing of fish throughout the stock area on a quarterly basis. Catch and size composition data were compiled from the ISC members (Chinese Taipei, Japan, and USA), other WCPFC members, and other IATTC members. Standardized CPUE data used to measure trends in relative abundance were provided by Chinese Taipei, Japan, and </w:t>
      </w:r>
      <w:r w:rsidR="004E2763" w:rsidRPr="00B845AF">
        <w:rPr>
          <w:rFonts w:asciiTheme="minorHAnsi" w:hAnsiTheme="minorHAnsi" w:cstheme="minorHAnsi"/>
          <w:lang w:val="en-US"/>
        </w:rPr>
        <w:t xml:space="preserve">the </w:t>
      </w:r>
      <w:r w:rsidRPr="00B845AF">
        <w:rPr>
          <w:rFonts w:asciiTheme="minorHAnsi" w:hAnsiTheme="minorHAnsi" w:cstheme="minorHAnsi"/>
          <w:lang w:val="en-US"/>
        </w:rPr>
        <w:t>USA. The size composition of Pacific blue marlin catches was included in the model for several fishing fleets, including data compiled from longline, driftnet, and purse seine gear. Life history parameters for sex-specific growth, longevity, and natural mortality were updated for this stock assessment. The value for the Beverton-Holt stock-recruitment steepness (</w:t>
      </w:r>
      <w:r w:rsidRPr="00B845AF">
        <w:rPr>
          <w:rFonts w:asciiTheme="minorHAnsi" w:hAnsiTheme="minorHAnsi" w:cstheme="minorHAnsi"/>
          <w:i/>
          <w:iCs/>
          <w:lang w:val="en-US"/>
        </w:rPr>
        <w:t>h</w:t>
      </w:r>
      <w:r w:rsidRPr="00B845AF">
        <w:rPr>
          <w:rFonts w:asciiTheme="minorHAnsi" w:hAnsiTheme="minorHAnsi" w:cstheme="minorHAnsi"/>
          <w:lang w:val="en-US"/>
        </w:rPr>
        <w:t xml:space="preserve">) in the base case model was 0.87. An age-structured assessment model was fit to relative abundance indices (CPUE) and size composition data in the likelihood-based integrated statistical modeling framework Stock Synthesis (SS3). </w:t>
      </w:r>
      <w:proofErr w:type="gramStart"/>
      <w:r w:rsidRPr="00B845AF">
        <w:rPr>
          <w:rFonts w:asciiTheme="minorHAnsi" w:hAnsiTheme="minorHAnsi" w:cstheme="minorHAnsi"/>
          <w:lang w:val="en-US"/>
        </w:rPr>
        <w:t>A large number of</w:t>
      </w:r>
      <w:proofErr w:type="gramEnd"/>
      <w:r w:rsidRPr="00B845AF">
        <w:rPr>
          <w:rFonts w:asciiTheme="minorHAnsi" w:hAnsiTheme="minorHAnsi" w:cstheme="minorHAnsi"/>
          <w:lang w:val="en-US"/>
        </w:rPr>
        <w:t xml:space="preserve"> sensitivity analyses were conducted to evaluate the influence of the model specification and data streams on population biomass and fishing mortality trajectories. Model specifications and input parameters investigated in the sensitivity analyses included natural mortality, stock-recruitment steepness, growth, maturity, uncertainty in the input data (e.g., spatial definitions of CPUE indices, additional error added to input CPUE data, the first year of catch estimates, over- or under-estimation of catch, or the inclusion of size composition data in terms of either weight or length), and variations in model structure (e.g., fleet selectivity and catchability, initial catch and fishing mortality, and estimation of recruitment deviations from the stock-recruitment relationship).</w:t>
      </w:r>
    </w:p>
    <w:p w14:paraId="55F3EB26" w14:textId="77777777" w:rsidR="00883A86" w:rsidRPr="00B845AF" w:rsidRDefault="00883A86" w:rsidP="00883A86">
      <w:pPr>
        <w:pStyle w:val="SCtext"/>
        <w:numPr>
          <w:ilvl w:val="0"/>
          <w:numId w:val="0"/>
        </w:numPr>
        <w:rPr>
          <w:rFonts w:asciiTheme="minorHAnsi" w:hAnsiTheme="minorHAnsi" w:cstheme="minorHAnsi"/>
          <w:b/>
          <w:lang w:val="en-US"/>
        </w:rPr>
      </w:pPr>
    </w:p>
    <w:p w14:paraId="09F63854" w14:textId="730B93D2" w:rsidR="00883A86"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 xml:space="preserve">Eight major sources of uncertainty were identified and considered for sensitivity analyses (Table 2). These included sensitivity to alternative catch estimates: starting the model in 1950 with input estimated catches back to that year; </w:t>
      </w:r>
      <w:r w:rsidR="00563C92" w:rsidRPr="00B845AF">
        <w:rPr>
          <w:rFonts w:asciiTheme="minorHAnsi" w:hAnsiTheme="minorHAnsi" w:cstheme="minorHAnsi"/>
          <w:lang w:val="en-US"/>
        </w:rPr>
        <w:t xml:space="preserve">including </w:t>
      </w:r>
      <w:r w:rsidRPr="00B845AF">
        <w:rPr>
          <w:rFonts w:asciiTheme="minorHAnsi" w:hAnsiTheme="minorHAnsi" w:cstheme="minorHAnsi"/>
          <w:lang w:val="en-US"/>
        </w:rPr>
        <w:t xml:space="preserve">estimated additional catch for the Chinese Taipei large tonnage longline fleet to account for underreported catch from foreign ports; and </w:t>
      </w:r>
      <w:r w:rsidR="00563C92" w:rsidRPr="00B845AF">
        <w:rPr>
          <w:rFonts w:asciiTheme="minorHAnsi" w:hAnsiTheme="minorHAnsi" w:cstheme="minorHAnsi"/>
          <w:lang w:val="en-US"/>
        </w:rPr>
        <w:t xml:space="preserve">modifying </w:t>
      </w:r>
      <w:r w:rsidRPr="00B845AF">
        <w:rPr>
          <w:rFonts w:asciiTheme="minorHAnsi" w:hAnsiTheme="minorHAnsi" w:cstheme="minorHAnsi"/>
          <w:lang w:val="en-US"/>
        </w:rPr>
        <w:t xml:space="preserve">catch by 10% (increase and decrease) for all years/fleets to account for possible discards and species misidentification. The sensitivity to alternative data inputs and error assumptions were considered: splitting the Japan and Chinese Taipei late longline survey indices and size composition data into separate “East” and “West” components, divided by 170°W longitude, to account for expected differences in the size selectivities of the longline fleets in these two areas; using weight composition data for the Chinese Taipei longline fishing fleets (F5 and F6) instead of the length composition data for fleet F5 in the base model; using time-varying catchability in the Chinese Taipei late longline index; and estimating additional error for all CPUE indices. The sensitivity to various biological parameters </w:t>
      </w:r>
      <w:r w:rsidR="00563C92" w:rsidRPr="00B845AF">
        <w:rPr>
          <w:rFonts w:asciiTheme="minorHAnsi" w:hAnsiTheme="minorHAnsi" w:cstheme="minorHAnsi"/>
          <w:lang w:val="en-US"/>
        </w:rPr>
        <w:t xml:space="preserve">was </w:t>
      </w:r>
      <w:r w:rsidRPr="00B845AF">
        <w:rPr>
          <w:rFonts w:asciiTheme="minorHAnsi" w:hAnsiTheme="minorHAnsi" w:cstheme="minorHAnsi"/>
          <w:lang w:val="en-US"/>
        </w:rPr>
        <w:t>considered, including natural mortality, steepness, growth, maturity, and the length-weight relationship. Finally, a series of sensitivity runs were performed to evaluate the model sensitivity to assumptions for initial conditions, including estimating initial F and alternative equilibrium catch estimates</w:t>
      </w:r>
      <w:r w:rsidRPr="00B845AF">
        <w:rPr>
          <w:rFonts w:asciiTheme="minorHAnsi" w:hAnsiTheme="minorHAnsi" w:cstheme="minorHAnsi"/>
          <w:b/>
          <w:bCs/>
          <w:lang w:val="en-US"/>
        </w:rPr>
        <w:t>.</w:t>
      </w:r>
    </w:p>
    <w:p w14:paraId="1397F955" w14:textId="77777777" w:rsidR="00883A86" w:rsidRPr="00B845AF" w:rsidRDefault="00883A86" w:rsidP="00883A86">
      <w:pPr>
        <w:pStyle w:val="SCtext"/>
        <w:numPr>
          <w:ilvl w:val="0"/>
          <w:numId w:val="0"/>
        </w:numPr>
        <w:rPr>
          <w:rFonts w:asciiTheme="minorHAnsi" w:hAnsiTheme="minorHAnsi" w:cstheme="minorHAnsi"/>
          <w:b/>
          <w:lang w:val="en-US"/>
        </w:rPr>
      </w:pPr>
    </w:p>
    <w:p w14:paraId="2D868B51" w14:textId="20C83A09" w:rsidR="009871A5"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Pacific blue marlin catches increased from 9,345 mt in the first year of the assessment (1971) to a maximum of 27,161 mt in 1995 (</w:t>
      </w:r>
      <w:r w:rsidRPr="00B845AF">
        <w:rPr>
          <w:rFonts w:asciiTheme="minorHAnsi" w:hAnsiTheme="minorHAnsi" w:cstheme="minorHAnsi"/>
          <w:b/>
          <w:bCs/>
          <w:lang w:val="en-US"/>
        </w:rPr>
        <w:t>Figure BUM-02</w:t>
      </w:r>
      <w:r w:rsidRPr="00B845AF">
        <w:rPr>
          <w:rFonts w:asciiTheme="minorHAnsi" w:hAnsiTheme="minorHAnsi" w:cstheme="minorHAnsi"/>
          <w:lang w:val="en-US"/>
        </w:rPr>
        <w:t xml:space="preserve">). Catches were highly variable from 1996–2015, ranging from 18,287 to 27,073 mt and averaging about 22,150 mt. Since 2016, catches of Pacific blue marlin declined by almost half to less than 13,000 mt in 2023, and catch increased to an estimated 17,738 mt in 2024. Overall, longline gear has accounted for </w:t>
      </w:r>
      <w:proofErr w:type="gramStart"/>
      <w:r w:rsidRPr="00B845AF">
        <w:rPr>
          <w:rFonts w:asciiTheme="minorHAnsi" w:hAnsiTheme="minorHAnsi" w:cstheme="minorHAnsi"/>
          <w:lang w:val="en-US"/>
        </w:rPr>
        <w:t>the vast majority of</w:t>
      </w:r>
      <w:proofErr w:type="gramEnd"/>
      <w:r w:rsidRPr="00B845AF">
        <w:rPr>
          <w:rFonts w:asciiTheme="minorHAnsi" w:hAnsiTheme="minorHAnsi" w:cstheme="minorHAnsi"/>
          <w:lang w:val="en-US"/>
        </w:rPr>
        <w:t xml:space="preserve"> Pacific blue marlin catches (&gt;80%)</w:t>
      </w:r>
      <w:r w:rsidR="00563C92" w:rsidRPr="00B845AF">
        <w:rPr>
          <w:rFonts w:asciiTheme="minorHAnsi" w:hAnsiTheme="minorHAnsi" w:cstheme="minorHAnsi"/>
          <w:lang w:val="en-US"/>
        </w:rPr>
        <w:t>,</w:t>
      </w:r>
      <w:r w:rsidRPr="00B845AF">
        <w:rPr>
          <w:rFonts w:asciiTheme="minorHAnsi" w:hAnsiTheme="minorHAnsi" w:cstheme="minorHAnsi"/>
          <w:lang w:val="en-US"/>
        </w:rPr>
        <w:t xml:space="preserve"> with </w:t>
      </w:r>
      <w:r w:rsidRPr="00B845AF">
        <w:rPr>
          <w:rFonts w:asciiTheme="minorHAnsi" w:hAnsiTheme="minorHAnsi" w:cstheme="minorHAnsi"/>
          <w:lang w:val="en-US"/>
        </w:rPr>
        <w:lastRenderedPageBreak/>
        <w:t>Japanese fleets dominating the catch before 2000, and Chinese Taipei and other longline fleets dominating thereafter.</w:t>
      </w:r>
    </w:p>
    <w:p w14:paraId="6D5A9825" w14:textId="77777777" w:rsidR="009871A5" w:rsidRPr="00B845AF" w:rsidRDefault="009871A5" w:rsidP="009871A5">
      <w:pPr>
        <w:pStyle w:val="SCtext"/>
        <w:numPr>
          <w:ilvl w:val="0"/>
          <w:numId w:val="0"/>
        </w:numPr>
        <w:rPr>
          <w:rFonts w:asciiTheme="minorHAnsi" w:hAnsiTheme="minorHAnsi" w:cstheme="minorHAnsi"/>
          <w:b/>
          <w:lang w:val="en-US"/>
        </w:rPr>
      </w:pPr>
    </w:p>
    <w:p w14:paraId="37D4649D" w14:textId="410FE1BD" w:rsidR="009871A5"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Visual inspection of the CPUE time</w:t>
      </w:r>
      <w:r w:rsidR="00563C92" w:rsidRPr="00B845AF">
        <w:rPr>
          <w:rFonts w:asciiTheme="minorHAnsi" w:hAnsiTheme="minorHAnsi" w:cstheme="minorHAnsi"/>
          <w:lang w:val="en-US"/>
        </w:rPr>
        <w:t xml:space="preserve"> </w:t>
      </w:r>
      <w:r w:rsidRPr="00B845AF">
        <w:rPr>
          <w:rFonts w:asciiTheme="minorHAnsi" w:hAnsiTheme="minorHAnsi" w:cstheme="minorHAnsi"/>
          <w:lang w:val="en-US"/>
        </w:rPr>
        <w:t>series indicates both S5_TWN_LTLL_Mid and S9_JPN_LL_Late show strong decreasing trends over time, whereas other indices, particularly S8_US_LLdeep</w:t>
      </w:r>
      <w:r w:rsidR="00563C92" w:rsidRPr="00B845AF">
        <w:rPr>
          <w:rFonts w:asciiTheme="minorHAnsi" w:hAnsiTheme="minorHAnsi" w:cstheme="minorHAnsi"/>
          <w:lang w:val="en-US"/>
        </w:rPr>
        <w:t>,</w:t>
      </w:r>
      <w:r w:rsidRPr="00B845AF">
        <w:rPr>
          <w:rFonts w:asciiTheme="minorHAnsi" w:hAnsiTheme="minorHAnsi" w:cstheme="minorHAnsi"/>
          <w:lang w:val="en-US"/>
        </w:rPr>
        <w:t xml:space="preserve"> show less contrast (</w:t>
      </w:r>
      <w:r w:rsidRPr="00B845AF">
        <w:rPr>
          <w:rFonts w:asciiTheme="minorHAnsi" w:hAnsiTheme="minorHAnsi" w:cstheme="minorHAnsi"/>
          <w:b/>
          <w:bCs/>
          <w:lang w:val="en-US"/>
        </w:rPr>
        <w:t>Figure BUM-03</w:t>
      </w:r>
      <w:r w:rsidRPr="00B845AF">
        <w:rPr>
          <w:rFonts w:asciiTheme="minorHAnsi" w:hAnsiTheme="minorHAnsi" w:cstheme="minorHAnsi"/>
          <w:lang w:val="en-US"/>
        </w:rPr>
        <w:t xml:space="preserve">). All 3 indices from the recent </w:t>
      </w:r>
      <w:proofErr w:type="gramStart"/>
      <w:r w:rsidRPr="00B845AF">
        <w:rPr>
          <w:rFonts w:asciiTheme="minorHAnsi" w:hAnsiTheme="minorHAnsi" w:cstheme="minorHAnsi"/>
          <w:lang w:val="en-US"/>
        </w:rPr>
        <w:t>time period</w:t>
      </w:r>
      <w:proofErr w:type="gramEnd"/>
      <w:r w:rsidRPr="00B845AF">
        <w:rPr>
          <w:rFonts w:asciiTheme="minorHAnsi" w:hAnsiTheme="minorHAnsi" w:cstheme="minorHAnsi"/>
          <w:lang w:val="en-US"/>
        </w:rPr>
        <w:t xml:space="preserve"> show a variable or decreasing trend in the last 10 years, with S10_TWN_LTLL_Late indicating </w:t>
      </w:r>
      <w:r w:rsidR="00563C92" w:rsidRPr="00B845AF">
        <w:rPr>
          <w:rFonts w:asciiTheme="minorHAnsi" w:hAnsiTheme="minorHAnsi" w:cstheme="minorHAnsi"/>
          <w:lang w:val="en-US"/>
        </w:rPr>
        <w:t xml:space="preserve">a </w:t>
      </w:r>
      <w:r w:rsidRPr="00B845AF">
        <w:rPr>
          <w:rFonts w:asciiTheme="minorHAnsi" w:hAnsiTheme="minorHAnsi" w:cstheme="minorHAnsi"/>
          <w:lang w:val="en-US"/>
        </w:rPr>
        <w:t xml:space="preserve">sudden increase in CPUE in 2024. Both the Japan and Chinese Taipei indices show a rapid increase in the 1970s–1980s, followed by </w:t>
      </w:r>
      <w:r w:rsidR="00563C92" w:rsidRPr="00B845AF">
        <w:rPr>
          <w:rFonts w:asciiTheme="minorHAnsi" w:hAnsiTheme="minorHAnsi" w:cstheme="minorHAnsi"/>
          <w:lang w:val="en-US"/>
        </w:rPr>
        <w:t xml:space="preserve">a </w:t>
      </w:r>
      <w:r w:rsidRPr="00B845AF">
        <w:rPr>
          <w:rFonts w:asciiTheme="minorHAnsi" w:hAnsiTheme="minorHAnsi" w:cstheme="minorHAnsi"/>
          <w:lang w:val="en-US"/>
        </w:rPr>
        <w:t>decline into 1990. It is also notable that both Japan and Chinese Taipei late indices (S9 and S10) showed a sharp increase in CPUE in the final year (2024). This is consistent with a large increase in the CPUE indices and the reported catch of small BUM throughout the Pacific, which the BILLWG believes indicates a strong recruitment pulse that may have occurred during the 2020s COVID period.</w:t>
      </w:r>
    </w:p>
    <w:p w14:paraId="1A81467A" w14:textId="77777777" w:rsidR="009871A5" w:rsidRPr="00B845AF" w:rsidRDefault="009871A5" w:rsidP="009871A5">
      <w:pPr>
        <w:pStyle w:val="SCtext"/>
        <w:numPr>
          <w:ilvl w:val="0"/>
          <w:numId w:val="0"/>
        </w:numPr>
        <w:rPr>
          <w:rFonts w:asciiTheme="minorHAnsi" w:hAnsiTheme="minorHAnsi" w:cstheme="minorHAnsi"/>
          <w:b/>
          <w:lang w:val="en-US"/>
        </w:rPr>
      </w:pPr>
    </w:p>
    <w:p w14:paraId="4A11C26D" w14:textId="1E32DA2D" w:rsidR="001D2DCC"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Estimated annual recruitment (age-0 fish) averaged approximately 935,900 individuals during 1971–2024 and showed interannual variability averaging 2.7% change but otherwise did not exhibit an overall trend (</w:t>
      </w:r>
      <w:r w:rsidRPr="00B845AF">
        <w:rPr>
          <w:rFonts w:asciiTheme="minorHAnsi" w:hAnsiTheme="minorHAnsi" w:cstheme="minorHAnsi"/>
          <w:b/>
          <w:bCs/>
          <w:lang w:val="en-US"/>
        </w:rPr>
        <w:t>Figure BUM-04</w:t>
      </w:r>
      <w:r w:rsidRPr="00B845AF">
        <w:rPr>
          <w:rFonts w:asciiTheme="minorHAnsi" w:hAnsiTheme="minorHAnsi" w:cstheme="minorHAnsi"/>
          <w:lang w:val="en-US"/>
        </w:rPr>
        <w:t xml:space="preserve">). There were several years with notably lower recruitment, including 1994–1997, and some particularly strong recruitment years in 1976, 1991, and 2023. However, estimated recruitment in 2023, which was the </w:t>
      </w:r>
      <w:r w:rsidR="00A376CA" w:rsidRPr="00B845AF">
        <w:rPr>
          <w:rFonts w:asciiTheme="minorHAnsi" w:hAnsiTheme="minorHAnsi" w:cstheme="minorHAnsi"/>
          <w:lang w:val="en-US"/>
        </w:rPr>
        <w:t>second-highest value of the time series</w:t>
      </w:r>
      <w:r w:rsidRPr="00B845AF">
        <w:rPr>
          <w:rFonts w:asciiTheme="minorHAnsi" w:hAnsiTheme="minorHAnsi" w:cstheme="minorHAnsi"/>
          <w:lang w:val="en-US"/>
        </w:rPr>
        <w:t xml:space="preserve"> and only 1 year before the terminal year of the assessment, is not well estimated in the model. Estimated fishing mortality rate (F, expressed as exploitation rate of biomass) increased through the 1970s–1990s, and fluctuated around 0.20 before declining to 0.12 in 2023 and 0.14 in 2024. Fishing mortality rates have been below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for the entire assessment period (</w:t>
      </w:r>
      <w:r w:rsidRPr="00B845AF">
        <w:rPr>
          <w:rFonts w:asciiTheme="minorHAnsi" w:hAnsiTheme="minorHAnsi" w:cstheme="minorHAnsi"/>
          <w:b/>
          <w:bCs/>
          <w:lang w:val="en-US"/>
        </w:rPr>
        <w:t>Figure BUM-04</w:t>
      </w:r>
      <w:r w:rsidRPr="00B845AF">
        <w:rPr>
          <w:rFonts w:asciiTheme="minorHAnsi" w:hAnsiTheme="minorHAnsi" w:cstheme="minorHAnsi"/>
          <w:lang w:val="en-US"/>
        </w:rPr>
        <w:t>).</w:t>
      </w:r>
    </w:p>
    <w:p w14:paraId="4AC90BC6" w14:textId="77777777" w:rsidR="001D2DCC" w:rsidRPr="00B845AF" w:rsidRDefault="001D2DCC" w:rsidP="001D2DCC">
      <w:pPr>
        <w:pStyle w:val="SCtext"/>
        <w:numPr>
          <w:ilvl w:val="0"/>
          <w:numId w:val="0"/>
        </w:numPr>
        <w:rPr>
          <w:rFonts w:asciiTheme="minorHAnsi" w:hAnsiTheme="minorHAnsi" w:cstheme="minorHAnsi"/>
          <w:b/>
          <w:lang w:val="en-US"/>
        </w:rPr>
      </w:pPr>
    </w:p>
    <w:p w14:paraId="4201B346" w14:textId="3C5196C5" w:rsidR="001D2DCC"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All estimated parameters in the base case model were within the set bounds, the final gradient of the model was 8.6 × 10</w:t>
      </w:r>
      <w:r w:rsidRPr="00B845AF">
        <w:rPr>
          <w:rFonts w:asciiTheme="minorHAnsi" w:hAnsiTheme="minorHAnsi" w:cstheme="minorHAnsi"/>
          <w:vertAlign w:val="superscript"/>
          <w:lang w:val="en-US"/>
        </w:rPr>
        <w:t>-5</w:t>
      </w:r>
      <w:r w:rsidRPr="00B845AF">
        <w:rPr>
          <w:rFonts w:asciiTheme="minorHAnsi" w:hAnsiTheme="minorHAnsi" w:cstheme="minorHAnsi"/>
          <w:lang w:val="en-US"/>
        </w:rPr>
        <w:t xml:space="preserve">, and the Hessian matrix for the parameter estimates was positive definite, indicating the model converged to a minimum. The jitter analysis indicates a global minimum was obtained (i.e., there was no evidence of a lack of convergence), however, alternate local minimums within the negative </w:t>
      </w:r>
      <w:r w:rsidR="00A376CA" w:rsidRPr="00B845AF">
        <w:rPr>
          <w:rFonts w:asciiTheme="minorHAnsi" w:hAnsiTheme="minorHAnsi" w:cstheme="minorHAnsi"/>
          <w:lang w:val="en-US"/>
        </w:rPr>
        <w:t xml:space="preserve">log-likelihood </w:t>
      </w:r>
      <w:r w:rsidRPr="00B845AF">
        <w:rPr>
          <w:rFonts w:asciiTheme="minorHAnsi" w:hAnsiTheme="minorHAnsi" w:cstheme="minorHAnsi"/>
          <w:lang w:val="en-US"/>
        </w:rPr>
        <w:t xml:space="preserve">surface exist with very different (albeit unreasonable) values estimated for initial F, indicating that initial F estimation is a source of some uncertainty in the base model. Root-mean-square-errors (RMSE) was smaller than 0.3, suggesting </w:t>
      </w:r>
      <w:r w:rsidR="00A376CA" w:rsidRPr="00B845AF">
        <w:rPr>
          <w:rFonts w:asciiTheme="minorHAnsi" w:hAnsiTheme="minorHAnsi" w:cstheme="minorHAnsi"/>
          <w:lang w:val="en-US"/>
        </w:rPr>
        <w:t xml:space="preserve">a </w:t>
      </w:r>
      <w:r w:rsidRPr="00B845AF">
        <w:rPr>
          <w:rFonts w:asciiTheme="minorHAnsi" w:hAnsiTheme="minorHAnsi" w:cstheme="minorHAnsi"/>
          <w:lang w:val="en-US"/>
        </w:rPr>
        <w:t xml:space="preserve">good fit, for all indices except for S5_TWN_LTLL_Mid. Comparisons between the </w:t>
      </w:r>
      <w:r w:rsidR="00A376CA" w:rsidRPr="00B845AF">
        <w:rPr>
          <w:rFonts w:asciiTheme="minorHAnsi" w:hAnsiTheme="minorHAnsi" w:cstheme="minorHAnsi"/>
          <w:lang w:val="en-US"/>
        </w:rPr>
        <w:t xml:space="preserve">time-series </w:t>
      </w:r>
      <w:r w:rsidRPr="00B845AF">
        <w:rPr>
          <w:rFonts w:asciiTheme="minorHAnsi" w:hAnsiTheme="minorHAnsi" w:cstheme="minorHAnsi"/>
          <w:lang w:val="en-US"/>
        </w:rPr>
        <w:t xml:space="preserve">aggregated size composition data and the base model indicate general agreement of modes, but suggest some misfitting, particularly in the JPN LL fleets that tend to underestimate the smallest and largest sizes. The CPUE indices for four of six fleets passed the runs test. Index fits for the TWN Late and USA LL fleets did not pass the runs </w:t>
      </w:r>
      <w:proofErr w:type="gramStart"/>
      <w:r w:rsidRPr="00B845AF">
        <w:rPr>
          <w:rFonts w:asciiTheme="minorHAnsi" w:hAnsiTheme="minorHAnsi" w:cstheme="minorHAnsi"/>
          <w:lang w:val="en-US"/>
        </w:rPr>
        <w:t>test, and</w:t>
      </w:r>
      <w:proofErr w:type="gramEnd"/>
      <w:r w:rsidRPr="00B845AF">
        <w:rPr>
          <w:rFonts w:asciiTheme="minorHAnsi" w:hAnsiTheme="minorHAnsi" w:cstheme="minorHAnsi"/>
          <w:lang w:val="en-US"/>
        </w:rPr>
        <w:t xml:space="preserve"> showed several strong runs of positive or negative residuals to the model fit. The size composition time series by season for two of the six fleets with size data passed the runs test. Profiles of change in total loglikelihood for values of ln(R</w:t>
      </w:r>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ranging from approximately 6.28 to 7.68 indicate length composition provides </w:t>
      </w:r>
      <w:proofErr w:type="gramStart"/>
      <w:r w:rsidRPr="00B845AF">
        <w:rPr>
          <w:rFonts w:asciiTheme="minorHAnsi" w:hAnsiTheme="minorHAnsi" w:cstheme="minorHAnsi"/>
          <w:lang w:val="en-US"/>
        </w:rPr>
        <w:t>the majority of</w:t>
      </w:r>
      <w:proofErr w:type="gramEnd"/>
      <w:r w:rsidRPr="00B845AF">
        <w:rPr>
          <w:rFonts w:asciiTheme="minorHAnsi" w:hAnsiTheme="minorHAnsi" w:cstheme="minorHAnsi"/>
          <w:lang w:val="en-US"/>
        </w:rPr>
        <w:t xml:space="preserve"> the information for population scale, whereas the index component contributes less, yet the maximum likelihood estimates of ln(R</w:t>
      </w:r>
      <w:r w:rsidRPr="00B845AF">
        <w:rPr>
          <w:rFonts w:asciiTheme="minorHAnsi" w:hAnsiTheme="minorHAnsi" w:cstheme="minorHAnsi"/>
          <w:vertAlign w:val="subscript"/>
          <w:lang w:val="en-US"/>
        </w:rPr>
        <w:t>0</w:t>
      </w:r>
      <w:r w:rsidRPr="00B845AF">
        <w:rPr>
          <w:rFonts w:asciiTheme="minorHAnsi" w:hAnsiTheme="minorHAnsi" w:cstheme="minorHAnsi"/>
          <w:lang w:val="en-US"/>
        </w:rPr>
        <w:t xml:space="preserve">) generally agree. </w:t>
      </w:r>
    </w:p>
    <w:p w14:paraId="0C45BFBD" w14:textId="77777777" w:rsidR="001D2DCC" w:rsidRPr="00B845AF" w:rsidRDefault="001D2DCC" w:rsidP="001D2DCC">
      <w:pPr>
        <w:pStyle w:val="SCtext"/>
        <w:numPr>
          <w:ilvl w:val="0"/>
          <w:numId w:val="0"/>
        </w:numPr>
        <w:rPr>
          <w:rFonts w:asciiTheme="minorHAnsi" w:hAnsiTheme="minorHAnsi" w:cstheme="minorHAnsi"/>
          <w:b/>
          <w:lang w:val="en-US"/>
        </w:rPr>
      </w:pPr>
    </w:p>
    <w:p w14:paraId="3CEA2430" w14:textId="117D1A48" w:rsidR="001D2DCC" w:rsidRPr="00B845AF" w:rsidRDefault="00883A86">
      <w:pPr>
        <w:pStyle w:val="SCtext"/>
        <w:rPr>
          <w:rFonts w:asciiTheme="minorHAnsi" w:hAnsiTheme="minorHAnsi" w:cstheme="minorHAnsi"/>
          <w:b/>
          <w:lang w:val="en-US"/>
        </w:rPr>
      </w:pPr>
      <w:r w:rsidRPr="00B845AF">
        <w:rPr>
          <w:rFonts w:asciiTheme="minorHAnsi" w:hAnsiTheme="minorHAnsi" w:cstheme="minorHAnsi"/>
          <w:lang w:val="en-US"/>
        </w:rPr>
        <w:t>Estimates of population biomass (age 1 and older) for the Pacific blue marlin stock declined from 183,150 mt in 1993 to 123,300 mt in 1999, with a steady further decline to average 102,490 mt in 2021–2023, and a terminal year increase to an estimated 127,300 mt in 2024. Initial estimates of BUM female SSB were 133,100 mt in 1971, and then steadily declined to an average of 39,600 mt from 2007–2020, followed by a 19% increase to 47,240 mt in 2024, which is the highest SSB since 2001. SSB has been relatively stable</w:t>
      </w:r>
      <w:r w:rsidR="00A376CA" w:rsidRPr="00B845AF">
        <w:rPr>
          <w:rFonts w:asciiTheme="minorHAnsi" w:hAnsiTheme="minorHAnsi" w:cstheme="minorHAnsi"/>
          <w:lang w:val="en-US"/>
        </w:rPr>
        <w:t>,</w:t>
      </w:r>
      <w:r w:rsidRPr="00B845AF">
        <w:rPr>
          <w:rFonts w:asciiTheme="minorHAnsi" w:hAnsiTheme="minorHAnsi" w:cstheme="minorHAnsi"/>
          <w:lang w:val="en-US"/>
        </w:rPr>
        <w:t xml:space="preserve"> and the median value has been above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for the entirety of the assessment period (</w:t>
      </w:r>
      <w:r w:rsidRPr="00B845AF">
        <w:rPr>
          <w:rFonts w:asciiTheme="minorHAnsi" w:hAnsiTheme="minorHAnsi" w:cstheme="minorHAnsi"/>
          <w:b/>
          <w:bCs/>
          <w:lang w:val="en-US"/>
        </w:rPr>
        <w:t>Figure BUM-04</w:t>
      </w:r>
      <w:r w:rsidRPr="00B845AF">
        <w:rPr>
          <w:rFonts w:asciiTheme="minorHAnsi" w:hAnsiTheme="minorHAnsi" w:cstheme="minorHAnsi"/>
          <w:lang w:val="en-US"/>
        </w:rPr>
        <w:t>).</w:t>
      </w:r>
    </w:p>
    <w:p w14:paraId="745DDBA3" w14:textId="77777777" w:rsidR="001D2DCC" w:rsidRPr="00B845AF" w:rsidRDefault="001D2DCC" w:rsidP="001D2DCC">
      <w:pPr>
        <w:pStyle w:val="SCtext"/>
        <w:numPr>
          <w:ilvl w:val="0"/>
          <w:numId w:val="0"/>
        </w:numPr>
        <w:rPr>
          <w:rFonts w:asciiTheme="minorHAnsi" w:hAnsiTheme="minorHAnsi" w:cstheme="minorHAnsi"/>
          <w:b/>
          <w:lang w:val="en-US"/>
        </w:rPr>
      </w:pPr>
    </w:p>
    <w:p w14:paraId="4138081E" w14:textId="0AE85B34" w:rsidR="001D2DCC" w:rsidRPr="00B845AF" w:rsidRDefault="00883A86">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Pacific blue marlin was last assessed in 2021. The stock status indicated that it was not overfished and was not undergoing overfishing. The 2021 assessment was a model ensemble of two possible growth models, the 2016 growth curve and a new preliminary growth curve (2021 growth). The 2026 assessment uses the published growth curve based on the 2021 new growth curve, which </w:t>
      </w:r>
      <w:r w:rsidR="00A376CA" w:rsidRPr="00B845AF">
        <w:rPr>
          <w:rFonts w:asciiTheme="minorHAnsi" w:hAnsiTheme="minorHAnsi" w:cstheme="minorHAnsi"/>
          <w:lang w:val="en-US"/>
        </w:rPr>
        <w:t xml:space="preserve">is </w:t>
      </w:r>
      <w:proofErr w:type="gramStart"/>
      <w:r w:rsidRPr="00B845AF">
        <w:rPr>
          <w:rFonts w:asciiTheme="minorHAnsi" w:hAnsiTheme="minorHAnsi" w:cstheme="minorHAnsi"/>
          <w:lang w:val="en-US"/>
        </w:rPr>
        <w:t>fairly similar</w:t>
      </w:r>
      <w:proofErr w:type="gramEnd"/>
      <w:r w:rsidRPr="00B845AF">
        <w:rPr>
          <w:rFonts w:asciiTheme="minorHAnsi" w:hAnsiTheme="minorHAnsi" w:cstheme="minorHAnsi"/>
          <w:lang w:val="en-US"/>
        </w:rPr>
        <w:t>. The 2026 growth curve has a larger L</w:t>
      </w:r>
      <w:r w:rsidRPr="00B845AF">
        <w:rPr>
          <w:rFonts w:asciiTheme="minorHAnsi" w:hAnsiTheme="minorHAnsi" w:cstheme="minorHAnsi"/>
          <w:vertAlign w:val="subscript"/>
          <w:lang w:val="en-US"/>
        </w:rPr>
        <w:t>inf</w:t>
      </w:r>
      <w:r w:rsidRPr="00B845AF">
        <w:rPr>
          <w:rFonts w:asciiTheme="minorHAnsi" w:hAnsiTheme="minorHAnsi" w:cstheme="minorHAnsi"/>
          <w:lang w:val="en-US"/>
        </w:rPr>
        <w:t xml:space="preserve">, and the maximum age of the 2026 model was larger due to the bomb-radiocarbon dating of a large female BUM giving an age of around 27 years. Due to the update in the growth curve, the 2026 assessment also updated the estimate of natural mortality, moving from the meta-analysis used in 2021 to a </w:t>
      </w:r>
      <w:r w:rsidR="00A376CA" w:rsidRPr="00B845AF">
        <w:rPr>
          <w:rFonts w:asciiTheme="minorHAnsi" w:hAnsiTheme="minorHAnsi" w:cstheme="minorHAnsi"/>
          <w:lang w:val="en-US"/>
        </w:rPr>
        <w:t>longevity-based</w:t>
      </w:r>
      <w:r w:rsidRPr="00B845AF">
        <w:rPr>
          <w:rFonts w:asciiTheme="minorHAnsi" w:hAnsiTheme="minorHAnsi" w:cstheme="minorHAnsi"/>
          <w:lang w:val="en-US"/>
        </w:rPr>
        <w:t xml:space="preserve"> Lorenzen growth curve. These changes resulted in a change to the overall scale of the population, largely driven by the change in the growth curve. The 2026 model suggests the BUM stock is larger, with an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of 31,651 mt (compared to 20,667 mt in 2021), although the overall trend in biomass and fishing mortality </w:t>
      </w:r>
      <w:r w:rsidR="00A376CA" w:rsidRPr="00B845AF">
        <w:rPr>
          <w:rFonts w:asciiTheme="minorHAnsi" w:hAnsiTheme="minorHAnsi" w:cstheme="minorHAnsi"/>
          <w:lang w:val="en-US"/>
        </w:rPr>
        <w:t>rates</w:t>
      </w:r>
      <w:r w:rsidRPr="00B845AF">
        <w:rPr>
          <w:rFonts w:asciiTheme="minorHAnsi" w:hAnsiTheme="minorHAnsi" w:cstheme="minorHAnsi"/>
          <w:lang w:val="en-US"/>
        </w:rPr>
        <w:t xml:space="preserve"> </w:t>
      </w:r>
      <w:r w:rsidR="00D60D99" w:rsidRPr="00B845AF">
        <w:rPr>
          <w:rFonts w:asciiTheme="minorHAnsi" w:hAnsiTheme="minorHAnsi" w:cstheme="minorHAnsi"/>
          <w:lang w:val="en-US"/>
        </w:rPr>
        <w:t>is</w:t>
      </w:r>
      <w:r w:rsidRPr="00B845AF">
        <w:rPr>
          <w:rFonts w:asciiTheme="minorHAnsi" w:hAnsiTheme="minorHAnsi" w:cstheme="minorHAnsi"/>
          <w:lang w:val="en-US"/>
        </w:rPr>
        <w:t xml:space="preserve"> the same. </w:t>
      </w:r>
    </w:p>
    <w:p w14:paraId="3DF71A98" w14:textId="77777777" w:rsidR="009A4F45" w:rsidRPr="00B845AF" w:rsidRDefault="009A4F45" w:rsidP="001D2DCC">
      <w:pPr>
        <w:rPr>
          <w:rFonts w:asciiTheme="minorHAnsi" w:eastAsiaTheme="minorEastAsia" w:hAnsiTheme="minorHAnsi" w:cstheme="minorHAnsi"/>
          <w:szCs w:val="22"/>
          <w:lang w:eastAsia="ko-KR"/>
        </w:rPr>
      </w:pPr>
    </w:p>
    <w:p w14:paraId="1D9C2F5B" w14:textId="5803BF4F" w:rsidR="00883A86" w:rsidRPr="00B845AF" w:rsidRDefault="00883A86" w:rsidP="001D2DCC">
      <w:pPr>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b/>
          <w:bCs/>
          <w:szCs w:val="22"/>
          <w:lang w:eastAsia="ko-KR"/>
        </w:rPr>
        <w:t>Table BUM-01.</w:t>
      </w:r>
      <w:r w:rsidRPr="00B845AF">
        <w:rPr>
          <w:rFonts w:asciiTheme="minorHAnsi" w:eastAsiaTheme="minorEastAsia" w:hAnsiTheme="minorHAnsi" w:cstheme="minorHAnsi"/>
          <w:szCs w:val="22"/>
          <w:lang w:eastAsia="ko-KR"/>
        </w:rPr>
        <w:t xml:space="preserve"> Stock assessment model structure for the 2026 Pacific blue marlin stock assessment.</w:t>
      </w:r>
    </w:p>
    <w:tbl>
      <w:tblPr>
        <w:tblW w:w="8200" w:type="dxa"/>
        <w:tblLook w:val="04A0" w:firstRow="1" w:lastRow="0" w:firstColumn="1" w:lastColumn="0" w:noHBand="0" w:noVBand="1"/>
      </w:tblPr>
      <w:tblGrid>
        <w:gridCol w:w="2155"/>
        <w:gridCol w:w="6045"/>
      </w:tblGrid>
      <w:tr w:rsidR="00883A86" w:rsidRPr="00B845AF" w14:paraId="376C7840"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0BD18257"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Species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7F81F3A2"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Pacific blue marlin (</w:t>
            </w:r>
            <w:r w:rsidRPr="00B845AF">
              <w:rPr>
                <w:rFonts w:asciiTheme="minorHAnsi" w:eastAsiaTheme="minorEastAsia" w:hAnsiTheme="minorHAnsi" w:cstheme="minorHAnsi"/>
                <w:i/>
                <w:iCs/>
                <w:szCs w:val="22"/>
                <w:lang w:eastAsia="ko-KR"/>
              </w:rPr>
              <w:t>Makaira nigricans</w:t>
            </w:r>
            <w:r w:rsidRPr="00B845AF">
              <w:rPr>
                <w:rFonts w:asciiTheme="minorHAnsi" w:eastAsiaTheme="minorEastAsia" w:hAnsiTheme="minorHAnsi" w:cstheme="minorHAnsi"/>
                <w:szCs w:val="22"/>
                <w:lang w:eastAsia="ko-KR"/>
              </w:rPr>
              <w:t>)</w:t>
            </w:r>
          </w:p>
        </w:tc>
      </w:tr>
      <w:tr w:rsidR="00883A86" w:rsidRPr="00B845AF" w14:paraId="3811C6DF"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574E0664"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Stock Area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67580DAE"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Pacific Ocean (basin-wide stock)</w:t>
            </w:r>
          </w:p>
        </w:tc>
      </w:tr>
      <w:tr w:rsidR="00883A86" w:rsidRPr="00B845AF" w14:paraId="5587DAAA"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1D0719C1"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Assessment Model</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3473B231"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Stock Synthesis (SS3)</w:t>
            </w:r>
          </w:p>
        </w:tc>
      </w:tr>
      <w:tr w:rsidR="00883A86" w:rsidRPr="00B845AF" w14:paraId="32B8932B"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57DC95EE"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Data Period</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4470B410"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xml:space="preserve">1971-2024, with sensitivity </w:t>
            </w:r>
            <w:proofErr w:type="gramStart"/>
            <w:r w:rsidRPr="00B845AF">
              <w:rPr>
                <w:rFonts w:asciiTheme="minorHAnsi" w:eastAsiaTheme="minorEastAsia" w:hAnsiTheme="minorHAnsi" w:cstheme="minorHAnsi"/>
                <w:szCs w:val="22"/>
                <w:lang w:eastAsia="ko-KR"/>
              </w:rPr>
              <w:t>run</w:t>
            </w:r>
            <w:proofErr w:type="gramEnd"/>
            <w:r w:rsidRPr="00B845AF">
              <w:rPr>
                <w:rFonts w:asciiTheme="minorHAnsi" w:eastAsiaTheme="minorEastAsia" w:hAnsiTheme="minorHAnsi" w:cstheme="minorHAnsi"/>
                <w:szCs w:val="22"/>
                <w:lang w:eastAsia="ko-KR"/>
              </w:rPr>
              <w:t xml:space="preserve"> starting in 1950</w:t>
            </w:r>
          </w:p>
        </w:tc>
      </w:tr>
      <w:tr w:rsidR="00883A86" w:rsidRPr="00B845AF" w14:paraId="74B2F953"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6DF2ABCA"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Primary Fisheries</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11B5560D"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Longline (major source of mortality), purse seine and other gears</w:t>
            </w:r>
          </w:p>
        </w:tc>
      </w:tr>
      <w:tr w:rsidR="00883A86" w:rsidRPr="00B845AF" w14:paraId="7C0CE1C6" w14:textId="77777777" w:rsidTr="00835632">
        <w:trPr>
          <w:trHeight w:val="300"/>
        </w:trPr>
        <w:tc>
          <w:tcPr>
            <w:tcW w:w="2155" w:type="dxa"/>
            <w:tcBorders>
              <w:top w:val="single" w:sz="4" w:space="0" w:color="auto"/>
              <w:left w:val="single" w:sz="4" w:space="0" w:color="auto"/>
              <w:bottom w:val="single" w:sz="4" w:space="0" w:color="auto"/>
              <w:right w:val="single" w:sz="4" w:space="0" w:color="auto"/>
            </w:tcBorders>
            <w:noWrap/>
            <w:vAlign w:val="bottom"/>
            <w:hideMark/>
          </w:tcPr>
          <w:p w14:paraId="1113E5BC" w14:textId="77777777" w:rsidR="00883A86" w:rsidRPr="00B845AF" w:rsidRDefault="00883A86" w:rsidP="009A4F45">
            <w:pPr>
              <w:pStyle w:val="ListParagraph"/>
              <w:widowControl w:val="0"/>
              <w:kinsoku w:val="0"/>
              <w:overflowPunct w:val="0"/>
              <w:autoSpaceDE w:val="0"/>
              <w:autoSpaceDN w:val="0"/>
              <w:adjustRightInd w:val="0"/>
              <w:snapToGrid w:val="0"/>
              <w:ind w:left="-23"/>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Key data</w:t>
            </w:r>
          </w:p>
        </w:tc>
        <w:tc>
          <w:tcPr>
            <w:tcW w:w="6045" w:type="dxa"/>
            <w:tcBorders>
              <w:top w:val="single" w:sz="4" w:space="0" w:color="auto"/>
              <w:left w:val="single" w:sz="4" w:space="0" w:color="auto"/>
              <w:bottom w:val="single" w:sz="4" w:space="0" w:color="auto"/>
              <w:right w:val="single" w:sz="4" w:space="0" w:color="auto"/>
            </w:tcBorders>
            <w:noWrap/>
            <w:vAlign w:val="bottom"/>
            <w:hideMark/>
          </w:tcPr>
          <w:p w14:paraId="43610515" w14:textId="77777777" w:rsidR="00883A86" w:rsidRPr="00B845AF" w:rsidRDefault="00883A86" w:rsidP="009A4F45">
            <w:pPr>
              <w:pStyle w:val="ListParagraph"/>
              <w:widowControl w:val="0"/>
              <w:kinsoku w:val="0"/>
              <w:overflowPunct w:val="0"/>
              <w:autoSpaceDE w:val="0"/>
              <w:autoSpaceDN w:val="0"/>
              <w:adjustRightInd w:val="0"/>
              <w:snapToGrid w:val="0"/>
              <w:ind w:left="74"/>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 standardized CPUE, length and weight compositions</w:t>
            </w:r>
          </w:p>
        </w:tc>
      </w:tr>
    </w:tbl>
    <w:p w14:paraId="153E5F65"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sectPr w:rsidR="00883A86" w:rsidRPr="00B845AF" w:rsidSect="009A4F45">
          <w:pgSz w:w="12240" w:h="15840" w:code="1"/>
          <w:pgMar w:top="1440" w:right="1440" w:bottom="1440" w:left="1440" w:header="720" w:footer="720" w:gutter="0"/>
          <w:cols w:space="720"/>
          <w:docGrid w:linePitch="360"/>
        </w:sectPr>
      </w:pPr>
    </w:p>
    <w:p w14:paraId="72DD99F3" w14:textId="415B6107" w:rsidR="00AD0A14" w:rsidRPr="00B845AF" w:rsidRDefault="00883A86" w:rsidP="009A4F45">
      <w:pPr>
        <w:pStyle w:val="ListParagraph"/>
        <w:widowControl w:val="0"/>
        <w:kinsoku w:val="0"/>
        <w:overflowPunct w:val="0"/>
        <w:autoSpaceDE w:val="0"/>
        <w:autoSpaceDN w:val="0"/>
        <w:adjustRightInd w:val="0"/>
        <w:snapToGrid w:val="0"/>
        <w:ind w:left="0"/>
        <w:jc w:val="both"/>
        <w:rPr>
          <w:rFonts w:asciiTheme="minorHAnsi" w:eastAsia="MS Mincho" w:hAnsiTheme="minorHAnsi" w:cstheme="minorHAnsi"/>
          <w:szCs w:val="22"/>
          <w:lang w:eastAsia="ja-JP"/>
        </w:rPr>
      </w:pPr>
      <w:r w:rsidRPr="00B845AF">
        <w:rPr>
          <w:rFonts w:asciiTheme="minorHAnsi" w:eastAsiaTheme="minorEastAsia" w:hAnsiTheme="minorHAnsi" w:cstheme="minorHAnsi"/>
          <w:b/>
          <w:bCs/>
          <w:szCs w:val="22"/>
          <w:lang w:eastAsia="ko-KR"/>
        </w:rPr>
        <w:lastRenderedPageBreak/>
        <w:t>Table BUM-02</w:t>
      </w:r>
      <w:r w:rsidRPr="00B845AF">
        <w:rPr>
          <w:rFonts w:asciiTheme="minorHAnsi" w:eastAsiaTheme="minorEastAsia" w:hAnsiTheme="minorHAnsi" w:cstheme="minorHAnsi"/>
          <w:szCs w:val="22"/>
          <w:lang w:eastAsia="ko-KR"/>
        </w:rPr>
        <w:t>. Key sources of uncertainty considered in the 2026 Pacific blue marlin stock assessment.</w:t>
      </w:r>
    </w:p>
    <w:tbl>
      <w:tblPr>
        <w:tblW w:w="0" w:type="auto"/>
        <w:tblLook w:val="04A0" w:firstRow="1" w:lastRow="0" w:firstColumn="1" w:lastColumn="0" w:noHBand="0" w:noVBand="1"/>
      </w:tblPr>
      <w:tblGrid>
        <w:gridCol w:w="1288"/>
        <w:gridCol w:w="1086"/>
        <w:gridCol w:w="1584"/>
        <w:gridCol w:w="2150"/>
        <w:gridCol w:w="2093"/>
        <w:gridCol w:w="1149"/>
      </w:tblGrid>
      <w:tr w:rsidR="00162408" w:rsidRPr="009A4F45" w14:paraId="2B0CDA3A" w14:textId="77777777" w:rsidTr="009A4F45">
        <w:tc>
          <w:tcPr>
            <w:tcW w:w="1287" w:type="dxa"/>
            <w:tcBorders>
              <w:top w:val="single" w:sz="4" w:space="0" w:color="auto"/>
              <w:left w:val="single" w:sz="4" w:space="0" w:color="auto"/>
              <w:bottom w:val="single" w:sz="4" w:space="0" w:color="auto"/>
              <w:right w:val="single" w:sz="4" w:space="0" w:color="auto"/>
            </w:tcBorders>
            <w:noWrap/>
            <w:hideMark/>
          </w:tcPr>
          <w:p w14:paraId="450A9C29" w14:textId="77777777" w:rsidR="00162408" w:rsidRPr="009A4F45" w:rsidRDefault="00162408" w:rsidP="00162408">
            <w:pPr>
              <w:widowControl w:val="0"/>
              <w:kinsoku w:val="0"/>
              <w:overflowPunct w:val="0"/>
              <w:autoSpaceDE w:val="0"/>
              <w:autoSpaceDN w:val="0"/>
              <w:adjustRightInd w:val="0"/>
              <w:snapToGrid w:val="0"/>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Source</w:t>
            </w:r>
          </w:p>
        </w:tc>
        <w:tc>
          <w:tcPr>
            <w:tcW w:w="1085" w:type="dxa"/>
            <w:tcBorders>
              <w:top w:val="single" w:sz="4" w:space="0" w:color="auto"/>
              <w:left w:val="nil"/>
              <w:bottom w:val="single" w:sz="4" w:space="0" w:color="auto"/>
              <w:right w:val="single" w:sz="4" w:space="0" w:color="auto"/>
            </w:tcBorders>
            <w:noWrap/>
            <w:hideMark/>
          </w:tcPr>
          <w:p w14:paraId="4315BD04" w14:textId="77777777" w:rsidR="00162408" w:rsidRPr="009A4F45" w:rsidRDefault="00162408" w:rsidP="00162408">
            <w:pPr>
              <w:widowControl w:val="0"/>
              <w:kinsoku w:val="0"/>
              <w:overflowPunct w:val="0"/>
              <w:autoSpaceDE w:val="0"/>
              <w:autoSpaceDN w:val="0"/>
              <w:adjustRightInd w:val="0"/>
              <w:snapToGrid w:val="0"/>
              <w:ind w:right="-44"/>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Type</w:t>
            </w:r>
          </w:p>
        </w:tc>
        <w:tc>
          <w:tcPr>
            <w:tcW w:w="1585" w:type="dxa"/>
            <w:tcBorders>
              <w:top w:val="single" w:sz="4" w:space="0" w:color="auto"/>
              <w:left w:val="nil"/>
              <w:bottom w:val="single" w:sz="4" w:space="0" w:color="auto"/>
              <w:right w:val="single" w:sz="4" w:space="0" w:color="auto"/>
            </w:tcBorders>
            <w:noWrap/>
            <w:hideMark/>
          </w:tcPr>
          <w:p w14:paraId="3401206A" w14:textId="77777777" w:rsidR="00162408" w:rsidRPr="009A4F45" w:rsidRDefault="00162408" w:rsidP="00162408">
            <w:pPr>
              <w:widowControl w:val="0"/>
              <w:kinsoku w:val="0"/>
              <w:overflowPunct w:val="0"/>
              <w:autoSpaceDE w:val="0"/>
              <w:autoSpaceDN w:val="0"/>
              <w:adjustRightInd w:val="0"/>
              <w:snapToGrid w:val="0"/>
              <w:ind w:left="1" w:right="-49"/>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Rationale</w:t>
            </w:r>
          </w:p>
        </w:tc>
        <w:tc>
          <w:tcPr>
            <w:tcW w:w="2151" w:type="dxa"/>
            <w:tcBorders>
              <w:top w:val="single" w:sz="4" w:space="0" w:color="auto"/>
              <w:left w:val="nil"/>
              <w:bottom w:val="single" w:sz="4" w:space="0" w:color="auto"/>
              <w:right w:val="single" w:sz="4" w:space="0" w:color="auto"/>
            </w:tcBorders>
            <w:noWrap/>
            <w:hideMark/>
          </w:tcPr>
          <w:p w14:paraId="2A4553CF" w14:textId="77777777" w:rsidR="00162408" w:rsidRPr="009A4F45" w:rsidRDefault="00162408" w:rsidP="00162408">
            <w:pPr>
              <w:widowControl w:val="0"/>
              <w:kinsoku w:val="0"/>
              <w:overflowPunct w:val="0"/>
              <w:autoSpaceDE w:val="0"/>
              <w:autoSpaceDN w:val="0"/>
              <w:adjustRightInd w:val="0"/>
              <w:snapToGrid w:val="0"/>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Uncertainty</w:t>
            </w:r>
          </w:p>
        </w:tc>
        <w:tc>
          <w:tcPr>
            <w:tcW w:w="2094" w:type="dxa"/>
            <w:tcBorders>
              <w:top w:val="single" w:sz="4" w:space="0" w:color="auto"/>
              <w:left w:val="nil"/>
              <w:bottom w:val="single" w:sz="4" w:space="0" w:color="auto"/>
              <w:right w:val="single" w:sz="4" w:space="0" w:color="auto"/>
            </w:tcBorders>
            <w:noWrap/>
            <w:hideMark/>
          </w:tcPr>
          <w:p w14:paraId="40ACE2BF" w14:textId="77777777" w:rsidR="00162408" w:rsidRPr="009A4F45" w:rsidRDefault="00162408" w:rsidP="00162408">
            <w:pPr>
              <w:widowControl w:val="0"/>
              <w:kinsoku w:val="0"/>
              <w:overflowPunct w:val="0"/>
              <w:autoSpaceDE w:val="0"/>
              <w:autoSpaceDN w:val="0"/>
              <w:adjustRightInd w:val="0"/>
              <w:snapToGrid w:val="0"/>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Impact</w:t>
            </w:r>
          </w:p>
        </w:tc>
        <w:tc>
          <w:tcPr>
            <w:tcW w:w="1148" w:type="dxa"/>
            <w:tcBorders>
              <w:top w:val="single" w:sz="4" w:space="0" w:color="auto"/>
              <w:left w:val="nil"/>
              <w:bottom w:val="single" w:sz="4" w:space="0" w:color="auto"/>
              <w:right w:val="single" w:sz="4" w:space="0" w:color="auto"/>
            </w:tcBorders>
            <w:noWrap/>
            <w:hideMark/>
          </w:tcPr>
          <w:p w14:paraId="43839C38" w14:textId="77777777" w:rsidR="00162408" w:rsidRPr="009A4F45" w:rsidRDefault="00162408" w:rsidP="00162408">
            <w:pPr>
              <w:widowControl w:val="0"/>
              <w:kinsoku w:val="0"/>
              <w:overflowPunct w:val="0"/>
              <w:autoSpaceDE w:val="0"/>
              <w:autoSpaceDN w:val="0"/>
              <w:adjustRightInd w:val="0"/>
              <w:snapToGrid w:val="0"/>
              <w:jc w:val="center"/>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Confidence</w:t>
            </w:r>
          </w:p>
        </w:tc>
      </w:tr>
      <w:tr w:rsidR="00162408" w:rsidRPr="009A4F45" w14:paraId="08B903A5" w14:textId="77777777" w:rsidTr="009A4F45">
        <w:tc>
          <w:tcPr>
            <w:tcW w:w="1287" w:type="dxa"/>
            <w:vMerge w:val="restart"/>
            <w:tcBorders>
              <w:top w:val="nil"/>
              <w:left w:val="single" w:sz="4" w:space="0" w:color="auto"/>
              <w:bottom w:val="single" w:sz="4" w:space="0" w:color="auto"/>
              <w:right w:val="single" w:sz="4" w:space="0" w:color="auto"/>
            </w:tcBorders>
            <w:noWrap/>
            <w:hideMark/>
          </w:tcPr>
          <w:p w14:paraId="271C9A4B"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Data</w:t>
            </w:r>
          </w:p>
        </w:tc>
        <w:tc>
          <w:tcPr>
            <w:tcW w:w="1085" w:type="dxa"/>
            <w:tcBorders>
              <w:top w:val="nil"/>
              <w:left w:val="nil"/>
              <w:bottom w:val="single" w:sz="4" w:space="0" w:color="auto"/>
              <w:right w:val="single" w:sz="4" w:space="0" w:color="auto"/>
            </w:tcBorders>
            <w:noWrap/>
            <w:hideMark/>
          </w:tcPr>
          <w:p w14:paraId="0F580411"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Catch</w:t>
            </w:r>
          </w:p>
        </w:tc>
        <w:tc>
          <w:tcPr>
            <w:tcW w:w="1585" w:type="dxa"/>
            <w:tcBorders>
              <w:top w:val="nil"/>
              <w:left w:val="nil"/>
              <w:bottom w:val="single" w:sz="4" w:space="0" w:color="auto"/>
              <w:right w:val="single" w:sz="4" w:space="0" w:color="auto"/>
            </w:tcBorders>
            <w:hideMark/>
          </w:tcPr>
          <w:p w14:paraId="3EA0CB54"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Best available information</w:t>
            </w:r>
          </w:p>
        </w:tc>
        <w:tc>
          <w:tcPr>
            <w:tcW w:w="2151" w:type="dxa"/>
            <w:tcBorders>
              <w:top w:val="nil"/>
              <w:left w:val="nil"/>
              <w:bottom w:val="single" w:sz="4" w:space="0" w:color="auto"/>
              <w:right w:val="single" w:sz="4" w:space="0" w:color="auto"/>
            </w:tcBorders>
            <w:hideMark/>
          </w:tcPr>
          <w:p w14:paraId="39A53679"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 xml:space="preserve">Some evidence of </w:t>
            </w:r>
            <w:proofErr w:type="gramStart"/>
            <w:r w:rsidRPr="009A4F45">
              <w:rPr>
                <w:rFonts w:asciiTheme="minorHAnsi" w:eastAsiaTheme="minorEastAsia" w:hAnsiTheme="minorHAnsi" w:cstheme="minorHAnsi"/>
                <w:sz w:val="20"/>
                <w:szCs w:val="20"/>
                <w:lang w:eastAsia="ko-KR"/>
              </w:rPr>
              <w:t>mis-identification</w:t>
            </w:r>
            <w:proofErr w:type="gramEnd"/>
            <w:r w:rsidRPr="009A4F45">
              <w:rPr>
                <w:rFonts w:asciiTheme="minorHAnsi" w:eastAsiaTheme="minorEastAsia" w:hAnsiTheme="minorHAnsi" w:cstheme="minorHAnsi"/>
                <w:sz w:val="20"/>
                <w:szCs w:val="20"/>
                <w:lang w:eastAsia="ko-KR"/>
              </w:rPr>
              <w:t>, potentially underestimated discards, and unreported catch from the TWN LTLL early fleet landed in foreign ports</w:t>
            </w:r>
          </w:p>
        </w:tc>
        <w:tc>
          <w:tcPr>
            <w:tcW w:w="2094" w:type="dxa"/>
            <w:tcBorders>
              <w:top w:val="nil"/>
              <w:left w:val="nil"/>
              <w:bottom w:val="single" w:sz="4" w:space="0" w:color="auto"/>
              <w:right w:val="single" w:sz="4" w:space="0" w:color="auto"/>
            </w:tcBorders>
            <w:hideMark/>
          </w:tcPr>
          <w:p w14:paraId="12279B73"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proofErr w:type="gramStart"/>
            <w:r w:rsidRPr="009A4F45">
              <w:rPr>
                <w:rFonts w:asciiTheme="minorHAnsi" w:eastAsiaTheme="minorEastAsia" w:hAnsiTheme="minorHAnsi" w:cstheme="minorHAnsi"/>
                <w:sz w:val="20"/>
                <w:szCs w:val="20"/>
                <w:lang w:eastAsia="ko-KR"/>
              </w:rPr>
              <w:t>Mis-identification</w:t>
            </w:r>
            <w:proofErr w:type="gramEnd"/>
            <w:r w:rsidRPr="009A4F45">
              <w:rPr>
                <w:rFonts w:asciiTheme="minorHAnsi" w:eastAsiaTheme="minorEastAsia" w:hAnsiTheme="minorHAnsi" w:cstheme="minorHAnsi"/>
                <w:sz w:val="20"/>
                <w:szCs w:val="20"/>
                <w:lang w:eastAsia="ko-KR"/>
              </w:rPr>
              <w:t xml:space="preserve"> of MLS for BUM results in overestimated catch, discards and unreported catch results in underestimated catch.</w:t>
            </w:r>
          </w:p>
        </w:tc>
        <w:tc>
          <w:tcPr>
            <w:tcW w:w="1148" w:type="dxa"/>
            <w:tcBorders>
              <w:top w:val="nil"/>
              <w:left w:val="nil"/>
              <w:bottom w:val="single" w:sz="4" w:space="0" w:color="auto"/>
              <w:right w:val="single" w:sz="4" w:space="0" w:color="auto"/>
            </w:tcBorders>
            <w:noWrap/>
            <w:hideMark/>
          </w:tcPr>
          <w:p w14:paraId="148335F0"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Medium</w:t>
            </w:r>
          </w:p>
        </w:tc>
      </w:tr>
      <w:tr w:rsidR="00162408" w:rsidRPr="009A4F45" w14:paraId="046D1FC0" w14:textId="77777777" w:rsidTr="009A4F45">
        <w:tc>
          <w:tcPr>
            <w:tcW w:w="1287" w:type="dxa"/>
            <w:vMerge/>
            <w:tcBorders>
              <w:top w:val="nil"/>
              <w:left w:val="single" w:sz="4" w:space="0" w:color="auto"/>
              <w:bottom w:val="single" w:sz="4" w:space="0" w:color="auto"/>
              <w:right w:val="single" w:sz="4" w:space="0" w:color="auto"/>
            </w:tcBorders>
            <w:hideMark/>
          </w:tcPr>
          <w:p w14:paraId="3CCD810C"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32DC745D"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Initial Conditions</w:t>
            </w:r>
          </w:p>
        </w:tc>
        <w:tc>
          <w:tcPr>
            <w:tcW w:w="1585" w:type="dxa"/>
            <w:tcBorders>
              <w:top w:val="nil"/>
              <w:left w:val="nil"/>
              <w:bottom w:val="single" w:sz="4" w:space="0" w:color="auto"/>
              <w:right w:val="single" w:sz="4" w:space="0" w:color="auto"/>
            </w:tcBorders>
            <w:hideMark/>
          </w:tcPr>
          <w:p w14:paraId="4E68E6CE"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Estimated from early catch</w:t>
            </w:r>
          </w:p>
        </w:tc>
        <w:tc>
          <w:tcPr>
            <w:tcW w:w="2151" w:type="dxa"/>
            <w:tcBorders>
              <w:top w:val="nil"/>
              <w:left w:val="nil"/>
              <w:bottom w:val="single" w:sz="4" w:space="0" w:color="auto"/>
              <w:right w:val="single" w:sz="4" w:space="0" w:color="auto"/>
            </w:tcBorders>
            <w:hideMark/>
          </w:tcPr>
          <w:p w14:paraId="296B5091"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Pre-1970 catch is highly uncertain but potentially substantial</w:t>
            </w:r>
          </w:p>
        </w:tc>
        <w:tc>
          <w:tcPr>
            <w:tcW w:w="2094" w:type="dxa"/>
            <w:tcBorders>
              <w:top w:val="nil"/>
              <w:left w:val="nil"/>
              <w:bottom w:val="single" w:sz="4" w:space="0" w:color="auto"/>
              <w:right w:val="single" w:sz="4" w:space="0" w:color="auto"/>
            </w:tcBorders>
            <w:hideMark/>
          </w:tcPr>
          <w:p w14:paraId="14FE9B7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Initial population size estimates are closely linked to assumptions about initial conditions</w:t>
            </w:r>
          </w:p>
        </w:tc>
        <w:tc>
          <w:tcPr>
            <w:tcW w:w="1148" w:type="dxa"/>
            <w:tcBorders>
              <w:top w:val="nil"/>
              <w:left w:val="nil"/>
              <w:bottom w:val="single" w:sz="4" w:space="0" w:color="auto"/>
              <w:right w:val="single" w:sz="4" w:space="0" w:color="auto"/>
            </w:tcBorders>
            <w:noWrap/>
            <w:hideMark/>
          </w:tcPr>
          <w:p w14:paraId="069E5D47"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Medium</w:t>
            </w:r>
          </w:p>
        </w:tc>
      </w:tr>
      <w:tr w:rsidR="00162408" w:rsidRPr="009A4F45" w14:paraId="05EB639C" w14:textId="77777777" w:rsidTr="009A4F45">
        <w:tc>
          <w:tcPr>
            <w:tcW w:w="1287" w:type="dxa"/>
            <w:vMerge/>
            <w:tcBorders>
              <w:top w:val="nil"/>
              <w:left w:val="single" w:sz="4" w:space="0" w:color="auto"/>
              <w:bottom w:val="single" w:sz="4" w:space="0" w:color="auto"/>
              <w:right w:val="single" w:sz="4" w:space="0" w:color="auto"/>
            </w:tcBorders>
            <w:hideMark/>
          </w:tcPr>
          <w:p w14:paraId="6967A9A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48E3EED1"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CPUE</w:t>
            </w:r>
          </w:p>
        </w:tc>
        <w:tc>
          <w:tcPr>
            <w:tcW w:w="1585" w:type="dxa"/>
            <w:tcBorders>
              <w:top w:val="nil"/>
              <w:left w:val="nil"/>
              <w:bottom w:val="single" w:sz="4" w:space="0" w:color="auto"/>
              <w:right w:val="single" w:sz="4" w:space="0" w:color="auto"/>
            </w:tcBorders>
            <w:hideMark/>
          </w:tcPr>
          <w:p w14:paraId="6B4D9387"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Best available information</w:t>
            </w:r>
          </w:p>
        </w:tc>
        <w:tc>
          <w:tcPr>
            <w:tcW w:w="2151" w:type="dxa"/>
            <w:tcBorders>
              <w:top w:val="nil"/>
              <w:left w:val="nil"/>
              <w:bottom w:val="single" w:sz="4" w:space="0" w:color="auto"/>
              <w:right w:val="single" w:sz="4" w:space="0" w:color="auto"/>
            </w:tcBorders>
            <w:hideMark/>
          </w:tcPr>
          <w:p w14:paraId="1A218673"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Reduction of effort of longline fleets in the eastern Pacific Ocean</w:t>
            </w:r>
          </w:p>
        </w:tc>
        <w:tc>
          <w:tcPr>
            <w:tcW w:w="2094" w:type="dxa"/>
            <w:tcBorders>
              <w:top w:val="nil"/>
              <w:left w:val="nil"/>
              <w:bottom w:val="single" w:sz="4" w:space="0" w:color="auto"/>
              <w:right w:val="single" w:sz="4" w:space="0" w:color="auto"/>
            </w:tcBorders>
            <w:hideMark/>
          </w:tcPr>
          <w:p w14:paraId="132FAC8B"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CPUE trends attributed to abundance not operational covariates</w:t>
            </w:r>
          </w:p>
        </w:tc>
        <w:tc>
          <w:tcPr>
            <w:tcW w:w="1148" w:type="dxa"/>
            <w:tcBorders>
              <w:top w:val="nil"/>
              <w:left w:val="nil"/>
              <w:bottom w:val="single" w:sz="4" w:space="0" w:color="auto"/>
              <w:right w:val="single" w:sz="4" w:space="0" w:color="auto"/>
            </w:tcBorders>
            <w:noWrap/>
            <w:hideMark/>
          </w:tcPr>
          <w:p w14:paraId="26FAFDE8"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Medium</w:t>
            </w:r>
          </w:p>
        </w:tc>
      </w:tr>
      <w:tr w:rsidR="00162408" w:rsidRPr="009A4F45" w14:paraId="106EA67A" w14:textId="77777777" w:rsidTr="009A4F45">
        <w:tc>
          <w:tcPr>
            <w:tcW w:w="1287" w:type="dxa"/>
            <w:vMerge/>
            <w:tcBorders>
              <w:top w:val="nil"/>
              <w:left w:val="single" w:sz="4" w:space="0" w:color="auto"/>
              <w:bottom w:val="single" w:sz="4" w:space="0" w:color="auto"/>
              <w:right w:val="single" w:sz="4" w:space="0" w:color="auto"/>
            </w:tcBorders>
            <w:hideMark/>
          </w:tcPr>
          <w:p w14:paraId="3258FF3C"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1B44770B"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Size data</w:t>
            </w:r>
          </w:p>
        </w:tc>
        <w:tc>
          <w:tcPr>
            <w:tcW w:w="1585" w:type="dxa"/>
            <w:tcBorders>
              <w:top w:val="nil"/>
              <w:left w:val="nil"/>
              <w:bottom w:val="single" w:sz="4" w:space="0" w:color="auto"/>
              <w:right w:val="single" w:sz="4" w:space="0" w:color="auto"/>
            </w:tcBorders>
            <w:hideMark/>
          </w:tcPr>
          <w:p w14:paraId="2C979719"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Sex-specific data unavailable for most fleets</w:t>
            </w:r>
          </w:p>
        </w:tc>
        <w:tc>
          <w:tcPr>
            <w:tcW w:w="2151" w:type="dxa"/>
            <w:tcBorders>
              <w:top w:val="nil"/>
              <w:left w:val="nil"/>
              <w:bottom w:val="single" w:sz="4" w:space="0" w:color="auto"/>
              <w:right w:val="single" w:sz="4" w:space="0" w:color="auto"/>
            </w:tcBorders>
            <w:hideMark/>
          </w:tcPr>
          <w:p w14:paraId="4E8C531A"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Substantial sexual dimorphism and assumed spatial segregation by size and sex</w:t>
            </w:r>
          </w:p>
        </w:tc>
        <w:tc>
          <w:tcPr>
            <w:tcW w:w="2094" w:type="dxa"/>
            <w:tcBorders>
              <w:top w:val="nil"/>
              <w:left w:val="nil"/>
              <w:bottom w:val="single" w:sz="4" w:space="0" w:color="auto"/>
              <w:right w:val="single" w:sz="4" w:space="0" w:color="auto"/>
            </w:tcBorders>
            <w:hideMark/>
          </w:tcPr>
          <w:p w14:paraId="785CEF0C"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Large female BUM not correctly accounted for in the model</w:t>
            </w:r>
          </w:p>
        </w:tc>
        <w:tc>
          <w:tcPr>
            <w:tcW w:w="1148" w:type="dxa"/>
            <w:tcBorders>
              <w:top w:val="nil"/>
              <w:left w:val="nil"/>
              <w:bottom w:val="single" w:sz="4" w:space="0" w:color="auto"/>
              <w:right w:val="single" w:sz="4" w:space="0" w:color="auto"/>
            </w:tcBorders>
            <w:noWrap/>
            <w:hideMark/>
          </w:tcPr>
          <w:p w14:paraId="204BA110"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Low</w:t>
            </w:r>
          </w:p>
        </w:tc>
      </w:tr>
      <w:tr w:rsidR="00162408" w:rsidRPr="009A4F45" w14:paraId="6310611D" w14:textId="77777777" w:rsidTr="009A4F45">
        <w:tc>
          <w:tcPr>
            <w:tcW w:w="1287" w:type="dxa"/>
            <w:tcBorders>
              <w:top w:val="nil"/>
              <w:left w:val="single" w:sz="4" w:space="0" w:color="auto"/>
              <w:bottom w:val="single" w:sz="4" w:space="0" w:color="auto"/>
              <w:right w:val="single" w:sz="4" w:space="0" w:color="auto"/>
            </w:tcBorders>
            <w:noWrap/>
            <w:hideMark/>
          </w:tcPr>
          <w:p w14:paraId="7FF54A9E"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Spatial Assumptions</w:t>
            </w:r>
          </w:p>
        </w:tc>
        <w:tc>
          <w:tcPr>
            <w:tcW w:w="1085" w:type="dxa"/>
            <w:tcBorders>
              <w:top w:val="nil"/>
              <w:left w:val="nil"/>
              <w:bottom w:val="single" w:sz="4" w:space="0" w:color="auto"/>
              <w:right w:val="single" w:sz="4" w:space="0" w:color="auto"/>
            </w:tcBorders>
            <w:noWrap/>
            <w:hideMark/>
          </w:tcPr>
          <w:p w14:paraId="003C875D"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1 region model</w:t>
            </w:r>
          </w:p>
        </w:tc>
        <w:tc>
          <w:tcPr>
            <w:tcW w:w="1585" w:type="dxa"/>
            <w:tcBorders>
              <w:top w:val="nil"/>
              <w:left w:val="nil"/>
              <w:bottom w:val="single" w:sz="4" w:space="0" w:color="auto"/>
              <w:right w:val="single" w:sz="4" w:space="0" w:color="auto"/>
            </w:tcBorders>
            <w:hideMark/>
          </w:tcPr>
          <w:p w14:paraId="2D21A6EB" w14:textId="34F27C2D" w:rsidR="00162408" w:rsidRPr="009A4F45" w:rsidRDefault="00D60D99"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Pr>
                <w:rFonts w:asciiTheme="minorHAnsi" w:eastAsiaTheme="minorEastAsia" w:hAnsiTheme="minorHAnsi" w:cstheme="minorHAnsi"/>
                <w:sz w:val="20"/>
                <w:szCs w:val="20"/>
                <w:lang w:eastAsia="ko-KR"/>
              </w:rPr>
              <w:t>2-region</w:t>
            </w:r>
            <w:r w:rsidR="00162408" w:rsidRPr="009A4F45">
              <w:rPr>
                <w:rFonts w:asciiTheme="minorHAnsi" w:eastAsiaTheme="minorEastAsia" w:hAnsiTheme="minorHAnsi" w:cstheme="minorHAnsi"/>
                <w:sz w:val="20"/>
                <w:szCs w:val="20"/>
                <w:lang w:eastAsia="ko-KR"/>
              </w:rPr>
              <w:t xml:space="preserve"> model resulted in data conflict</w:t>
            </w:r>
          </w:p>
        </w:tc>
        <w:tc>
          <w:tcPr>
            <w:tcW w:w="2151" w:type="dxa"/>
            <w:tcBorders>
              <w:top w:val="nil"/>
              <w:left w:val="nil"/>
              <w:bottom w:val="single" w:sz="4" w:space="0" w:color="auto"/>
              <w:right w:val="single" w:sz="4" w:space="0" w:color="auto"/>
            </w:tcBorders>
            <w:hideMark/>
          </w:tcPr>
          <w:p w14:paraId="7F0D5EAF"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Evidence of size-based spatial structure</w:t>
            </w:r>
          </w:p>
        </w:tc>
        <w:tc>
          <w:tcPr>
            <w:tcW w:w="2094" w:type="dxa"/>
            <w:tcBorders>
              <w:top w:val="nil"/>
              <w:left w:val="nil"/>
              <w:bottom w:val="single" w:sz="4" w:space="0" w:color="auto"/>
              <w:right w:val="single" w:sz="4" w:space="0" w:color="auto"/>
            </w:tcBorders>
            <w:hideMark/>
          </w:tcPr>
          <w:p w14:paraId="3EF65B95"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 xml:space="preserve">Adult and Juvenile abundance trends may be masked by a single region model </w:t>
            </w:r>
          </w:p>
        </w:tc>
        <w:tc>
          <w:tcPr>
            <w:tcW w:w="1148" w:type="dxa"/>
            <w:tcBorders>
              <w:top w:val="nil"/>
              <w:left w:val="nil"/>
              <w:bottom w:val="single" w:sz="4" w:space="0" w:color="auto"/>
              <w:right w:val="single" w:sz="4" w:space="0" w:color="auto"/>
            </w:tcBorders>
            <w:noWrap/>
            <w:hideMark/>
          </w:tcPr>
          <w:p w14:paraId="0C242E49"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Medium</w:t>
            </w:r>
          </w:p>
        </w:tc>
      </w:tr>
      <w:tr w:rsidR="00162408" w:rsidRPr="009A4F45" w14:paraId="3C62CC97" w14:textId="77777777" w:rsidTr="009A4F45">
        <w:tc>
          <w:tcPr>
            <w:tcW w:w="1287" w:type="dxa"/>
            <w:vMerge w:val="restart"/>
            <w:tcBorders>
              <w:top w:val="nil"/>
              <w:left w:val="single" w:sz="4" w:space="0" w:color="auto"/>
              <w:right w:val="single" w:sz="4" w:space="0" w:color="auto"/>
            </w:tcBorders>
            <w:noWrap/>
            <w:hideMark/>
          </w:tcPr>
          <w:p w14:paraId="066A7107"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Key Parameters</w:t>
            </w:r>
          </w:p>
          <w:p w14:paraId="3C7EC4B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664CF8D7"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Growth</w:t>
            </w:r>
          </w:p>
        </w:tc>
        <w:tc>
          <w:tcPr>
            <w:tcW w:w="1585" w:type="dxa"/>
            <w:tcBorders>
              <w:top w:val="nil"/>
              <w:left w:val="nil"/>
              <w:bottom w:val="single" w:sz="4" w:space="0" w:color="auto"/>
              <w:right w:val="single" w:sz="4" w:space="0" w:color="auto"/>
            </w:tcBorders>
            <w:hideMark/>
          </w:tcPr>
          <w:p w14:paraId="31F34CF0"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Fixed from literature</w:t>
            </w:r>
          </w:p>
        </w:tc>
        <w:tc>
          <w:tcPr>
            <w:tcW w:w="2151" w:type="dxa"/>
            <w:tcBorders>
              <w:top w:val="nil"/>
              <w:left w:val="nil"/>
              <w:bottom w:val="single" w:sz="4" w:space="0" w:color="auto"/>
              <w:right w:val="single" w:sz="4" w:space="0" w:color="auto"/>
            </w:tcBorders>
            <w:hideMark/>
          </w:tcPr>
          <w:p w14:paraId="5DDB5E30"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Data from IBBS program, but not estimated in the model</w:t>
            </w:r>
          </w:p>
        </w:tc>
        <w:tc>
          <w:tcPr>
            <w:tcW w:w="2094" w:type="dxa"/>
            <w:tcBorders>
              <w:top w:val="nil"/>
              <w:left w:val="nil"/>
              <w:bottom w:val="single" w:sz="4" w:space="0" w:color="auto"/>
              <w:right w:val="single" w:sz="4" w:space="0" w:color="auto"/>
            </w:tcBorders>
            <w:hideMark/>
          </w:tcPr>
          <w:p w14:paraId="43B950D2"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 xml:space="preserve">Accounting for selectivity from the fisheries the data </w:t>
            </w:r>
            <w:proofErr w:type="gramStart"/>
            <w:r w:rsidRPr="009A4F45">
              <w:rPr>
                <w:rFonts w:asciiTheme="minorHAnsi" w:eastAsiaTheme="minorEastAsia" w:hAnsiTheme="minorHAnsi" w:cstheme="minorHAnsi"/>
                <w:sz w:val="20"/>
                <w:szCs w:val="20"/>
                <w:lang w:eastAsia="ko-KR"/>
              </w:rPr>
              <w:t>are derived</w:t>
            </w:r>
            <w:proofErr w:type="gramEnd"/>
            <w:r w:rsidRPr="009A4F45">
              <w:rPr>
                <w:rFonts w:asciiTheme="minorHAnsi" w:eastAsiaTheme="minorEastAsia" w:hAnsiTheme="minorHAnsi" w:cstheme="minorHAnsi"/>
                <w:sz w:val="20"/>
                <w:szCs w:val="20"/>
                <w:lang w:eastAsia="ko-KR"/>
              </w:rPr>
              <w:t xml:space="preserve"> from may better represent BUM growth</w:t>
            </w:r>
          </w:p>
        </w:tc>
        <w:tc>
          <w:tcPr>
            <w:tcW w:w="1148" w:type="dxa"/>
            <w:tcBorders>
              <w:top w:val="nil"/>
              <w:left w:val="nil"/>
              <w:bottom w:val="single" w:sz="4" w:space="0" w:color="auto"/>
              <w:right w:val="single" w:sz="4" w:space="0" w:color="auto"/>
            </w:tcBorders>
            <w:noWrap/>
            <w:hideMark/>
          </w:tcPr>
          <w:p w14:paraId="375E6C05"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High</w:t>
            </w:r>
          </w:p>
        </w:tc>
      </w:tr>
      <w:tr w:rsidR="00162408" w:rsidRPr="009A4F45" w14:paraId="0F91D07F" w14:textId="77777777" w:rsidTr="009A4F45">
        <w:tc>
          <w:tcPr>
            <w:tcW w:w="1287" w:type="dxa"/>
            <w:vMerge/>
            <w:tcBorders>
              <w:left w:val="single" w:sz="4" w:space="0" w:color="auto"/>
              <w:right w:val="single" w:sz="4" w:space="0" w:color="auto"/>
            </w:tcBorders>
            <w:hideMark/>
          </w:tcPr>
          <w:p w14:paraId="354F8F5A"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483B4902"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Maturity</w:t>
            </w:r>
          </w:p>
        </w:tc>
        <w:tc>
          <w:tcPr>
            <w:tcW w:w="1585" w:type="dxa"/>
            <w:tcBorders>
              <w:top w:val="nil"/>
              <w:left w:val="nil"/>
              <w:bottom w:val="single" w:sz="4" w:space="0" w:color="auto"/>
              <w:right w:val="single" w:sz="4" w:space="0" w:color="auto"/>
            </w:tcBorders>
            <w:hideMark/>
          </w:tcPr>
          <w:p w14:paraId="256CBF59"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Fixed from literature</w:t>
            </w:r>
          </w:p>
        </w:tc>
        <w:tc>
          <w:tcPr>
            <w:tcW w:w="2151" w:type="dxa"/>
            <w:tcBorders>
              <w:top w:val="nil"/>
              <w:left w:val="nil"/>
              <w:bottom w:val="single" w:sz="4" w:space="0" w:color="auto"/>
              <w:right w:val="single" w:sz="4" w:space="0" w:color="auto"/>
            </w:tcBorders>
            <w:hideMark/>
          </w:tcPr>
          <w:p w14:paraId="57F5893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Updated maturity ogive not available yet</w:t>
            </w:r>
          </w:p>
        </w:tc>
        <w:tc>
          <w:tcPr>
            <w:tcW w:w="2094" w:type="dxa"/>
            <w:tcBorders>
              <w:top w:val="nil"/>
              <w:left w:val="nil"/>
              <w:bottom w:val="single" w:sz="4" w:space="0" w:color="auto"/>
              <w:right w:val="single" w:sz="4" w:space="0" w:color="auto"/>
            </w:tcBorders>
            <w:hideMark/>
          </w:tcPr>
          <w:p w14:paraId="019D81DC"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 xml:space="preserve">Affects estimates of SSB </w:t>
            </w:r>
          </w:p>
        </w:tc>
        <w:tc>
          <w:tcPr>
            <w:tcW w:w="1148" w:type="dxa"/>
            <w:tcBorders>
              <w:top w:val="nil"/>
              <w:left w:val="nil"/>
              <w:bottom w:val="single" w:sz="4" w:space="0" w:color="auto"/>
              <w:right w:val="single" w:sz="4" w:space="0" w:color="auto"/>
            </w:tcBorders>
            <w:noWrap/>
            <w:hideMark/>
          </w:tcPr>
          <w:p w14:paraId="128B92F7"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High</w:t>
            </w:r>
          </w:p>
        </w:tc>
      </w:tr>
      <w:tr w:rsidR="00162408" w:rsidRPr="009A4F45" w14:paraId="420A3B5A" w14:textId="77777777" w:rsidTr="009A4F45">
        <w:tc>
          <w:tcPr>
            <w:tcW w:w="1287" w:type="dxa"/>
            <w:vMerge/>
            <w:tcBorders>
              <w:left w:val="single" w:sz="4" w:space="0" w:color="auto"/>
              <w:right w:val="single" w:sz="4" w:space="0" w:color="auto"/>
            </w:tcBorders>
            <w:hideMark/>
          </w:tcPr>
          <w:p w14:paraId="67F8510B"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3C49FE55"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Natural Mortality</w:t>
            </w:r>
          </w:p>
        </w:tc>
        <w:tc>
          <w:tcPr>
            <w:tcW w:w="1585" w:type="dxa"/>
            <w:tcBorders>
              <w:top w:val="nil"/>
              <w:left w:val="nil"/>
              <w:bottom w:val="single" w:sz="4" w:space="0" w:color="auto"/>
              <w:right w:val="single" w:sz="4" w:space="0" w:color="auto"/>
            </w:tcBorders>
            <w:hideMark/>
          </w:tcPr>
          <w:p w14:paraId="7DAED140"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Lorenzen M</w:t>
            </w:r>
          </w:p>
        </w:tc>
        <w:tc>
          <w:tcPr>
            <w:tcW w:w="2151" w:type="dxa"/>
            <w:tcBorders>
              <w:top w:val="nil"/>
              <w:left w:val="nil"/>
              <w:bottom w:val="single" w:sz="4" w:space="0" w:color="auto"/>
              <w:right w:val="single" w:sz="4" w:space="0" w:color="auto"/>
            </w:tcBorders>
            <w:hideMark/>
          </w:tcPr>
          <w:p w14:paraId="369E844E"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Estimated from longevity, age- and sex- specific according to growth.</w:t>
            </w:r>
          </w:p>
        </w:tc>
        <w:tc>
          <w:tcPr>
            <w:tcW w:w="2094" w:type="dxa"/>
            <w:tcBorders>
              <w:top w:val="nil"/>
              <w:left w:val="nil"/>
              <w:bottom w:val="single" w:sz="4" w:space="0" w:color="auto"/>
              <w:right w:val="single" w:sz="4" w:space="0" w:color="auto"/>
            </w:tcBorders>
            <w:hideMark/>
          </w:tcPr>
          <w:p w14:paraId="7A466825"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Affects productivity</w:t>
            </w:r>
          </w:p>
        </w:tc>
        <w:tc>
          <w:tcPr>
            <w:tcW w:w="1148" w:type="dxa"/>
            <w:tcBorders>
              <w:top w:val="nil"/>
              <w:left w:val="nil"/>
              <w:bottom w:val="single" w:sz="4" w:space="0" w:color="auto"/>
              <w:right w:val="single" w:sz="4" w:space="0" w:color="auto"/>
            </w:tcBorders>
            <w:noWrap/>
            <w:hideMark/>
          </w:tcPr>
          <w:p w14:paraId="7A163C0A"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High</w:t>
            </w:r>
          </w:p>
        </w:tc>
      </w:tr>
      <w:tr w:rsidR="00162408" w:rsidRPr="009A4F45" w14:paraId="1CCE74E8" w14:textId="77777777" w:rsidTr="009A4F45">
        <w:tc>
          <w:tcPr>
            <w:tcW w:w="1287" w:type="dxa"/>
            <w:vMerge/>
            <w:tcBorders>
              <w:left w:val="single" w:sz="4" w:space="0" w:color="auto"/>
              <w:bottom w:val="single" w:sz="4" w:space="0" w:color="auto"/>
              <w:right w:val="single" w:sz="4" w:space="0" w:color="auto"/>
            </w:tcBorders>
            <w:noWrap/>
            <w:hideMark/>
          </w:tcPr>
          <w:p w14:paraId="1D93BEF1"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p>
        </w:tc>
        <w:tc>
          <w:tcPr>
            <w:tcW w:w="1085" w:type="dxa"/>
            <w:tcBorders>
              <w:top w:val="nil"/>
              <w:left w:val="nil"/>
              <w:bottom w:val="single" w:sz="4" w:space="0" w:color="auto"/>
              <w:right w:val="single" w:sz="4" w:space="0" w:color="auto"/>
            </w:tcBorders>
            <w:noWrap/>
            <w:hideMark/>
          </w:tcPr>
          <w:p w14:paraId="4810F5D2"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Length-weight</w:t>
            </w:r>
          </w:p>
        </w:tc>
        <w:tc>
          <w:tcPr>
            <w:tcW w:w="1585" w:type="dxa"/>
            <w:tcBorders>
              <w:top w:val="nil"/>
              <w:left w:val="nil"/>
              <w:bottom w:val="single" w:sz="4" w:space="0" w:color="auto"/>
              <w:right w:val="single" w:sz="4" w:space="0" w:color="auto"/>
            </w:tcBorders>
            <w:hideMark/>
          </w:tcPr>
          <w:p w14:paraId="4DB36410"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Estimated from meta-analysis</w:t>
            </w:r>
          </w:p>
        </w:tc>
        <w:tc>
          <w:tcPr>
            <w:tcW w:w="2151" w:type="dxa"/>
            <w:tcBorders>
              <w:top w:val="nil"/>
              <w:left w:val="nil"/>
              <w:bottom w:val="single" w:sz="4" w:space="0" w:color="auto"/>
              <w:right w:val="single" w:sz="4" w:space="0" w:color="auto"/>
            </w:tcBorders>
            <w:hideMark/>
          </w:tcPr>
          <w:p w14:paraId="76128D6E"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Estimated from meta-analysis, may not be representative of the fisheries evaluated</w:t>
            </w:r>
          </w:p>
        </w:tc>
        <w:tc>
          <w:tcPr>
            <w:tcW w:w="2094" w:type="dxa"/>
            <w:tcBorders>
              <w:top w:val="nil"/>
              <w:left w:val="nil"/>
              <w:bottom w:val="single" w:sz="4" w:space="0" w:color="auto"/>
              <w:right w:val="single" w:sz="4" w:space="0" w:color="auto"/>
            </w:tcBorders>
            <w:hideMark/>
          </w:tcPr>
          <w:p w14:paraId="40C8AA13"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Conversion of length data to weight data may be biased</w:t>
            </w:r>
          </w:p>
        </w:tc>
        <w:tc>
          <w:tcPr>
            <w:tcW w:w="1148" w:type="dxa"/>
            <w:tcBorders>
              <w:top w:val="nil"/>
              <w:left w:val="nil"/>
              <w:bottom w:val="single" w:sz="4" w:space="0" w:color="auto"/>
              <w:right w:val="single" w:sz="4" w:space="0" w:color="auto"/>
            </w:tcBorders>
            <w:noWrap/>
            <w:hideMark/>
          </w:tcPr>
          <w:p w14:paraId="6D31712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Medium</w:t>
            </w:r>
          </w:p>
        </w:tc>
      </w:tr>
      <w:tr w:rsidR="00162408" w:rsidRPr="009A4F45" w14:paraId="5171E9EE" w14:textId="77777777" w:rsidTr="009A4F45">
        <w:tc>
          <w:tcPr>
            <w:tcW w:w="1287" w:type="dxa"/>
            <w:tcBorders>
              <w:top w:val="nil"/>
              <w:left w:val="single" w:sz="4" w:space="0" w:color="auto"/>
              <w:bottom w:val="single" w:sz="4" w:space="0" w:color="auto"/>
              <w:right w:val="single" w:sz="4" w:space="0" w:color="auto"/>
            </w:tcBorders>
            <w:noWrap/>
            <w:hideMark/>
          </w:tcPr>
          <w:p w14:paraId="3767A174"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b/>
                <w:bCs/>
                <w:sz w:val="20"/>
                <w:szCs w:val="20"/>
                <w:lang w:eastAsia="ko-KR"/>
              </w:rPr>
            </w:pPr>
            <w:r w:rsidRPr="009A4F45">
              <w:rPr>
                <w:rFonts w:asciiTheme="minorHAnsi" w:eastAsiaTheme="minorEastAsia" w:hAnsiTheme="minorHAnsi" w:cstheme="minorHAnsi"/>
                <w:b/>
                <w:bCs/>
                <w:sz w:val="20"/>
                <w:szCs w:val="20"/>
                <w:lang w:eastAsia="ko-KR"/>
              </w:rPr>
              <w:t>Other Sources of Uncertainty</w:t>
            </w:r>
          </w:p>
        </w:tc>
        <w:tc>
          <w:tcPr>
            <w:tcW w:w="1085" w:type="dxa"/>
            <w:tcBorders>
              <w:top w:val="nil"/>
              <w:left w:val="nil"/>
              <w:bottom w:val="single" w:sz="4" w:space="0" w:color="auto"/>
              <w:right w:val="single" w:sz="4" w:space="0" w:color="auto"/>
            </w:tcBorders>
            <w:noWrap/>
            <w:hideMark/>
          </w:tcPr>
          <w:p w14:paraId="1DA9A952" w14:textId="77777777" w:rsidR="00162408" w:rsidRPr="009A4F45" w:rsidRDefault="00162408" w:rsidP="00162408">
            <w:pPr>
              <w:widowControl w:val="0"/>
              <w:kinsoku w:val="0"/>
              <w:overflowPunct w:val="0"/>
              <w:autoSpaceDE w:val="0"/>
              <w:autoSpaceDN w:val="0"/>
              <w:adjustRightInd w:val="0"/>
              <w:snapToGrid w:val="0"/>
              <w:ind w:right="-44"/>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Climate impacts</w:t>
            </w:r>
          </w:p>
        </w:tc>
        <w:tc>
          <w:tcPr>
            <w:tcW w:w="1585" w:type="dxa"/>
            <w:tcBorders>
              <w:top w:val="nil"/>
              <w:left w:val="nil"/>
              <w:bottom w:val="single" w:sz="4" w:space="0" w:color="auto"/>
              <w:right w:val="single" w:sz="4" w:space="0" w:color="auto"/>
            </w:tcBorders>
            <w:hideMark/>
          </w:tcPr>
          <w:p w14:paraId="10D181E3" w14:textId="77777777" w:rsidR="00162408" w:rsidRPr="009A4F45" w:rsidRDefault="00162408" w:rsidP="00162408">
            <w:pPr>
              <w:widowControl w:val="0"/>
              <w:kinsoku w:val="0"/>
              <w:overflowPunct w:val="0"/>
              <w:autoSpaceDE w:val="0"/>
              <w:autoSpaceDN w:val="0"/>
              <w:adjustRightInd w:val="0"/>
              <w:snapToGrid w:val="0"/>
              <w:ind w:left="1" w:right="-49"/>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Spatial distribution and reproductive success may be impacted by increasing water temperatures</w:t>
            </w:r>
          </w:p>
        </w:tc>
        <w:tc>
          <w:tcPr>
            <w:tcW w:w="2151" w:type="dxa"/>
            <w:tcBorders>
              <w:top w:val="nil"/>
              <w:left w:val="nil"/>
              <w:bottom w:val="single" w:sz="4" w:space="0" w:color="auto"/>
              <w:right w:val="single" w:sz="4" w:space="0" w:color="auto"/>
            </w:tcBorders>
            <w:hideMark/>
          </w:tcPr>
          <w:p w14:paraId="5070A5CC"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Not Considered</w:t>
            </w:r>
          </w:p>
        </w:tc>
        <w:tc>
          <w:tcPr>
            <w:tcW w:w="2094" w:type="dxa"/>
            <w:tcBorders>
              <w:top w:val="nil"/>
              <w:left w:val="nil"/>
              <w:bottom w:val="single" w:sz="4" w:space="0" w:color="auto"/>
              <w:right w:val="single" w:sz="4" w:space="0" w:color="auto"/>
            </w:tcBorders>
            <w:hideMark/>
          </w:tcPr>
          <w:p w14:paraId="0C957621"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Long-term impacts unknown</w:t>
            </w:r>
          </w:p>
        </w:tc>
        <w:tc>
          <w:tcPr>
            <w:tcW w:w="1148" w:type="dxa"/>
            <w:tcBorders>
              <w:top w:val="nil"/>
              <w:left w:val="nil"/>
              <w:bottom w:val="single" w:sz="4" w:space="0" w:color="auto"/>
              <w:right w:val="single" w:sz="4" w:space="0" w:color="auto"/>
            </w:tcBorders>
            <w:noWrap/>
            <w:hideMark/>
          </w:tcPr>
          <w:p w14:paraId="5CE17C7F" w14:textId="77777777" w:rsidR="00162408" w:rsidRPr="009A4F45" w:rsidRDefault="00162408" w:rsidP="00162408">
            <w:pPr>
              <w:widowControl w:val="0"/>
              <w:kinsoku w:val="0"/>
              <w:overflowPunct w:val="0"/>
              <w:autoSpaceDE w:val="0"/>
              <w:autoSpaceDN w:val="0"/>
              <w:adjustRightInd w:val="0"/>
              <w:snapToGrid w:val="0"/>
              <w:rPr>
                <w:rFonts w:asciiTheme="minorHAnsi" w:eastAsiaTheme="minorEastAsia" w:hAnsiTheme="minorHAnsi" w:cstheme="minorHAnsi"/>
                <w:sz w:val="20"/>
                <w:szCs w:val="20"/>
                <w:lang w:eastAsia="ko-KR"/>
              </w:rPr>
            </w:pPr>
            <w:r w:rsidRPr="009A4F45">
              <w:rPr>
                <w:rFonts w:asciiTheme="minorHAnsi" w:eastAsiaTheme="minorEastAsia" w:hAnsiTheme="minorHAnsi" w:cstheme="minorHAnsi"/>
                <w:sz w:val="20"/>
                <w:szCs w:val="20"/>
                <w:lang w:eastAsia="ko-KR"/>
              </w:rPr>
              <w:t>Low</w:t>
            </w:r>
          </w:p>
        </w:tc>
      </w:tr>
    </w:tbl>
    <w:p w14:paraId="224C7DED"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6B87C463"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sectPr w:rsidR="00883A86" w:rsidRPr="00B845AF" w:rsidSect="00F14811">
          <w:pgSz w:w="12240" w:h="15840" w:code="1"/>
          <w:pgMar w:top="1440" w:right="1440" w:bottom="1440" w:left="1440" w:header="720" w:footer="720" w:gutter="0"/>
          <w:cols w:space="720"/>
          <w:docGrid w:linePitch="360"/>
        </w:sectPr>
      </w:pPr>
    </w:p>
    <w:p w14:paraId="5285FB41" w14:textId="0FD6C937" w:rsidR="00883A86" w:rsidRPr="00B845AF" w:rsidRDefault="00A376CA" w:rsidP="00E514BF">
      <w:pPr>
        <w:pStyle w:val="ListParagraph"/>
        <w:widowControl w:val="0"/>
        <w:kinsoku w:val="0"/>
        <w:overflowPunct w:val="0"/>
        <w:autoSpaceDE w:val="0"/>
        <w:autoSpaceDN w:val="0"/>
        <w:adjustRightInd w:val="0"/>
        <w:snapToGrid w:val="0"/>
        <w:ind w:leftChars="127" w:left="279"/>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2BEAA229" wp14:editId="0D47A021">
            <wp:extent cx="5939790" cy="3339465"/>
            <wp:effectExtent l="0" t="0" r="3810" b="0"/>
            <wp:docPr id="5173237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39790" cy="3339465"/>
                    </a:xfrm>
                    <a:prstGeom prst="rect">
                      <a:avLst/>
                    </a:prstGeom>
                    <a:noFill/>
                    <a:ln>
                      <a:noFill/>
                    </a:ln>
                  </pic:spPr>
                </pic:pic>
              </a:graphicData>
            </a:graphic>
          </wp:inline>
        </w:drawing>
      </w:r>
      <w:r w:rsidR="00883A86" w:rsidRPr="00B845AF">
        <w:rPr>
          <w:rFonts w:asciiTheme="minorHAnsi" w:eastAsiaTheme="minorEastAsia" w:hAnsiTheme="minorHAnsi" w:cstheme="minorHAnsi"/>
          <w:szCs w:val="22"/>
          <w:lang w:eastAsia="ko-KR"/>
        </w:rPr>
        <w:t xml:space="preserve"> </w:t>
      </w:r>
    </w:p>
    <w:p w14:paraId="7904DF07" w14:textId="77777777"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BUM-01.</w:t>
      </w:r>
      <w:r w:rsidRPr="00B845AF">
        <w:rPr>
          <w:rFonts w:asciiTheme="minorHAnsi" w:eastAsiaTheme="minorEastAsia" w:hAnsiTheme="minorHAnsi" w:cstheme="minorHAnsi"/>
          <w:iCs/>
          <w:szCs w:val="22"/>
          <w:lang w:eastAsia="ko-KR"/>
        </w:rPr>
        <w:t xml:space="preserve"> A diagram of the conceptual model developed by the ISC Billfish Working Group for female Pacific blue marlin (Makaira nigricans). Arrows show general exchange of fish, not directed movement. The red boundary represents approximate habitat range of Pacific blue marlin.</w:t>
      </w:r>
    </w:p>
    <w:p w14:paraId="4AECF765" w14:textId="44192294"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6AAB0ED5" wp14:editId="3F64F884">
            <wp:extent cx="4572000" cy="5627077"/>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72000" cy="5627077"/>
                    </a:xfrm>
                    <a:prstGeom prst="rect">
                      <a:avLst/>
                    </a:prstGeom>
                    <a:noFill/>
                    <a:ln>
                      <a:noFill/>
                    </a:ln>
                  </pic:spPr>
                </pic:pic>
              </a:graphicData>
            </a:graphic>
          </wp:inline>
        </w:drawing>
      </w:r>
    </w:p>
    <w:p w14:paraId="7FDBAE3C" w14:textId="4CF9F983"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BUM-02.</w:t>
      </w:r>
      <w:r w:rsidRPr="00B845AF">
        <w:rPr>
          <w:rFonts w:asciiTheme="minorHAnsi" w:eastAsiaTheme="minorEastAsia" w:hAnsiTheme="minorHAnsi" w:cstheme="minorHAnsi"/>
          <w:iCs/>
          <w:szCs w:val="22"/>
          <w:lang w:eastAsia="ko-KR"/>
        </w:rPr>
        <w:t xml:space="preserve"> Total annual catch of Pacific blue marlin (Makaria nigricans) 1971–2024 by fleet in the 2026 stock assessment. See Table 1</w:t>
      </w:r>
      <w:r w:rsidRPr="00B845AF">
        <w:rPr>
          <w:rFonts w:asciiTheme="minorHAnsi" w:eastAsiaTheme="minorEastAsia" w:hAnsiTheme="minorHAnsi" w:cstheme="minorHAnsi"/>
          <w:b/>
          <w:bCs/>
          <w:iCs/>
          <w:szCs w:val="22"/>
          <w:lang w:eastAsia="ko-KR"/>
        </w:rPr>
        <w:t xml:space="preserve"> </w:t>
      </w:r>
      <w:r w:rsidRPr="00B845AF">
        <w:rPr>
          <w:rFonts w:asciiTheme="minorHAnsi" w:eastAsiaTheme="minorEastAsia" w:hAnsiTheme="minorHAnsi" w:cstheme="minorHAnsi"/>
          <w:iCs/>
          <w:szCs w:val="22"/>
          <w:lang w:eastAsia="ko-KR"/>
        </w:rPr>
        <w:t>in SC22-SA-WP10 for descriptions of each fishing fleet.</w:t>
      </w:r>
    </w:p>
    <w:p w14:paraId="29B83E1E" w14:textId="4EDE94FC" w:rsidR="00883A86" w:rsidRPr="00B845AF" w:rsidRDefault="00883A86" w:rsidP="00244AD8">
      <w:pPr>
        <w:pStyle w:val="ListParagraph"/>
        <w:widowControl w:val="0"/>
        <w:kinsoku w:val="0"/>
        <w:overflowPunct w:val="0"/>
        <w:autoSpaceDE w:val="0"/>
        <w:autoSpaceDN w:val="0"/>
        <w:adjustRightInd w:val="0"/>
        <w:snapToGrid w:val="0"/>
        <w:ind w:leftChars="127" w:left="279"/>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1F9EB274" wp14:editId="2630BF18">
            <wp:extent cx="5943600" cy="59436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1C33C45D" w14:textId="77777777"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bookmarkStart w:id="50" w:name="_Ref229578449"/>
      <w:r w:rsidRPr="00B845AF">
        <w:rPr>
          <w:rFonts w:asciiTheme="minorHAnsi" w:eastAsiaTheme="minorEastAsia" w:hAnsiTheme="minorHAnsi" w:cstheme="minorHAnsi"/>
          <w:b/>
          <w:bCs/>
          <w:iCs/>
          <w:szCs w:val="22"/>
          <w:lang w:eastAsia="ko-KR"/>
        </w:rPr>
        <w:t>Figure BUM-03</w:t>
      </w:r>
      <w:bookmarkEnd w:id="50"/>
      <w:r w:rsidRPr="00B845AF">
        <w:rPr>
          <w:rFonts w:asciiTheme="minorHAnsi" w:eastAsiaTheme="minorEastAsia" w:hAnsiTheme="minorHAnsi" w:cstheme="minorHAnsi"/>
          <w:b/>
          <w:bCs/>
          <w:iCs/>
          <w:szCs w:val="22"/>
          <w:lang w:eastAsia="ko-KR"/>
        </w:rPr>
        <w:t>.</w:t>
      </w:r>
      <w:r w:rsidRPr="00B845AF">
        <w:rPr>
          <w:rFonts w:asciiTheme="minorHAnsi" w:eastAsiaTheme="minorEastAsia" w:hAnsiTheme="minorHAnsi" w:cstheme="minorHAnsi"/>
          <w:iCs/>
          <w:szCs w:val="22"/>
          <w:lang w:eastAsia="ko-KR"/>
        </w:rPr>
        <w:t xml:space="preserve"> Plot of CPUE index by fleet with a simple LOESS smoother fit to each time series.</w:t>
      </w:r>
    </w:p>
    <w:p w14:paraId="0900F7DC"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05315EC2" w14:textId="2B5CB6B4" w:rsidR="00883A86" w:rsidRPr="00B845AF" w:rsidRDefault="00883A86" w:rsidP="004E22BC">
      <w:pPr>
        <w:pStyle w:val="ListParagraph"/>
        <w:widowControl w:val="0"/>
        <w:kinsoku w:val="0"/>
        <w:overflowPunct w:val="0"/>
        <w:autoSpaceDE w:val="0"/>
        <w:autoSpaceDN w:val="0"/>
        <w:adjustRightInd w:val="0"/>
        <w:snapToGrid w:val="0"/>
        <w:ind w:leftChars="27" w:left="59"/>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371FC2FA" wp14:editId="5887C0B1">
            <wp:extent cx="5943600" cy="639889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0">
                      <a:extLst>
                        <a:ext uri="{28A0092B-C50C-407E-A947-70E740481C1C}">
                          <a14:useLocalDpi xmlns:a14="http://schemas.microsoft.com/office/drawing/2010/main" val="0"/>
                        </a:ext>
                      </a:extLst>
                    </a:blip>
                    <a:stretch>
                      <a:fillRect/>
                    </a:stretch>
                  </pic:blipFill>
                  <pic:spPr>
                    <a:xfrm>
                      <a:off x="0" y="0"/>
                      <a:ext cx="5943600" cy="6398895"/>
                    </a:xfrm>
                    <a:prstGeom prst="rect">
                      <a:avLst/>
                    </a:prstGeom>
                  </pic:spPr>
                </pic:pic>
              </a:graphicData>
            </a:graphic>
          </wp:inline>
        </w:drawing>
      </w:r>
    </w:p>
    <w:p w14:paraId="520CF5EB" w14:textId="3A35FD97"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b/>
          <w:bCs/>
          <w:szCs w:val="22"/>
          <w:lang w:eastAsia="ko-KR"/>
        </w:rPr>
        <w:t>Figure BUM-04.</w:t>
      </w:r>
      <w:r w:rsidRPr="00B845AF">
        <w:rPr>
          <w:rFonts w:asciiTheme="minorHAnsi" w:eastAsiaTheme="minorEastAsia" w:hAnsiTheme="minorHAnsi" w:cstheme="minorHAnsi"/>
          <w:szCs w:val="22"/>
          <w:lang w:eastAsia="ko-KR"/>
        </w:rPr>
        <w:t xml:space="preserve"> Annual estimates of (a) female spawning stock biomass, SSB; (b) population biomass (age 1+); (c) fishing mortality rate (F) as exploitation of biomass; and (d) recruitment (age-0 fish) for Pacific blue marlin (</w:t>
      </w:r>
      <w:r w:rsidRPr="00B845AF">
        <w:rPr>
          <w:rFonts w:asciiTheme="minorHAnsi" w:eastAsiaTheme="minorEastAsia" w:hAnsiTheme="minorHAnsi" w:cstheme="minorHAnsi"/>
          <w:i/>
          <w:iCs/>
          <w:szCs w:val="22"/>
          <w:lang w:eastAsia="ko-KR"/>
        </w:rPr>
        <w:t>Makaria nigricans</w:t>
      </w:r>
      <w:r w:rsidRPr="00B845AF">
        <w:rPr>
          <w:rFonts w:asciiTheme="minorHAnsi" w:eastAsiaTheme="minorEastAsia" w:hAnsiTheme="minorHAnsi" w:cstheme="minorHAnsi"/>
          <w:szCs w:val="22"/>
          <w:lang w:eastAsia="ko-KR"/>
        </w:rPr>
        <w:t>). The solid line represents the maximum likelihood estimates by year for each quantity, the shaded areas are 95% confidence intervals, and dashed lines indicate the static SSB</w:t>
      </w:r>
      <w:r w:rsidRPr="00B845AF">
        <w:rPr>
          <w:rFonts w:asciiTheme="minorHAnsi" w:eastAsiaTheme="minorEastAsia" w:hAnsiTheme="minorHAnsi" w:cstheme="minorHAnsi"/>
          <w:szCs w:val="22"/>
          <w:vertAlign w:val="subscript"/>
          <w:lang w:eastAsia="ko-KR"/>
        </w:rPr>
        <w:t>MSY</w:t>
      </w:r>
      <w:r w:rsidRPr="00B845AF">
        <w:rPr>
          <w:rFonts w:asciiTheme="minorHAnsi" w:eastAsiaTheme="minorEastAsia" w:hAnsiTheme="minorHAnsi" w:cstheme="minorHAnsi"/>
          <w:szCs w:val="22"/>
          <w:lang w:eastAsia="ko-KR"/>
        </w:rPr>
        <w:t xml:space="preserve"> and F</w:t>
      </w:r>
      <w:r w:rsidRPr="00B845AF">
        <w:rPr>
          <w:rFonts w:asciiTheme="minorHAnsi" w:eastAsiaTheme="minorEastAsia" w:hAnsiTheme="minorHAnsi" w:cstheme="minorHAnsi"/>
          <w:szCs w:val="22"/>
          <w:vertAlign w:val="subscript"/>
          <w:lang w:eastAsia="ko-KR"/>
        </w:rPr>
        <w:t>MSY</w:t>
      </w:r>
      <w:r w:rsidRPr="00B845AF">
        <w:rPr>
          <w:rFonts w:asciiTheme="minorHAnsi" w:eastAsiaTheme="minorEastAsia" w:hAnsiTheme="minorHAnsi" w:cstheme="minorHAnsi"/>
          <w:szCs w:val="22"/>
          <w:lang w:eastAsia="ko-KR"/>
        </w:rPr>
        <w:t xml:space="preserve"> reference points.</w:t>
      </w:r>
    </w:p>
    <w:p w14:paraId="444E6EA2" w14:textId="77777777" w:rsidR="00A43854" w:rsidRPr="00B845AF" w:rsidRDefault="00A43854"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5643101C" w14:textId="4ED3FBAE" w:rsidR="00883A86" w:rsidRPr="00B845AF" w:rsidRDefault="00A43854" w:rsidP="00A43854">
      <w:pPr>
        <w:widowControl w:val="0"/>
        <w:kinsoku w:val="0"/>
        <w:overflowPunct w:val="0"/>
        <w:autoSpaceDE w:val="0"/>
        <w:autoSpaceDN w:val="0"/>
        <w:adjustRightInd w:val="0"/>
        <w:snapToGrid w:val="0"/>
        <w:jc w:val="both"/>
        <w:rPr>
          <w:rFonts w:asciiTheme="minorHAnsi" w:eastAsiaTheme="minorEastAsia" w:hAnsiTheme="minorHAnsi" w:cstheme="minorHAnsi"/>
          <w:b/>
          <w:bCs/>
          <w:i/>
          <w:iCs/>
          <w:szCs w:val="22"/>
          <w:lang w:eastAsia="ko-KR"/>
        </w:rPr>
      </w:pPr>
      <w:r w:rsidRPr="00B845AF">
        <w:rPr>
          <w:rFonts w:asciiTheme="minorHAnsi" w:eastAsiaTheme="minorEastAsia" w:hAnsiTheme="minorHAnsi" w:cstheme="minorHAnsi"/>
          <w:b/>
          <w:bCs/>
          <w:i/>
          <w:iCs/>
          <w:szCs w:val="22"/>
          <w:lang w:eastAsia="ko-KR"/>
        </w:rPr>
        <w:t xml:space="preserve">b. </w:t>
      </w:r>
      <w:r w:rsidR="00883A86" w:rsidRPr="00B845AF">
        <w:rPr>
          <w:rFonts w:asciiTheme="minorHAnsi" w:eastAsiaTheme="minorEastAsia" w:hAnsiTheme="minorHAnsi" w:cstheme="minorHAnsi"/>
          <w:b/>
          <w:bCs/>
          <w:i/>
          <w:iCs/>
          <w:szCs w:val="22"/>
          <w:lang w:eastAsia="ko-KR"/>
        </w:rPr>
        <w:t xml:space="preserve">Stock status </w:t>
      </w:r>
    </w:p>
    <w:p w14:paraId="356B24E4" w14:textId="77777777" w:rsidR="00A43854" w:rsidRPr="00B845AF" w:rsidRDefault="00A43854" w:rsidP="00A43854">
      <w:pPr>
        <w:widowControl w:val="0"/>
        <w:kinsoku w:val="0"/>
        <w:overflowPunct w:val="0"/>
        <w:autoSpaceDE w:val="0"/>
        <w:autoSpaceDN w:val="0"/>
        <w:adjustRightInd w:val="0"/>
        <w:snapToGrid w:val="0"/>
        <w:jc w:val="both"/>
        <w:rPr>
          <w:rFonts w:asciiTheme="minorHAnsi" w:eastAsiaTheme="minorEastAsia" w:hAnsiTheme="minorHAnsi" w:cstheme="minorHAnsi"/>
          <w:b/>
          <w:bCs/>
          <w:i/>
          <w:iCs/>
          <w:szCs w:val="22"/>
          <w:lang w:eastAsia="ko-KR"/>
        </w:rPr>
      </w:pPr>
    </w:p>
    <w:p w14:paraId="6698704B" w14:textId="0118D9BF" w:rsidR="00615193" w:rsidRPr="00B845AF" w:rsidRDefault="00883A86">
      <w:pPr>
        <w:pStyle w:val="SCtext"/>
        <w:rPr>
          <w:rFonts w:asciiTheme="minorHAnsi" w:hAnsiTheme="minorHAnsi" w:cstheme="minorHAnsi"/>
          <w:lang w:val="en-US"/>
        </w:rPr>
      </w:pPr>
      <w:r w:rsidRPr="00B845AF">
        <w:rPr>
          <w:rFonts w:asciiTheme="minorHAnsi" w:hAnsiTheme="minorHAnsi" w:cstheme="minorHAnsi"/>
          <w:lang w:val="en-US"/>
        </w:rPr>
        <w:t xml:space="preserve">There are no agreed-upon reference points for BUM, so stock status is provided using the default MSY-based reference points for a Tier 1 stock. The recent spawning stock biomass of 44,438 mt (average </w:t>
      </w:r>
      <w:r w:rsidRPr="00B845AF">
        <w:rPr>
          <w:rFonts w:asciiTheme="minorHAnsi" w:hAnsiTheme="minorHAnsi" w:cstheme="minorHAnsi"/>
          <w:lang w:val="en-US"/>
        </w:rPr>
        <w:lastRenderedPageBreak/>
        <w:t>for 2022–2024) was greater than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 31,651 mt) and the recent F of 0.13 (average for 2021–2023) was 50% below F</w:t>
      </w:r>
      <w:r w:rsidRPr="00B845AF">
        <w:rPr>
          <w:rFonts w:asciiTheme="minorHAnsi" w:hAnsiTheme="minorHAnsi" w:cstheme="minorHAnsi"/>
          <w:vertAlign w:val="subscript"/>
          <w:lang w:val="en-US"/>
        </w:rPr>
        <w:t xml:space="preserve">MSY </w:t>
      </w:r>
      <w:r w:rsidRPr="00B845AF">
        <w:rPr>
          <w:rFonts w:asciiTheme="minorHAnsi" w:hAnsiTheme="minorHAnsi" w:cstheme="minorHAnsi"/>
          <w:lang w:val="en-US"/>
        </w:rPr>
        <w:t>(Figure BUM-05).</w:t>
      </w:r>
    </w:p>
    <w:p w14:paraId="31662877" w14:textId="77777777" w:rsidR="00615193" w:rsidRPr="00B845AF" w:rsidRDefault="00615193" w:rsidP="00615193">
      <w:pPr>
        <w:pStyle w:val="SCtext"/>
        <w:numPr>
          <w:ilvl w:val="0"/>
          <w:numId w:val="0"/>
        </w:numPr>
        <w:rPr>
          <w:rFonts w:asciiTheme="minorHAnsi" w:hAnsiTheme="minorHAnsi" w:cstheme="minorHAnsi"/>
          <w:lang w:val="en-US"/>
        </w:rPr>
      </w:pPr>
    </w:p>
    <w:p w14:paraId="29862256" w14:textId="52140F36" w:rsidR="00883A86" w:rsidRPr="00B845AF" w:rsidRDefault="00883A86">
      <w:pPr>
        <w:pStyle w:val="SCtext"/>
        <w:rPr>
          <w:rFonts w:asciiTheme="minorHAnsi" w:hAnsiTheme="minorHAnsi" w:cstheme="minorHAnsi"/>
          <w:lang w:val="en-US"/>
        </w:rPr>
      </w:pPr>
      <w:r w:rsidRPr="00B845AF">
        <w:rPr>
          <w:rFonts w:asciiTheme="minorHAnsi" w:hAnsiTheme="minorHAnsi" w:cstheme="minorHAnsi"/>
          <w:b/>
          <w:bCs/>
          <w:lang w:val="en-US"/>
        </w:rPr>
        <w:t>SC22 noted the following information on the status of the BUM stock provided to the ISC26 Plenary:</w:t>
      </w:r>
    </w:p>
    <w:p w14:paraId="19E000FB" w14:textId="77777777" w:rsidR="00883A86" w:rsidRPr="00B845AF" w:rsidRDefault="00883A86" w:rsidP="00D47778">
      <w:pPr>
        <w:pStyle w:val="ListParagraph"/>
        <w:widowControl w:val="0"/>
        <w:numPr>
          <w:ilvl w:val="0"/>
          <w:numId w:val="29"/>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 xml:space="preserve">No target or limit reference points have been established for BUM by </w:t>
      </w:r>
      <w:proofErr w:type="gramStart"/>
      <w:r w:rsidRPr="00B845AF">
        <w:rPr>
          <w:rFonts w:asciiTheme="minorHAnsi" w:eastAsiaTheme="minorEastAsia" w:hAnsiTheme="minorHAnsi" w:cstheme="minorHAnsi"/>
          <w:b/>
          <w:bCs/>
          <w:szCs w:val="22"/>
          <w:lang w:eastAsia="ko-KR"/>
        </w:rPr>
        <w:t>the IATTC</w:t>
      </w:r>
      <w:proofErr w:type="gramEnd"/>
      <w:r w:rsidRPr="00B845AF">
        <w:rPr>
          <w:rFonts w:asciiTheme="minorHAnsi" w:eastAsiaTheme="minorEastAsia" w:hAnsiTheme="minorHAnsi" w:cstheme="minorHAnsi"/>
          <w:b/>
          <w:bCs/>
          <w:szCs w:val="22"/>
          <w:lang w:eastAsia="ko-KR"/>
        </w:rPr>
        <w:t xml:space="preserve"> and </w:t>
      </w:r>
      <w:proofErr w:type="gramStart"/>
      <w:r w:rsidRPr="00B845AF">
        <w:rPr>
          <w:rFonts w:asciiTheme="minorHAnsi" w:eastAsiaTheme="minorEastAsia" w:hAnsiTheme="minorHAnsi" w:cstheme="minorHAnsi"/>
          <w:b/>
          <w:bCs/>
          <w:szCs w:val="22"/>
          <w:lang w:eastAsia="ko-KR"/>
        </w:rPr>
        <w:t>the WCPFC</w:t>
      </w:r>
      <w:proofErr w:type="gramEnd"/>
      <w:r w:rsidRPr="00B845AF">
        <w:rPr>
          <w:rFonts w:asciiTheme="minorHAnsi" w:eastAsiaTheme="minorEastAsia" w:hAnsiTheme="minorHAnsi" w:cstheme="minorHAnsi"/>
          <w:b/>
          <w:bCs/>
          <w:szCs w:val="22"/>
          <w:lang w:eastAsia="ko-KR"/>
        </w:rPr>
        <w:t>;</w:t>
      </w:r>
    </w:p>
    <w:p w14:paraId="41925874" w14:textId="77777777" w:rsidR="00883A86" w:rsidRPr="00B845AF" w:rsidRDefault="00883A86" w:rsidP="00D47778">
      <w:pPr>
        <w:pStyle w:val="ListParagraph"/>
        <w:widowControl w:val="0"/>
        <w:numPr>
          <w:ilvl w:val="0"/>
          <w:numId w:val="29"/>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Spawning stock biomass was estimated to be 42,038 mt in 2021-2023, or about 33% above SSB</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and 9% above 20%SSB</w:t>
      </w:r>
      <w:r w:rsidRPr="00B845AF">
        <w:rPr>
          <w:rFonts w:asciiTheme="minorHAnsi" w:eastAsiaTheme="minorEastAsia" w:hAnsiTheme="minorHAnsi" w:cstheme="minorHAnsi"/>
          <w:b/>
          <w:bCs/>
          <w:szCs w:val="22"/>
          <w:vertAlign w:val="subscript"/>
          <w:lang w:eastAsia="ko-KR"/>
        </w:rPr>
        <w:t>0</w:t>
      </w:r>
      <w:r w:rsidRPr="00B845AF">
        <w:rPr>
          <w:rFonts w:asciiTheme="minorHAnsi" w:eastAsiaTheme="minorEastAsia" w:hAnsiTheme="minorHAnsi" w:cstheme="minorHAnsi"/>
          <w:b/>
          <w:bCs/>
          <w:szCs w:val="22"/>
          <w:lang w:eastAsia="ko-KR"/>
        </w:rPr>
        <w:t>;</w:t>
      </w:r>
    </w:p>
    <w:p w14:paraId="2658279E" w14:textId="77777777" w:rsidR="00883A86" w:rsidRPr="00B845AF" w:rsidRDefault="00883A86" w:rsidP="00D47778">
      <w:pPr>
        <w:pStyle w:val="ListParagraph"/>
        <w:widowControl w:val="0"/>
        <w:numPr>
          <w:ilvl w:val="0"/>
          <w:numId w:val="29"/>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Fishing mortality on the stock averaged roughly F = 0.13 during 2021-2023, or about 50% below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and 56% below F20%SSB</w:t>
      </w:r>
      <w:r w:rsidRPr="00B845AF">
        <w:rPr>
          <w:rFonts w:asciiTheme="minorHAnsi" w:eastAsiaTheme="minorEastAsia" w:hAnsiTheme="minorHAnsi" w:cstheme="minorHAnsi"/>
          <w:b/>
          <w:bCs/>
          <w:szCs w:val="22"/>
          <w:vertAlign w:val="subscript"/>
          <w:lang w:eastAsia="ko-KR"/>
        </w:rPr>
        <w:t>0</w:t>
      </w:r>
      <w:r w:rsidRPr="00B845AF">
        <w:rPr>
          <w:rFonts w:asciiTheme="minorHAnsi" w:eastAsiaTheme="minorEastAsia" w:hAnsiTheme="minorHAnsi" w:cstheme="minorHAnsi"/>
          <w:b/>
          <w:bCs/>
          <w:szCs w:val="22"/>
          <w:lang w:eastAsia="ko-KR"/>
        </w:rPr>
        <w:t>; and</w:t>
      </w:r>
    </w:p>
    <w:p w14:paraId="1EF4AB32" w14:textId="10048FF6" w:rsidR="00883A86" w:rsidRPr="00B845AF" w:rsidRDefault="00883A86" w:rsidP="00D47778">
      <w:pPr>
        <w:pStyle w:val="ListParagraph"/>
        <w:widowControl w:val="0"/>
        <w:numPr>
          <w:ilvl w:val="0"/>
          <w:numId w:val="29"/>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Blue marlin stock status relative to MSY-based reference points indicates that overfishing was virtually certain to be not occurring (&gt;99% probability) and BUM is virtually certain to be not overfished (&gt;99% probability).</w:t>
      </w:r>
    </w:p>
    <w:p w14:paraId="2B586BFD"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7A33A60B" w14:textId="72BBF253" w:rsidR="00883A86" w:rsidRPr="00B845AF" w:rsidRDefault="00883A86">
      <w:pPr>
        <w:pStyle w:val="SCtext"/>
        <w:rPr>
          <w:rFonts w:asciiTheme="minorHAnsi" w:hAnsiTheme="minorHAnsi" w:cstheme="minorHAnsi"/>
          <w:lang w:val="en-US"/>
        </w:rPr>
      </w:pPr>
      <w:r w:rsidRPr="00B845AF">
        <w:rPr>
          <w:rFonts w:asciiTheme="minorHAnsi" w:hAnsiTheme="minorHAnsi" w:cstheme="minorHAnsi"/>
          <w:lang w:val="en-US"/>
        </w:rPr>
        <w:t>Future projections for Pacific blue marlin were conducted using SS3, without incorporating recruitment deviations or applying a log-bias adjustment in the projections. Projections are reported as the median value from 100 bootstrapped input dataset model runs for each scenario. Projections started in 2025 and continued through 2034 under fishing mortality levels corresponding to four harvest scenarios: (1) F</w:t>
      </w:r>
      <w:r w:rsidRPr="00B845AF">
        <w:rPr>
          <w:rFonts w:asciiTheme="minorHAnsi" w:hAnsiTheme="minorHAnsi" w:cstheme="minorHAnsi"/>
          <w:vertAlign w:val="subscript"/>
          <w:lang w:val="en-US"/>
        </w:rPr>
        <w:t>High</w:t>
      </w:r>
      <w:r w:rsidRPr="00B845AF">
        <w:rPr>
          <w:rFonts w:asciiTheme="minorHAnsi" w:hAnsiTheme="minorHAnsi" w:cstheme="minorHAnsi"/>
          <w:lang w:val="en-US"/>
        </w:rPr>
        <w:t xml:space="preserve"> = F</w:t>
      </w:r>
      <w:r w:rsidRPr="00B845AF">
        <w:rPr>
          <w:rFonts w:asciiTheme="minorHAnsi" w:hAnsiTheme="minorHAnsi" w:cstheme="minorHAnsi"/>
          <w:vertAlign w:val="subscript"/>
          <w:lang w:val="en-US"/>
        </w:rPr>
        <w:t>2003</w:t>
      </w:r>
      <w:r w:rsidRPr="00B845AF">
        <w:rPr>
          <w:rFonts w:asciiTheme="minorHAnsi" w:hAnsiTheme="minorHAnsi" w:cstheme="minorHAnsi"/>
          <w:lang w:val="en-US"/>
        </w:rPr>
        <w:t>, the highest fishing mortality rate estimated for the entire time series (1971-2024); (2)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(3)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 </w:t>
      </w:r>
      <w:proofErr w:type="gramStart"/>
      <w:r w:rsidRPr="00B845AF">
        <w:rPr>
          <w:rFonts w:asciiTheme="minorHAnsi" w:hAnsiTheme="minorHAnsi" w:cstheme="minorHAnsi"/>
          <w:lang w:val="en-US"/>
        </w:rPr>
        <w:t>F</w:t>
      </w:r>
      <w:r w:rsidRPr="00B845AF">
        <w:rPr>
          <w:rFonts w:asciiTheme="minorHAnsi" w:hAnsiTheme="minorHAnsi" w:cstheme="minorHAnsi"/>
          <w:vertAlign w:val="subscript"/>
          <w:lang w:val="en-US"/>
        </w:rPr>
        <w:t>(</w:t>
      </w:r>
      <w:proofErr w:type="gramEnd"/>
      <w:r w:rsidRPr="00B845AF">
        <w:rPr>
          <w:rFonts w:asciiTheme="minorHAnsi" w:hAnsiTheme="minorHAnsi" w:cstheme="minorHAnsi"/>
          <w:vertAlign w:val="subscript"/>
          <w:lang w:val="en-US"/>
        </w:rPr>
        <w:t>2021–2023),</w:t>
      </w:r>
      <w:r w:rsidRPr="00B845AF">
        <w:rPr>
          <w:rFonts w:asciiTheme="minorHAnsi" w:hAnsiTheme="minorHAnsi" w:cstheme="minorHAnsi"/>
          <w:lang w:val="en-US"/>
        </w:rPr>
        <w:t xml:space="preserve"> corresponding to the average fishing intensity (SPR) over 2021–2023; and (4) F</w:t>
      </w:r>
      <w:r w:rsidRPr="00B845AF">
        <w:rPr>
          <w:rFonts w:asciiTheme="minorHAnsi" w:hAnsiTheme="minorHAnsi" w:cstheme="minorHAnsi"/>
          <w:vertAlign w:val="subscript"/>
          <w:lang w:val="en-US"/>
        </w:rPr>
        <w:t>30%SPR,</w:t>
      </w:r>
      <w:r w:rsidRPr="00B845AF">
        <w:rPr>
          <w:rFonts w:asciiTheme="minorHAnsi" w:hAnsiTheme="minorHAnsi" w:cstheme="minorHAnsi"/>
          <w:lang w:val="en-US"/>
        </w:rPr>
        <w:t xml:space="preserve"> corresponding to SPR = 30% (Figures BUM-06 and BUM-07). For the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scenario, which is based on the relatively low catch years of 2021–2023, projected catch would be below 2024 levels for the first three years (range 16,158 to 17,505 mt) and would increase to only 80% of MSY by the last projection year. Projected catches below MSY in this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scenario would be concurrent with an increase of biomass to well over SSB</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by 2034. The projections suggest fishing the stock at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would be associated with an immediate increase to well over the historical maximum catch, followed by a decrease to MSY by 2034 as the SSB is depleted. The other two projection scenarios exhibited SSB and catch trends intermediate between the </w:t>
      </w:r>
      <w:proofErr w:type="spellStart"/>
      <w:r w:rsidRPr="00B845AF">
        <w:rPr>
          <w:rFonts w:asciiTheme="minorHAnsi" w:hAnsiTheme="minorHAnsi" w:cstheme="minorHAnsi"/>
          <w:lang w:val="en-US"/>
        </w:rPr>
        <w:t>F</w:t>
      </w:r>
      <w:r w:rsidRPr="00B845AF">
        <w:rPr>
          <w:rFonts w:asciiTheme="minorHAnsi" w:hAnsiTheme="minorHAnsi" w:cstheme="minorHAnsi"/>
          <w:vertAlign w:val="subscript"/>
          <w:lang w:val="en-US"/>
        </w:rPr>
        <w:t>Recent</w:t>
      </w:r>
      <w:proofErr w:type="spellEnd"/>
      <w:r w:rsidRPr="00B845AF">
        <w:rPr>
          <w:rFonts w:asciiTheme="minorHAnsi" w:hAnsiTheme="minorHAnsi" w:cstheme="minorHAnsi"/>
          <w:lang w:val="en-US"/>
        </w:rPr>
        <w:t xml:space="preserve"> and F</w:t>
      </w:r>
      <w:r w:rsidRPr="00B845AF">
        <w:rPr>
          <w:rFonts w:asciiTheme="minorHAnsi" w:hAnsiTheme="minorHAnsi" w:cstheme="minorHAnsi"/>
          <w:vertAlign w:val="subscript"/>
          <w:lang w:val="en-US"/>
        </w:rPr>
        <w:t>MSY</w:t>
      </w:r>
      <w:r w:rsidRPr="00B845AF">
        <w:rPr>
          <w:rFonts w:asciiTheme="minorHAnsi" w:hAnsiTheme="minorHAnsi" w:cstheme="minorHAnsi"/>
          <w:lang w:val="en-US"/>
        </w:rPr>
        <w:t xml:space="preserve"> scenarios, because even the peak F estimate of 2003 was less than F</w:t>
      </w:r>
      <w:r w:rsidRPr="00B845AF">
        <w:rPr>
          <w:rFonts w:asciiTheme="minorHAnsi" w:hAnsiTheme="minorHAnsi" w:cstheme="minorHAnsi"/>
          <w:vertAlign w:val="subscript"/>
          <w:lang w:val="en-US"/>
        </w:rPr>
        <w:t>MSY</w:t>
      </w:r>
      <w:r w:rsidRPr="00B845AF">
        <w:rPr>
          <w:rFonts w:asciiTheme="minorHAnsi" w:hAnsiTheme="minorHAnsi" w:cstheme="minorHAnsi"/>
          <w:lang w:val="en-US"/>
        </w:rPr>
        <w:t>, and catch is expected to initially increase, then drop, over the projection period as the SSB becomes depleted. The most consistent catch scenario over the next 10 years was F</w:t>
      </w:r>
      <w:r w:rsidRPr="00B845AF">
        <w:rPr>
          <w:rFonts w:asciiTheme="minorHAnsi" w:hAnsiTheme="minorHAnsi" w:cstheme="minorHAnsi"/>
          <w:vertAlign w:val="subscript"/>
          <w:lang w:val="en-US"/>
        </w:rPr>
        <w:t>30%SPR</w:t>
      </w:r>
      <w:r w:rsidRPr="00B845AF">
        <w:rPr>
          <w:rFonts w:asciiTheme="minorHAnsi" w:hAnsiTheme="minorHAnsi" w:cstheme="minorHAnsi"/>
          <w:lang w:val="en-US"/>
        </w:rPr>
        <w:t>, where annual catches for 2025–2034 would be essentially constant at approximately 23,000 mt per year.</w:t>
      </w:r>
    </w:p>
    <w:p w14:paraId="2A75EBBC"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i/>
          <w:iCs/>
          <w:szCs w:val="22"/>
          <w:lang w:eastAsia="ko-KR"/>
        </w:rPr>
        <w:sectPr w:rsidR="00883A86" w:rsidRPr="00B845AF" w:rsidSect="00F14811">
          <w:pgSz w:w="12240" w:h="15840" w:code="1"/>
          <w:pgMar w:top="1440" w:right="1440" w:bottom="1440" w:left="1440" w:header="720" w:footer="720" w:gutter="0"/>
          <w:cols w:space="720"/>
          <w:docGrid w:linePitch="360"/>
        </w:sectPr>
      </w:pPr>
    </w:p>
    <w:p w14:paraId="09B05223" w14:textId="77777777" w:rsidR="00BE2E66" w:rsidRDefault="00BE2E66" w:rsidP="00396983">
      <w:pPr>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p>
    <w:p w14:paraId="08E148F7" w14:textId="4C919FE7" w:rsidR="00883A86" w:rsidRPr="00B845AF" w:rsidRDefault="00883A86" w:rsidP="00396983">
      <w:pPr>
        <w:widowControl w:val="0"/>
        <w:kinsoku w:val="0"/>
        <w:overflowPunct w:val="0"/>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eastAsiaTheme="minorEastAsia" w:hAnsiTheme="minorHAnsi" w:cstheme="minorHAnsi"/>
          <w:b/>
          <w:bCs/>
          <w:szCs w:val="22"/>
          <w:lang w:eastAsia="ko-KR"/>
        </w:rPr>
        <w:t>Table BUM-03.</w:t>
      </w:r>
      <w:r w:rsidRPr="00B845AF">
        <w:rPr>
          <w:rFonts w:asciiTheme="minorHAnsi" w:eastAsiaTheme="minorEastAsia" w:hAnsiTheme="minorHAnsi" w:cstheme="minorHAnsi"/>
          <w:szCs w:val="22"/>
          <w:lang w:eastAsia="ko-KR"/>
        </w:rPr>
        <w:t xml:space="preserve"> Summary of reference points for the 2026 Pacific blue marlin (</w:t>
      </w:r>
      <w:r w:rsidRPr="00B845AF">
        <w:rPr>
          <w:rFonts w:asciiTheme="minorHAnsi" w:eastAsiaTheme="minorEastAsia" w:hAnsiTheme="minorHAnsi" w:cstheme="minorHAnsi"/>
          <w:i/>
          <w:iCs/>
          <w:szCs w:val="22"/>
          <w:lang w:eastAsia="ko-KR"/>
        </w:rPr>
        <w:t>Makaira nigricans</w:t>
      </w:r>
      <w:r w:rsidRPr="00B845AF">
        <w:rPr>
          <w:rFonts w:asciiTheme="minorHAnsi" w:eastAsiaTheme="minorEastAsia" w:hAnsiTheme="minorHAnsi" w:cstheme="minorHAnsi"/>
          <w:szCs w:val="22"/>
          <w:lang w:eastAsia="ko-KR"/>
        </w:rPr>
        <w:t>) stock assessment.</w:t>
      </w:r>
    </w:p>
    <w:tbl>
      <w:tblPr>
        <w:tblW w:w="5000" w:type="pct"/>
        <w:tblLayout w:type="fixed"/>
        <w:tblLook w:val="04A0" w:firstRow="1" w:lastRow="0" w:firstColumn="1" w:lastColumn="0" w:noHBand="0" w:noVBand="1"/>
      </w:tblPr>
      <w:tblGrid>
        <w:gridCol w:w="1528"/>
        <w:gridCol w:w="1887"/>
        <w:gridCol w:w="2431"/>
        <w:gridCol w:w="3504"/>
      </w:tblGrid>
      <w:tr w:rsidR="00396983" w:rsidRPr="00B845AF" w14:paraId="4D1296CF" w14:textId="77777777" w:rsidTr="00D60D99">
        <w:trPr>
          <w:trHeight w:val="300"/>
        </w:trPr>
        <w:tc>
          <w:tcPr>
            <w:tcW w:w="81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D819B39" w14:textId="77777777" w:rsidR="00396983" w:rsidRPr="00B845AF" w:rsidRDefault="00396983" w:rsidP="00D60D99">
            <w:pPr>
              <w:pStyle w:val="ListParagraph"/>
              <w:widowControl w:val="0"/>
              <w:kinsoku w:val="0"/>
              <w:overflowPunct w:val="0"/>
              <w:autoSpaceDE w:val="0"/>
              <w:autoSpaceDN w:val="0"/>
              <w:adjustRightInd w:val="0"/>
              <w:snapToGrid w:val="0"/>
              <w:ind w:left="-19"/>
              <w:jc w:val="center"/>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Terminal Year: 2024</w:t>
            </w:r>
          </w:p>
        </w:tc>
        <w:tc>
          <w:tcPr>
            <w:tcW w:w="1009"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02CA550" w14:textId="77777777" w:rsidR="00396983" w:rsidRPr="00B845AF" w:rsidRDefault="00396983" w:rsidP="00D60D99">
            <w:pPr>
              <w:pStyle w:val="ListParagraph"/>
              <w:widowControl w:val="0"/>
              <w:kinsoku w:val="0"/>
              <w:overflowPunct w:val="0"/>
              <w:autoSpaceDE w:val="0"/>
              <w:autoSpaceDN w:val="0"/>
              <w:adjustRightInd w:val="0"/>
              <w:snapToGrid w:val="0"/>
              <w:ind w:left="-45"/>
              <w:jc w:val="center"/>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Biomass</w:t>
            </w:r>
          </w:p>
        </w:tc>
        <w:tc>
          <w:tcPr>
            <w:tcW w:w="1300"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3BCEAC1B" w14:textId="77777777" w:rsidR="00396983" w:rsidRPr="00B845AF" w:rsidRDefault="00396983" w:rsidP="00D60D99">
            <w:pPr>
              <w:pStyle w:val="ListParagraph"/>
              <w:widowControl w:val="0"/>
              <w:kinsoku w:val="0"/>
              <w:overflowPunct w:val="0"/>
              <w:autoSpaceDE w:val="0"/>
              <w:autoSpaceDN w:val="0"/>
              <w:adjustRightInd w:val="0"/>
              <w:snapToGrid w:val="0"/>
              <w:ind w:left="8"/>
              <w:jc w:val="center"/>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Virtually Certain (&gt;99%) to be above target</w:t>
            </w:r>
          </w:p>
        </w:tc>
        <w:tc>
          <w:tcPr>
            <w:tcW w:w="1874" w:type="pct"/>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02AD4A93" w14:textId="77777777" w:rsidR="00396983" w:rsidRPr="00B845AF" w:rsidRDefault="00396983" w:rsidP="00D60D99">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Stock is not overfished</w:t>
            </w:r>
          </w:p>
        </w:tc>
      </w:tr>
      <w:tr w:rsidR="00396983" w:rsidRPr="00B845AF" w14:paraId="30E37022"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5D305FE3"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009" w:type="pct"/>
            <w:tcBorders>
              <w:top w:val="nil"/>
              <w:left w:val="nil"/>
              <w:bottom w:val="single" w:sz="4" w:space="0" w:color="auto"/>
              <w:right w:val="single" w:sz="4" w:space="0" w:color="auto"/>
            </w:tcBorders>
            <w:noWrap/>
            <w:hideMark/>
          </w:tcPr>
          <w:p w14:paraId="23DB6C65"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Fishing Mortality</w:t>
            </w:r>
          </w:p>
        </w:tc>
        <w:tc>
          <w:tcPr>
            <w:tcW w:w="1300" w:type="pct"/>
            <w:tcBorders>
              <w:top w:val="nil"/>
              <w:left w:val="nil"/>
              <w:bottom w:val="single" w:sz="4" w:space="0" w:color="auto"/>
              <w:right w:val="single" w:sz="4" w:space="0" w:color="auto"/>
            </w:tcBorders>
            <w:noWrap/>
            <w:hideMark/>
          </w:tcPr>
          <w:p w14:paraId="33DA2BDE"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Virtually Certain (&gt;99%) to be below target</w:t>
            </w:r>
          </w:p>
        </w:tc>
        <w:tc>
          <w:tcPr>
            <w:tcW w:w="1874" w:type="pct"/>
            <w:tcBorders>
              <w:top w:val="nil"/>
              <w:left w:val="nil"/>
              <w:bottom w:val="single" w:sz="4" w:space="0" w:color="auto"/>
              <w:right w:val="single" w:sz="4" w:space="0" w:color="auto"/>
            </w:tcBorders>
            <w:noWrap/>
            <w:hideMark/>
          </w:tcPr>
          <w:p w14:paraId="53D1C0E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Overfishing is not occurring</w:t>
            </w:r>
          </w:p>
        </w:tc>
      </w:tr>
      <w:tr w:rsidR="00396983" w:rsidRPr="00B845AF" w14:paraId="70F2806D"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2051A3FE"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009" w:type="pct"/>
            <w:tcBorders>
              <w:top w:val="nil"/>
              <w:left w:val="nil"/>
              <w:bottom w:val="single" w:sz="4" w:space="0" w:color="auto"/>
              <w:right w:val="single" w:sz="4" w:space="0" w:color="auto"/>
            </w:tcBorders>
            <w:noWrap/>
            <w:hideMark/>
          </w:tcPr>
          <w:p w14:paraId="770D005E"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Projections</w:t>
            </w:r>
          </w:p>
        </w:tc>
        <w:tc>
          <w:tcPr>
            <w:tcW w:w="1300" w:type="pct"/>
            <w:tcBorders>
              <w:top w:val="nil"/>
              <w:left w:val="nil"/>
              <w:bottom w:val="single" w:sz="4" w:space="0" w:color="auto"/>
              <w:right w:val="single" w:sz="4" w:space="0" w:color="auto"/>
            </w:tcBorders>
            <w:noWrap/>
            <w:hideMark/>
          </w:tcPr>
          <w:p w14:paraId="48D3FFB9"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SSB likely (&gt;60%) to remain above target</w:t>
            </w:r>
          </w:p>
        </w:tc>
        <w:tc>
          <w:tcPr>
            <w:tcW w:w="1874" w:type="pct"/>
            <w:tcBorders>
              <w:top w:val="nil"/>
              <w:left w:val="nil"/>
              <w:bottom w:val="single" w:sz="4" w:space="0" w:color="auto"/>
              <w:right w:val="single" w:sz="4" w:space="0" w:color="auto"/>
            </w:tcBorders>
            <w:noWrap/>
            <w:hideMark/>
          </w:tcPr>
          <w:p w14:paraId="08063381"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Stock unlikely (&lt;40%) to be overfished at current catch levels</w:t>
            </w:r>
          </w:p>
        </w:tc>
      </w:tr>
      <w:tr w:rsidR="00396983" w:rsidRPr="00B845AF" w14:paraId="4F1EDA5E"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2235C804"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009" w:type="pct"/>
            <w:tcBorders>
              <w:top w:val="nil"/>
              <w:left w:val="nil"/>
              <w:bottom w:val="single" w:sz="4" w:space="0" w:color="auto"/>
              <w:right w:val="single" w:sz="4" w:space="0" w:color="auto"/>
            </w:tcBorders>
            <w:noWrap/>
            <w:hideMark/>
          </w:tcPr>
          <w:p w14:paraId="04470305"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Recommendation</w:t>
            </w:r>
          </w:p>
        </w:tc>
        <w:tc>
          <w:tcPr>
            <w:tcW w:w="1300" w:type="pct"/>
            <w:tcBorders>
              <w:top w:val="nil"/>
              <w:left w:val="nil"/>
              <w:bottom w:val="single" w:sz="4" w:space="0" w:color="auto"/>
              <w:right w:val="single" w:sz="4" w:space="0" w:color="auto"/>
            </w:tcBorders>
            <w:noWrap/>
            <w:hideMark/>
          </w:tcPr>
          <w:p w14:paraId="334B87D2"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No action required to reach target biomass</w:t>
            </w:r>
          </w:p>
        </w:tc>
        <w:tc>
          <w:tcPr>
            <w:tcW w:w="1874" w:type="pct"/>
            <w:tcBorders>
              <w:top w:val="nil"/>
              <w:left w:val="nil"/>
              <w:bottom w:val="single" w:sz="4" w:space="0" w:color="auto"/>
              <w:right w:val="single" w:sz="4" w:space="0" w:color="auto"/>
            </w:tcBorders>
            <w:noWrap/>
            <w:hideMark/>
          </w:tcPr>
          <w:p w14:paraId="73A6552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36D74ADF" w14:textId="77777777" w:rsidTr="00BE2E66">
        <w:trPr>
          <w:trHeight w:val="300"/>
        </w:trPr>
        <w:tc>
          <w:tcPr>
            <w:tcW w:w="817"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6DAC305F"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Reference Points/MP</w:t>
            </w:r>
          </w:p>
        </w:tc>
        <w:tc>
          <w:tcPr>
            <w:tcW w:w="1009" w:type="pct"/>
            <w:tcBorders>
              <w:top w:val="nil"/>
              <w:left w:val="nil"/>
              <w:bottom w:val="single" w:sz="4" w:space="0" w:color="auto"/>
              <w:right w:val="single" w:sz="4" w:space="0" w:color="auto"/>
            </w:tcBorders>
            <w:shd w:val="clear" w:color="auto" w:fill="D9D9D9" w:themeFill="background1" w:themeFillShade="D9"/>
            <w:noWrap/>
            <w:hideMark/>
          </w:tcPr>
          <w:p w14:paraId="01C89FC1"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 </w:t>
            </w:r>
          </w:p>
        </w:tc>
        <w:tc>
          <w:tcPr>
            <w:tcW w:w="1300" w:type="pct"/>
            <w:tcBorders>
              <w:top w:val="nil"/>
              <w:left w:val="nil"/>
              <w:bottom w:val="single" w:sz="4" w:space="0" w:color="auto"/>
              <w:right w:val="single" w:sz="4" w:space="0" w:color="auto"/>
            </w:tcBorders>
            <w:shd w:val="clear" w:color="auto" w:fill="D9D9D9" w:themeFill="background1" w:themeFillShade="D9"/>
            <w:noWrap/>
            <w:hideMark/>
          </w:tcPr>
          <w:p w14:paraId="08A570AE"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Estimate [5%-95%]</w:t>
            </w:r>
          </w:p>
        </w:tc>
        <w:tc>
          <w:tcPr>
            <w:tcW w:w="1874" w:type="pct"/>
            <w:tcBorders>
              <w:top w:val="nil"/>
              <w:left w:val="nil"/>
              <w:bottom w:val="single" w:sz="4" w:space="0" w:color="auto"/>
              <w:right w:val="single" w:sz="4" w:space="0" w:color="auto"/>
            </w:tcBorders>
            <w:shd w:val="clear" w:color="auto" w:fill="D9D9D9" w:themeFill="background1" w:themeFillShade="D9"/>
            <w:noWrap/>
            <w:hideMark/>
          </w:tcPr>
          <w:p w14:paraId="4DE07437"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Comment</w:t>
            </w:r>
          </w:p>
        </w:tc>
      </w:tr>
      <w:tr w:rsidR="00396983" w:rsidRPr="00B845AF" w14:paraId="1696D145"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7C6022F3"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0F29D198"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525A7DDF"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31,651 mt [29,216 mt - 34,085 mt]</w:t>
            </w:r>
          </w:p>
        </w:tc>
        <w:tc>
          <w:tcPr>
            <w:tcW w:w="1874" w:type="pct"/>
            <w:tcBorders>
              <w:top w:val="nil"/>
              <w:left w:val="nil"/>
              <w:bottom w:val="single" w:sz="4" w:space="0" w:color="auto"/>
              <w:right w:val="single" w:sz="4" w:space="0" w:color="auto"/>
            </w:tcBorders>
            <w:noWrap/>
            <w:hideMark/>
          </w:tcPr>
          <w:p w14:paraId="749BC30D"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2D1B659E"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32E70E2C"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65177A1C"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20%SSB</w:t>
            </w:r>
            <w:r w:rsidRPr="00B845AF">
              <w:rPr>
                <w:rFonts w:asciiTheme="minorHAnsi" w:eastAsiaTheme="minorEastAsia" w:hAnsiTheme="minorHAnsi" w:cstheme="minorHAnsi"/>
                <w:szCs w:val="22"/>
                <w:vertAlign w:val="subscript"/>
                <w:lang w:eastAsia="ko-KR"/>
              </w:rPr>
              <w:t>F=0</w:t>
            </w:r>
          </w:p>
        </w:tc>
        <w:tc>
          <w:tcPr>
            <w:tcW w:w="1300" w:type="pct"/>
            <w:tcBorders>
              <w:top w:val="nil"/>
              <w:left w:val="nil"/>
              <w:bottom w:val="single" w:sz="4" w:space="0" w:color="auto"/>
              <w:right w:val="single" w:sz="4" w:space="0" w:color="auto"/>
            </w:tcBorders>
            <w:noWrap/>
            <w:hideMark/>
          </w:tcPr>
          <w:p w14:paraId="50B472FD"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38,506 mt [35,055 mt - 40,956 mt]</w:t>
            </w:r>
          </w:p>
        </w:tc>
        <w:tc>
          <w:tcPr>
            <w:tcW w:w="1874" w:type="pct"/>
            <w:tcBorders>
              <w:top w:val="nil"/>
              <w:left w:val="nil"/>
              <w:bottom w:val="single" w:sz="4" w:space="0" w:color="auto"/>
              <w:right w:val="single" w:sz="4" w:space="0" w:color="auto"/>
            </w:tcBorders>
            <w:noWrap/>
            <w:hideMark/>
          </w:tcPr>
          <w:p w14:paraId="35AC468D"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3763F31F"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0F162270"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5F33D377"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MSY</w:t>
            </w:r>
          </w:p>
        </w:tc>
        <w:tc>
          <w:tcPr>
            <w:tcW w:w="1300" w:type="pct"/>
            <w:tcBorders>
              <w:top w:val="nil"/>
              <w:left w:val="nil"/>
              <w:bottom w:val="single" w:sz="4" w:space="0" w:color="auto"/>
              <w:right w:val="single" w:sz="4" w:space="0" w:color="auto"/>
            </w:tcBorders>
            <w:noWrap/>
            <w:hideMark/>
          </w:tcPr>
          <w:p w14:paraId="62445F9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24,306 mt [ 22,805 mt - 25,806 mt]</w:t>
            </w:r>
          </w:p>
        </w:tc>
        <w:tc>
          <w:tcPr>
            <w:tcW w:w="1874" w:type="pct"/>
            <w:tcBorders>
              <w:top w:val="nil"/>
              <w:left w:val="nil"/>
              <w:bottom w:val="single" w:sz="4" w:space="0" w:color="auto"/>
              <w:right w:val="single" w:sz="4" w:space="0" w:color="auto"/>
            </w:tcBorders>
            <w:noWrap/>
            <w:hideMark/>
          </w:tcPr>
          <w:p w14:paraId="7413D1C9"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27E1941F"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1072C3B5"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Fishing Mortality</w:t>
            </w:r>
          </w:p>
        </w:tc>
        <w:tc>
          <w:tcPr>
            <w:tcW w:w="1009" w:type="pct"/>
            <w:tcBorders>
              <w:top w:val="nil"/>
              <w:left w:val="nil"/>
              <w:bottom w:val="single" w:sz="4" w:space="0" w:color="auto"/>
              <w:right w:val="single" w:sz="4" w:space="0" w:color="auto"/>
            </w:tcBorders>
            <w:noWrap/>
            <w:hideMark/>
          </w:tcPr>
          <w:p w14:paraId="1DCAA942"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02CC0CCA"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0.26 [0.25-0.27]</w:t>
            </w:r>
          </w:p>
        </w:tc>
        <w:tc>
          <w:tcPr>
            <w:tcW w:w="1874" w:type="pct"/>
            <w:tcBorders>
              <w:top w:val="nil"/>
              <w:left w:val="nil"/>
              <w:bottom w:val="single" w:sz="4" w:space="0" w:color="auto"/>
              <w:right w:val="single" w:sz="4" w:space="0" w:color="auto"/>
            </w:tcBorders>
            <w:noWrap/>
            <w:hideMark/>
          </w:tcPr>
          <w:p w14:paraId="6913639E"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33CF3671"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13FC2D13"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4C59F423"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20%SSBF=0</w:t>
            </w:r>
          </w:p>
        </w:tc>
        <w:tc>
          <w:tcPr>
            <w:tcW w:w="1300" w:type="pct"/>
            <w:tcBorders>
              <w:top w:val="nil"/>
              <w:left w:val="nil"/>
              <w:bottom w:val="single" w:sz="4" w:space="0" w:color="auto"/>
              <w:right w:val="single" w:sz="4" w:space="0" w:color="auto"/>
            </w:tcBorders>
            <w:noWrap/>
            <w:hideMark/>
          </w:tcPr>
          <w:p w14:paraId="31F7D26F"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0.23 [0.22 - 0.24]</w:t>
            </w:r>
          </w:p>
        </w:tc>
        <w:tc>
          <w:tcPr>
            <w:tcW w:w="1874" w:type="pct"/>
            <w:tcBorders>
              <w:top w:val="nil"/>
              <w:left w:val="nil"/>
              <w:bottom w:val="single" w:sz="4" w:space="0" w:color="auto"/>
              <w:right w:val="single" w:sz="4" w:space="0" w:color="auto"/>
            </w:tcBorders>
            <w:noWrap/>
            <w:hideMark/>
          </w:tcPr>
          <w:p w14:paraId="0B50BF80"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0953B49B" w14:textId="77777777" w:rsidTr="00BE2E66">
        <w:trPr>
          <w:trHeight w:val="300"/>
        </w:trPr>
        <w:tc>
          <w:tcPr>
            <w:tcW w:w="817"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2F685595"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Recent Estimates</w:t>
            </w:r>
          </w:p>
        </w:tc>
        <w:tc>
          <w:tcPr>
            <w:tcW w:w="1009" w:type="pct"/>
            <w:tcBorders>
              <w:top w:val="nil"/>
              <w:left w:val="nil"/>
              <w:bottom w:val="single" w:sz="4" w:space="0" w:color="auto"/>
              <w:right w:val="single" w:sz="4" w:space="0" w:color="auto"/>
            </w:tcBorders>
            <w:shd w:val="clear" w:color="auto" w:fill="D9D9D9" w:themeFill="background1" w:themeFillShade="D9"/>
            <w:noWrap/>
            <w:hideMark/>
          </w:tcPr>
          <w:p w14:paraId="50A80860"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shd w:val="clear" w:color="auto" w:fill="D9D9D9" w:themeFill="background1" w:themeFillShade="D9"/>
            <w:noWrap/>
            <w:hideMark/>
          </w:tcPr>
          <w:p w14:paraId="59561D2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shd w:val="clear" w:color="auto" w:fill="D9D9D9" w:themeFill="background1" w:themeFillShade="D9"/>
            <w:noWrap/>
            <w:hideMark/>
          </w:tcPr>
          <w:p w14:paraId="57A8FF37"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Recent Trend/projection</w:t>
            </w:r>
          </w:p>
        </w:tc>
      </w:tr>
      <w:tr w:rsidR="00396983" w:rsidRPr="00B845AF" w14:paraId="2D3343F8"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6B4446B1"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3558F0D5"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2022-2024</w:t>
            </w:r>
          </w:p>
        </w:tc>
        <w:tc>
          <w:tcPr>
            <w:tcW w:w="1300" w:type="pct"/>
            <w:tcBorders>
              <w:top w:val="nil"/>
              <w:left w:val="nil"/>
              <w:bottom w:val="single" w:sz="4" w:space="0" w:color="auto"/>
              <w:right w:val="single" w:sz="4" w:space="0" w:color="auto"/>
            </w:tcBorders>
            <w:noWrap/>
            <w:hideMark/>
          </w:tcPr>
          <w:p w14:paraId="301BF106"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44,331 mt [36,863 mt - 51,798 mt]</w:t>
            </w:r>
          </w:p>
        </w:tc>
        <w:tc>
          <w:tcPr>
            <w:tcW w:w="1874" w:type="pct"/>
            <w:tcBorders>
              <w:top w:val="nil"/>
              <w:left w:val="nil"/>
              <w:bottom w:val="single" w:sz="4" w:space="0" w:color="auto"/>
              <w:right w:val="single" w:sz="4" w:space="0" w:color="auto"/>
            </w:tcBorders>
            <w:noWrap/>
            <w:hideMark/>
          </w:tcPr>
          <w:p w14:paraId="3AFA3E42"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proofErr w:type="spellStart"/>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recent</w:t>
            </w:r>
            <w:proofErr w:type="spellEnd"/>
            <w:r w:rsidRPr="00B845AF">
              <w:rPr>
                <w:rFonts w:asciiTheme="minorHAnsi" w:eastAsiaTheme="minorEastAsia" w:hAnsiTheme="minorHAnsi" w:cstheme="minorHAnsi"/>
                <w:szCs w:val="22"/>
                <w:lang w:eastAsia="ko-KR"/>
              </w:rPr>
              <w:t xml:space="preserve"> stable/increasing</w:t>
            </w:r>
          </w:p>
        </w:tc>
      </w:tr>
      <w:tr w:rsidR="00396983" w:rsidRPr="00B845AF" w14:paraId="1579BF62"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22C33A57"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36A1ECC1"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2024</w:t>
            </w:r>
          </w:p>
        </w:tc>
        <w:tc>
          <w:tcPr>
            <w:tcW w:w="1300" w:type="pct"/>
            <w:tcBorders>
              <w:top w:val="nil"/>
              <w:left w:val="nil"/>
              <w:bottom w:val="single" w:sz="4" w:space="0" w:color="auto"/>
              <w:right w:val="single" w:sz="4" w:space="0" w:color="auto"/>
            </w:tcBorders>
            <w:noWrap/>
            <w:hideMark/>
          </w:tcPr>
          <w:p w14:paraId="7D047716"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47,</w:t>
            </w:r>
            <w:r w:rsidRPr="00B845AF" w:rsidDel="0087671A">
              <w:rPr>
                <w:rFonts w:asciiTheme="minorHAnsi" w:eastAsiaTheme="minorEastAsia" w:hAnsiTheme="minorHAnsi" w:cstheme="minorHAnsi"/>
                <w:szCs w:val="22"/>
                <w:lang w:eastAsia="ko-KR"/>
              </w:rPr>
              <w:t xml:space="preserve"> </w:t>
            </w:r>
            <w:r w:rsidRPr="00B845AF">
              <w:rPr>
                <w:rFonts w:asciiTheme="minorHAnsi" w:eastAsiaTheme="minorEastAsia" w:hAnsiTheme="minorHAnsi" w:cstheme="minorHAnsi"/>
                <w:szCs w:val="22"/>
                <w:lang w:eastAsia="ko-KR"/>
              </w:rPr>
              <w:t>244 mt [34,012 mt - 60,475 mt]</w:t>
            </w:r>
          </w:p>
        </w:tc>
        <w:tc>
          <w:tcPr>
            <w:tcW w:w="1874" w:type="pct"/>
            <w:tcBorders>
              <w:top w:val="nil"/>
              <w:left w:val="nil"/>
              <w:bottom w:val="single" w:sz="4" w:space="0" w:color="auto"/>
              <w:right w:val="single" w:sz="4" w:space="0" w:color="auto"/>
            </w:tcBorders>
            <w:noWrap/>
            <w:hideMark/>
          </w:tcPr>
          <w:p w14:paraId="2F597211"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current</w:t>
            </w:r>
            <w:r w:rsidRPr="00B845AF">
              <w:rPr>
                <w:rFonts w:asciiTheme="minorHAnsi" w:eastAsiaTheme="minorEastAsia" w:hAnsiTheme="minorHAnsi" w:cstheme="minorHAnsi"/>
                <w:szCs w:val="22"/>
                <w:lang w:eastAsia="ko-KR"/>
              </w:rPr>
              <w:t xml:space="preserve"> Increasing</w:t>
            </w:r>
          </w:p>
        </w:tc>
      </w:tr>
      <w:tr w:rsidR="00396983" w:rsidRPr="00B845AF" w14:paraId="4034DD5E"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7AAFD7D5"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Depletion</w:t>
            </w:r>
          </w:p>
        </w:tc>
        <w:tc>
          <w:tcPr>
            <w:tcW w:w="1009" w:type="pct"/>
            <w:tcBorders>
              <w:top w:val="nil"/>
              <w:left w:val="nil"/>
              <w:bottom w:val="single" w:sz="4" w:space="0" w:color="auto"/>
              <w:right w:val="single" w:sz="4" w:space="0" w:color="auto"/>
            </w:tcBorders>
            <w:noWrap/>
            <w:hideMark/>
          </w:tcPr>
          <w:p w14:paraId="46F8004A"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2022-2024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F=0</w:t>
            </w:r>
          </w:p>
        </w:tc>
        <w:tc>
          <w:tcPr>
            <w:tcW w:w="1300" w:type="pct"/>
            <w:tcBorders>
              <w:top w:val="nil"/>
              <w:left w:val="nil"/>
              <w:bottom w:val="single" w:sz="4" w:space="0" w:color="auto"/>
              <w:right w:val="single" w:sz="4" w:space="0" w:color="auto"/>
            </w:tcBorders>
            <w:noWrap/>
            <w:hideMark/>
          </w:tcPr>
          <w:p w14:paraId="332FDEBD"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0.23 [0.20 - 0.25]</w:t>
            </w:r>
          </w:p>
        </w:tc>
        <w:tc>
          <w:tcPr>
            <w:tcW w:w="1874" w:type="pct"/>
            <w:tcBorders>
              <w:top w:val="nil"/>
              <w:left w:val="nil"/>
              <w:bottom w:val="single" w:sz="4" w:space="0" w:color="auto"/>
              <w:right w:val="single" w:sz="4" w:space="0" w:color="auto"/>
            </w:tcBorders>
            <w:noWrap/>
          </w:tcPr>
          <w:p w14:paraId="4E80D9EB"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p>
        </w:tc>
      </w:tr>
      <w:tr w:rsidR="00396983" w:rsidRPr="00B845AF" w14:paraId="76F5E609"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471D468D"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49285C2C"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F=0</w:t>
            </w:r>
          </w:p>
        </w:tc>
        <w:tc>
          <w:tcPr>
            <w:tcW w:w="1300" w:type="pct"/>
            <w:tcBorders>
              <w:top w:val="nil"/>
              <w:left w:val="nil"/>
              <w:bottom w:val="single" w:sz="4" w:space="0" w:color="auto"/>
              <w:right w:val="single" w:sz="4" w:space="0" w:color="auto"/>
            </w:tcBorders>
            <w:noWrap/>
            <w:hideMark/>
          </w:tcPr>
          <w:p w14:paraId="2C64F2BB"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0.24 [0.18-0.30]</w:t>
            </w:r>
          </w:p>
        </w:tc>
        <w:tc>
          <w:tcPr>
            <w:tcW w:w="1874" w:type="pct"/>
            <w:tcBorders>
              <w:top w:val="nil"/>
              <w:left w:val="nil"/>
              <w:bottom w:val="single" w:sz="4" w:space="0" w:color="auto"/>
              <w:right w:val="single" w:sz="4" w:space="0" w:color="auto"/>
            </w:tcBorders>
            <w:noWrap/>
          </w:tcPr>
          <w:p w14:paraId="37C0B53E"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p>
        </w:tc>
      </w:tr>
      <w:tr w:rsidR="00396983" w:rsidRPr="00B845AF" w14:paraId="248C4277"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5286D14B"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Fishing Mortality</w:t>
            </w:r>
          </w:p>
        </w:tc>
        <w:tc>
          <w:tcPr>
            <w:tcW w:w="1009" w:type="pct"/>
            <w:tcBorders>
              <w:top w:val="nil"/>
              <w:left w:val="nil"/>
              <w:bottom w:val="single" w:sz="4" w:space="0" w:color="auto"/>
              <w:right w:val="single" w:sz="4" w:space="0" w:color="auto"/>
            </w:tcBorders>
            <w:noWrap/>
            <w:hideMark/>
          </w:tcPr>
          <w:p w14:paraId="191804FD"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2021-2023</w:t>
            </w:r>
          </w:p>
        </w:tc>
        <w:tc>
          <w:tcPr>
            <w:tcW w:w="1300" w:type="pct"/>
            <w:tcBorders>
              <w:top w:val="nil"/>
              <w:left w:val="nil"/>
              <w:bottom w:val="single" w:sz="4" w:space="0" w:color="auto"/>
              <w:right w:val="single" w:sz="4" w:space="0" w:color="auto"/>
            </w:tcBorders>
            <w:noWrap/>
            <w:hideMark/>
          </w:tcPr>
          <w:p w14:paraId="4984101D"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0.13 [0.11 - 0.15]</w:t>
            </w:r>
          </w:p>
        </w:tc>
        <w:tc>
          <w:tcPr>
            <w:tcW w:w="1874" w:type="pct"/>
            <w:tcBorders>
              <w:top w:val="nil"/>
              <w:left w:val="nil"/>
              <w:bottom w:val="single" w:sz="4" w:space="0" w:color="auto"/>
              <w:right w:val="single" w:sz="4" w:space="0" w:color="auto"/>
            </w:tcBorders>
            <w:noWrap/>
            <w:hideMark/>
          </w:tcPr>
          <w:p w14:paraId="6A6AF6D5"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recent</w:t>
            </w:r>
            <w:r w:rsidRPr="00B845AF">
              <w:rPr>
                <w:rFonts w:asciiTheme="minorHAnsi" w:eastAsiaTheme="minorEastAsia" w:hAnsiTheme="minorHAnsi" w:cstheme="minorHAnsi"/>
                <w:szCs w:val="22"/>
                <w:lang w:eastAsia="ko-KR"/>
              </w:rPr>
              <w:t xml:space="preserve"> decreasing</w:t>
            </w:r>
          </w:p>
        </w:tc>
      </w:tr>
      <w:tr w:rsidR="00396983" w:rsidRPr="00B845AF" w14:paraId="339B8BB5"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33DE9716"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7D57083F"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2024</w:t>
            </w:r>
          </w:p>
        </w:tc>
        <w:tc>
          <w:tcPr>
            <w:tcW w:w="1300" w:type="pct"/>
            <w:tcBorders>
              <w:top w:val="nil"/>
              <w:left w:val="nil"/>
              <w:bottom w:val="single" w:sz="4" w:space="0" w:color="auto"/>
              <w:right w:val="single" w:sz="4" w:space="0" w:color="auto"/>
            </w:tcBorders>
            <w:noWrap/>
            <w:hideMark/>
          </w:tcPr>
          <w:p w14:paraId="0EE45040"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0.14 [0.10 - 0.18]</w:t>
            </w:r>
          </w:p>
        </w:tc>
        <w:tc>
          <w:tcPr>
            <w:tcW w:w="1874" w:type="pct"/>
            <w:tcBorders>
              <w:top w:val="nil"/>
              <w:left w:val="nil"/>
              <w:bottom w:val="single" w:sz="4" w:space="0" w:color="auto"/>
              <w:right w:val="single" w:sz="4" w:space="0" w:color="auto"/>
            </w:tcBorders>
            <w:noWrap/>
            <w:hideMark/>
          </w:tcPr>
          <w:p w14:paraId="67E7685C"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current</w:t>
            </w:r>
            <w:r w:rsidRPr="00B845AF">
              <w:rPr>
                <w:rFonts w:asciiTheme="minorHAnsi" w:eastAsiaTheme="minorEastAsia" w:hAnsiTheme="minorHAnsi" w:cstheme="minorHAnsi"/>
                <w:szCs w:val="22"/>
                <w:lang w:eastAsia="ko-KR"/>
              </w:rPr>
              <w:t xml:space="preserve"> Stable</w:t>
            </w:r>
          </w:p>
        </w:tc>
      </w:tr>
      <w:tr w:rsidR="00396983" w:rsidRPr="00B845AF" w14:paraId="0314542D"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714B6303"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74225622"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2022-2024</w:t>
            </w:r>
          </w:p>
        </w:tc>
        <w:tc>
          <w:tcPr>
            <w:tcW w:w="1300" w:type="pct"/>
            <w:tcBorders>
              <w:top w:val="nil"/>
              <w:left w:val="nil"/>
              <w:bottom w:val="single" w:sz="4" w:space="0" w:color="auto"/>
              <w:right w:val="single" w:sz="4" w:space="0" w:color="auto"/>
            </w:tcBorders>
            <w:noWrap/>
            <w:hideMark/>
          </w:tcPr>
          <w:p w14:paraId="644F53DB"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15,011 mt</w:t>
            </w:r>
          </w:p>
        </w:tc>
        <w:tc>
          <w:tcPr>
            <w:tcW w:w="1874" w:type="pct"/>
            <w:tcBorders>
              <w:top w:val="nil"/>
              <w:left w:val="nil"/>
              <w:bottom w:val="single" w:sz="4" w:space="0" w:color="auto"/>
              <w:right w:val="single" w:sz="4" w:space="0" w:color="auto"/>
            </w:tcBorders>
            <w:noWrap/>
            <w:hideMark/>
          </w:tcPr>
          <w:p w14:paraId="5250DBFD"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 stable/increased in 2024</w:t>
            </w:r>
          </w:p>
        </w:tc>
      </w:tr>
      <w:tr w:rsidR="00396983" w:rsidRPr="00B845AF" w14:paraId="407F4427"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3DEDFEF7"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6E5B218C"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2024</w:t>
            </w:r>
          </w:p>
        </w:tc>
        <w:tc>
          <w:tcPr>
            <w:tcW w:w="1300" w:type="pct"/>
            <w:tcBorders>
              <w:top w:val="nil"/>
              <w:left w:val="nil"/>
              <w:bottom w:val="single" w:sz="4" w:space="0" w:color="auto"/>
              <w:right w:val="single" w:sz="4" w:space="0" w:color="auto"/>
            </w:tcBorders>
            <w:noWrap/>
            <w:hideMark/>
          </w:tcPr>
          <w:p w14:paraId="3922E43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17,738 mt</w:t>
            </w:r>
          </w:p>
        </w:tc>
        <w:tc>
          <w:tcPr>
            <w:tcW w:w="1874" w:type="pct"/>
            <w:tcBorders>
              <w:top w:val="nil"/>
              <w:left w:val="nil"/>
              <w:bottom w:val="single" w:sz="4" w:space="0" w:color="auto"/>
              <w:right w:val="single" w:sz="4" w:space="0" w:color="auto"/>
            </w:tcBorders>
            <w:noWrap/>
            <w:hideMark/>
          </w:tcPr>
          <w:p w14:paraId="0A9991E9"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 stable/increased in 2024</w:t>
            </w:r>
          </w:p>
        </w:tc>
      </w:tr>
      <w:tr w:rsidR="00396983" w:rsidRPr="00B845AF" w14:paraId="2F4AF668" w14:textId="77777777" w:rsidTr="00BE2E66">
        <w:trPr>
          <w:trHeight w:val="300"/>
        </w:trPr>
        <w:tc>
          <w:tcPr>
            <w:tcW w:w="817" w:type="pct"/>
            <w:tcBorders>
              <w:top w:val="nil"/>
              <w:left w:val="single" w:sz="4" w:space="0" w:color="auto"/>
              <w:bottom w:val="single" w:sz="4" w:space="0" w:color="auto"/>
              <w:right w:val="single" w:sz="4" w:space="0" w:color="auto"/>
            </w:tcBorders>
            <w:shd w:val="clear" w:color="auto" w:fill="D9D9D9" w:themeFill="background1" w:themeFillShade="D9"/>
            <w:noWrap/>
            <w:hideMark/>
          </w:tcPr>
          <w:p w14:paraId="6D6661F5"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Status</w:t>
            </w:r>
          </w:p>
        </w:tc>
        <w:tc>
          <w:tcPr>
            <w:tcW w:w="1009" w:type="pct"/>
            <w:tcBorders>
              <w:top w:val="nil"/>
              <w:left w:val="nil"/>
              <w:bottom w:val="single" w:sz="4" w:space="0" w:color="auto"/>
              <w:right w:val="single" w:sz="4" w:space="0" w:color="auto"/>
            </w:tcBorders>
            <w:shd w:val="clear" w:color="auto" w:fill="D9D9D9" w:themeFill="background1" w:themeFillShade="D9"/>
            <w:noWrap/>
            <w:hideMark/>
          </w:tcPr>
          <w:p w14:paraId="0BC8F363"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shd w:val="clear" w:color="auto" w:fill="D9D9D9" w:themeFill="background1" w:themeFillShade="D9"/>
            <w:noWrap/>
            <w:hideMark/>
          </w:tcPr>
          <w:p w14:paraId="372DC859"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shd w:val="clear" w:color="auto" w:fill="D9D9D9" w:themeFill="background1" w:themeFillShade="D9"/>
            <w:noWrap/>
            <w:hideMark/>
          </w:tcPr>
          <w:p w14:paraId="726BDEB0"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Likelihood</w:t>
            </w:r>
          </w:p>
        </w:tc>
      </w:tr>
      <w:tr w:rsidR="00396983" w:rsidRPr="00B845AF" w14:paraId="3189095A"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69DBBFFB"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2E60F5F9"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2022-2024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58C9199D"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1.39 [1.16 - 1.61]</w:t>
            </w:r>
          </w:p>
        </w:tc>
        <w:tc>
          <w:tcPr>
            <w:tcW w:w="1874" w:type="pct"/>
            <w:tcBorders>
              <w:top w:val="nil"/>
              <w:left w:val="nil"/>
              <w:bottom w:val="single" w:sz="4" w:space="0" w:color="auto"/>
              <w:right w:val="single" w:sz="4" w:space="0" w:color="auto"/>
            </w:tcBorders>
            <w:noWrap/>
            <w:hideMark/>
          </w:tcPr>
          <w:p w14:paraId="35E872CE"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Virtually certain (&gt;99% probability) to be above target</w:t>
            </w:r>
          </w:p>
        </w:tc>
      </w:tr>
      <w:tr w:rsidR="00396983" w:rsidRPr="00B845AF" w14:paraId="44A02EAE" w14:textId="77777777" w:rsidTr="00BE2E66">
        <w:trPr>
          <w:trHeight w:val="300"/>
        </w:trPr>
        <w:tc>
          <w:tcPr>
            <w:tcW w:w="817" w:type="pct"/>
            <w:vMerge/>
            <w:tcBorders>
              <w:top w:val="nil"/>
              <w:left w:val="single" w:sz="4" w:space="0" w:color="auto"/>
              <w:bottom w:val="single" w:sz="4" w:space="0" w:color="000000"/>
              <w:right w:val="single" w:sz="4" w:space="0" w:color="auto"/>
            </w:tcBorders>
            <w:hideMark/>
          </w:tcPr>
          <w:p w14:paraId="7138843B"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2035B0AA"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2022-2024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20%SSBF=0</w:t>
            </w:r>
          </w:p>
        </w:tc>
        <w:tc>
          <w:tcPr>
            <w:tcW w:w="1300" w:type="pct"/>
            <w:tcBorders>
              <w:top w:val="nil"/>
              <w:left w:val="nil"/>
              <w:bottom w:val="single" w:sz="4" w:space="0" w:color="auto"/>
              <w:right w:val="single" w:sz="4" w:space="0" w:color="auto"/>
            </w:tcBorders>
            <w:noWrap/>
            <w:hideMark/>
          </w:tcPr>
          <w:p w14:paraId="46C72C8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1.14 [0.95 - 1.33]</w:t>
            </w:r>
          </w:p>
        </w:tc>
        <w:tc>
          <w:tcPr>
            <w:tcW w:w="1874" w:type="pct"/>
            <w:tcBorders>
              <w:top w:val="nil"/>
              <w:left w:val="nil"/>
              <w:bottom w:val="single" w:sz="4" w:space="0" w:color="auto"/>
              <w:right w:val="single" w:sz="4" w:space="0" w:color="auto"/>
            </w:tcBorders>
            <w:noWrap/>
            <w:hideMark/>
          </w:tcPr>
          <w:p w14:paraId="6203BE16"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Very likely (&gt;90% probability) to be above target</w:t>
            </w:r>
          </w:p>
        </w:tc>
      </w:tr>
      <w:tr w:rsidR="00396983" w:rsidRPr="00B845AF" w14:paraId="24C8E3A5" w14:textId="77777777" w:rsidTr="00BE2E66">
        <w:trPr>
          <w:trHeight w:val="300"/>
        </w:trPr>
        <w:tc>
          <w:tcPr>
            <w:tcW w:w="817" w:type="pct"/>
            <w:vMerge w:val="restart"/>
            <w:tcBorders>
              <w:top w:val="nil"/>
              <w:left w:val="single" w:sz="4" w:space="0" w:color="auto"/>
              <w:bottom w:val="single" w:sz="4" w:space="0" w:color="000000"/>
              <w:right w:val="single" w:sz="4" w:space="0" w:color="auto"/>
            </w:tcBorders>
            <w:noWrap/>
            <w:hideMark/>
          </w:tcPr>
          <w:p w14:paraId="502B9723"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Fishing Mortality</w:t>
            </w:r>
          </w:p>
        </w:tc>
        <w:tc>
          <w:tcPr>
            <w:tcW w:w="1009" w:type="pct"/>
            <w:tcBorders>
              <w:top w:val="nil"/>
              <w:left w:val="nil"/>
              <w:bottom w:val="single" w:sz="4" w:space="0" w:color="auto"/>
              <w:right w:val="single" w:sz="4" w:space="0" w:color="auto"/>
            </w:tcBorders>
            <w:noWrap/>
            <w:hideMark/>
          </w:tcPr>
          <w:p w14:paraId="3351EFF5"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2021-2023</w:t>
            </w: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696F6677"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0.52 [0.45 - 0.59]</w:t>
            </w:r>
          </w:p>
        </w:tc>
        <w:tc>
          <w:tcPr>
            <w:tcW w:w="1874" w:type="pct"/>
            <w:tcBorders>
              <w:top w:val="nil"/>
              <w:left w:val="nil"/>
              <w:bottom w:val="single" w:sz="4" w:space="0" w:color="auto"/>
              <w:right w:val="single" w:sz="4" w:space="0" w:color="auto"/>
            </w:tcBorders>
            <w:noWrap/>
            <w:hideMark/>
          </w:tcPr>
          <w:p w14:paraId="71BAC29D"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Virtually certain (&gt;99% probability) to be below target</w:t>
            </w:r>
          </w:p>
        </w:tc>
      </w:tr>
      <w:tr w:rsidR="00396983" w:rsidRPr="00B845AF" w14:paraId="2707AA6F" w14:textId="77777777" w:rsidTr="00BE2E66">
        <w:trPr>
          <w:trHeight w:val="300"/>
        </w:trPr>
        <w:tc>
          <w:tcPr>
            <w:tcW w:w="817" w:type="pct"/>
            <w:vMerge/>
            <w:tcBorders>
              <w:top w:val="nil"/>
              <w:left w:val="single" w:sz="4" w:space="0" w:color="auto"/>
              <w:bottom w:val="single" w:sz="4" w:space="0" w:color="auto"/>
              <w:right w:val="single" w:sz="4" w:space="0" w:color="auto"/>
            </w:tcBorders>
            <w:hideMark/>
          </w:tcPr>
          <w:p w14:paraId="49D1E5EA"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szCs w:val="22"/>
                <w:lang w:eastAsia="ko-KR"/>
              </w:rPr>
            </w:pPr>
          </w:p>
        </w:tc>
        <w:tc>
          <w:tcPr>
            <w:tcW w:w="1009" w:type="pct"/>
            <w:tcBorders>
              <w:top w:val="nil"/>
              <w:left w:val="nil"/>
              <w:bottom w:val="single" w:sz="4" w:space="0" w:color="auto"/>
              <w:right w:val="single" w:sz="4" w:space="0" w:color="auto"/>
            </w:tcBorders>
            <w:noWrap/>
            <w:hideMark/>
          </w:tcPr>
          <w:p w14:paraId="146E2BF6"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2021-2023</w:t>
            </w:r>
            <w:r w:rsidRPr="00B845AF">
              <w:rPr>
                <w:rFonts w:asciiTheme="minorHAnsi" w:eastAsiaTheme="minorEastAsia" w:hAnsiTheme="minorHAnsi" w:cstheme="minorHAnsi"/>
                <w:szCs w:val="22"/>
                <w:lang w:eastAsia="ko-KR"/>
              </w:rPr>
              <w:t>/F</w:t>
            </w:r>
            <w:r w:rsidRPr="00B845AF">
              <w:rPr>
                <w:rFonts w:asciiTheme="minorHAnsi" w:eastAsiaTheme="minorEastAsia" w:hAnsiTheme="minorHAnsi" w:cstheme="minorHAnsi"/>
                <w:szCs w:val="22"/>
                <w:vertAlign w:val="subscript"/>
                <w:lang w:eastAsia="ko-KR"/>
              </w:rPr>
              <w:t>20%SSBF=0</w:t>
            </w:r>
          </w:p>
        </w:tc>
        <w:tc>
          <w:tcPr>
            <w:tcW w:w="1300" w:type="pct"/>
            <w:tcBorders>
              <w:top w:val="nil"/>
              <w:left w:val="nil"/>
              <w:bottom w:val="single" w:sz="4" w:space="0" w:color="auto"/>
              <w:right w:val="single" w:sz="4" w:space="0" w:color="auto"/>
            </w:tcBorders>
            <w:noWrap/>
            <w:hideMark/>
          </w:tcPr>
          <w:p w14:paraId="619929B2"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0.59 [0.50 - 0.68]</w:t>
            </w:r>
          </w:p>
        </w:tc>
        <w:tc>
          <w:tcPr>
            <w:tcW w:w="1874" w:type="pct"/>
            <w:tcBorders>
              <w:top w:val="nil"/>
              <w:left w:val="nil"/>
              <w:bottom w:val="single" w:sz="4" w:space="0" w:color="auto"/>
              <w:right w:val="single" w:sz="4" w:space="0" w:color="auto"/>
            </w:tcBorders>
            <w:noWrap/>
            <w:hideMark/>
          </w:tcPr>
          <w:p w14:paraId="4BE18DB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Virtually certain (&gt;99% probability) to be below target</w:t>
            </w:r>
          </w:p>
        </w:tc>
      </w:tr>
      <w:tr w:rsidR="00396983" w:rsidRPr="00B845AF" w14:paraId="0888A832" w14:textId="77777777" w:rsidTr="00BE2E66">
        <w:trPr>
          <w:trHeight w:val="300"/>
        </w:trPr>
        <w:tc>
          <w:tcPr>
            <w:tcW w:w="817" w:type="pct"/>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14:paraId="6C223A31"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Projections</w:t>
            </w:r>
          </w:p>
        </w:tc>
        <w:tc>
          <w:tcPr>
            <w:tcW w:w="1009"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781F49C8"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635E71B8"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single" w:sz="4" w:space="0" w:color="auto"/>
              <w:left w:val="nil"/>
              <w:bottom w:val="single" w:sz="4" w:space="0" w:color="auto"/>
              <w:right w:val="single" w:sz="4" w:space="0" w:color="auto"/>
            </w:tcBorders>
            <w:shd w:val="clear" w:color="auto" w:fill="D9D9D9" w:themeFill="background1" w:themeFillShade="D9"/>
            <w:noWrap/>
            <w:hideMark/>
          </w:tcPr>
          <w:p w14:paraId="393D879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2B3D8AD9"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7DA939F0"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w:t>
            </w:r>
            <w:r w:rsidRPr="00B845AF">
              <w:rPr>
                <w:rFonts w:asciiTheme="minorHAnsi" w:eastAsiaTheme="minorEastAsia" w:hAnsiTheme="minorHAnsi" w:cstheme="minorHAnsi"/>
                <w:b/>
                <w:bCs/>
                <w:szCs w:val="22"/>
                <w:vertAlign w:val="subscript"/>
                <w:lang w:eastAsia="ko-KR"/>
              </w:rPr>
              <w:t>2003</w:t>
            </w:r>
            <w:r w:rsidRPr="00B845AF">
              <w:rPr>
                <w:rFonts w:asciiTheme="minorHAnsi" w:eastAsiaTheme="minorEastAsia" w:hAnsiTheme="minorHAnsi" w:cstheme="minorHAnsi"/>
                <w:b/>
                <w:bCs/>
                <w:szCs w:val="22"/>
                <w:lang w:eastAsia="ko-KR"/>
              </w:rPr>
              <w:t xml:space="preserve"> (</w:t>
            </w:r>
            <w:proofErr w:type="spellStart"/>
            <w:r w:rsidRPr="00B845AF">
              <w:rPr>
                <w:rFonts w:asciiTheme="minorHAnsi" w:eastAsiaTheme="minorEastAsia" w:hAnsiTheme="minorHAnsi" w:cstheme="minorHAnsi"/>
                <w:b/>
                <w:bCs/>
                <w:szCs w:val="22"/>
                <w:lang w:eastAsia="ko-KR"/>
              </w:rPr>
              <w:t>F</w:t>
            </w:r>
            <w:r w:rsidRPr="00B845AF">
              <w:rPr>
                <w:rFonts w:asciiTheme="minorHAnsi" w:eastAsiaTheme="minorEastAsia" w:hAnsiTheme="minorHAnsi" w:cstheme="minorHAnsi"/>
                <w:b/>
                <w:bCs/>
                <w:szCs w:val="22"/>
                <w:vertAlign w:val="subscript"/>
                <w:lang w:eastAsia="ko-KR"/>
              </w:rPr>
              <w:t>high</w:t>
            </w:r>
            <w:proofErr w:type="spellEnd"/>
            <w:r w:rsidRPr="00B845AF">
              <w:rPr>
                <w:rFonts w:asciiTheme="minorHAnsi" w:eastAsiaTheme="minorEastAsia" w:hAnsiTheme="minorHAnsi" w:cstheme="minorHAnsi"/>
                <w:b/>
                <w:bCs/>
                <w:szCs w:val="22"/>
                <w:lang w:eastAsia="ko-KR"/>
              </w:rPr>
              <w:t>) = 0.23</w:t>
            </w:r>
          </w:p>
        </w:tc>
        <w:tc>
          <w:tcPr>
            <w:tcW w:w="1009" w:type="pct"/>
            <w:tcBorders>
              <w:top w:val="nil"/>
              <w:left w:val="nil"/>
              <w:bottom w:val="single" w:sz="4" w:space="0" w:color="auto"/>
              <w:right w:val="single" w:sz="4" w:space="0" w:color="auto"/>
            </w:tcBorders>
            <w:noWrap/>
            <w:hideMark/>
          </w:tcPr>
          <w:p w14:paraId="602099BB"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noWrap/>
            <w:hideMark/>
          </w:tcPr>
          <w:p w14:paraId="5DB68A5A"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noWrap/>
            <w:hideMark/>
          </w:tcPr>
          <w:p w14:paraId="3EE67C5B"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50D9CF64"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73046DDC"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lastRenderedPageBreak/>
              <w:t>Biomass</w:t>
            </w:r>
          </w:p>
        </w:tc>
        <w:tc>
          <w:tcPr>
            <w:tcW w:w="1009" w:type="pct"/>
            <w:tcBorders>
              <w:top w:val="nil"/>
              <w:left w:val="nil"/>
              <w:bottom w:val="single" w:sz="4" w:space="0" w:color="auto"/>
              <w:right w:val="single" w:sz="4" w:space="0" w:color="auto"/>
            </w:tcBorders>
            <w:noWrap/>
            <w:hideMark/>
          </w:tcPr>
          <w:p w14:paraId="0BF7989F"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2034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34A6BD71"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1.23 [0.86 – 1.66]</w:t>
            </w:r>
          </w:p>
        </w:tc>
        <w:tc>
          <w:tcPr>
            <w:tcW w:w="1874" w:type="pct"/>
            <w:tcBorders>
              <w:top w:val="nil"/>
              <w:left w:val="nil"/>
              <w:bottom w:val="single" w:sz="4" w:space="0" w:color="auto"/>
              <w:right w:val="single" w:sz="4" w:space="0" w:color="auto"/>
            </w:tcBorders>
            <w:noWrap/>
            <w:hideMark/>
          </w:tcPr>
          <w:p w14:paraId="7BBE5BE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Likely (&gt;60% probability) to be above target</w:t>
            </w:r>
          </w:p>
        </w:tc>
      </w:tr>
      <w:tr w:rsidR="00396983" w:rsidRPr="00B845AF" w14:paraId="014A51A1"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4EF61B00"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5276A983"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2034</w:t>
            </w:r>
          </w:p>
        </w:tc>
        <w:tc>
          <w:tcPr>
            <w:tcW w:w="1300" w:type="pct"/>
            <w:tcBorders>
              <w:top w:val="nil"/>
              <w:left w:val="nil"/>
              <w:bottom w:val="single" w:sz="4" w:space="0" w:color="auto"/>
              <w:right w:val="single" w:sz="4" w:space="0" w:color="auto"/>
            </w:tcBorders>
            <w:noWrap/>
            <w:hideMark/>
          </w:tcPr>
          <w:p w14:paraId="2D51F09D"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24,001 mt [22,782 mt – 25,158 mt]</w:t>
            </w:r>
          </w:p>
        </w:tc>
        <w:tc>
          <w:tcPr>
            <w:tcW w:w="1874" w:type="pct"/>
            <w:tcBorders>
              <w:top w:val="nil"/>
              <w:left w:val="nil"/>
              <w:bottom w:val="single" w:sz="4" w:space="0" w:color="auto"/>
              <w:right w:val="single" w:sz="4" w:space="0" w:color="auto"/>
            </w:tcBorders>
            <w:noWrap/>
            <w:hideMark/>
          </w:tcPr>
          <w:p w14:paraId="3B8891B3"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1F5A7E1B"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1B2A398C"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 0.25</w:t>
            </w:r>
          </w:p>
        </w:tc>
        <w:tc>
          <w:tcPr>
            <w:tcW w:w="1009" w:type="pct"/>
            <w:tcBorders>
              <w:top w:val="nil"/>
              <w:left w:val="nil"/>
              <w:bottom w:val="single" w:sz="4" w:space="0" w:color="auto"/>
              <w:right w:val="single" w:sz="4" w:space="0" w:color="auto"/>
            </w:tcBorders>
            <w:noWrap/>
            <w:hideMark/>
          </w:tcPr>
          <w:p w14:paraId="3DEE8235"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noWrap/>
            <w:hideMark/>
          </w:tcPr>
          <w:p w14:paraId="02060223"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noWrap/>
            <w:hideMark/>
          </w:tcPr>
          <w:p w14:paraId="3B8CB076"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246DB81E"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6DA4971D"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5E463469"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2034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46558A2B"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1.09 [0.99 – 1.15]</w:t>
            </w:r>
          </w:p>
        </w:tc>
        <w:tc>
          <w:tcPr>
            <w:tcW w:w="1874" w:type="pct"/>
            <w:tcBorders>
              <w:top w:val="nil"/>
              <w:left w:val="nil"/>
              <w:bottom w:val="single" w:sz="4" w:space="0" w:color="auto"/>
              <w:right w:val="single" w:sz="4" w:space="0" w:color="auto"/>
            </w:tcBorders>
            <w:noWrap/>
            <w:hideMark/>
          </w:tcPr>
          <w:p w14:paraId="5AA26E48"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Very likely (&gt;90% probability) to be above target</w:t>
            </w:r>
          </w:p>
        </w:tc>
      </w:tr>
      <w:tr w:rsidR="00396983" w:rsidRPr="00B845AF" w14:paraId="2ED1DA78"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203D2952"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65670122"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2034</w:t>
            </w:r>
          </w:p>
        </w:tc>
        <w:tc>
          <w:tcPr>
            <w:tcW w:w="1300" w:type="pct"/>
            <w:tcBorders>
              <w:top w:val="nil"/>
              <w:left w:val="nil"/>
              <w:bottom w:val="single" w:sz="4" w:space="0" w:color="auto"/>
              <w:right w:val="single" w:sz="4" w:space="0" w:color="auto"/>
            </w:tcBorders>
            <w:noWrap/>
            <w:hideMark/>
          </w:tcPr>
          <w:p w14:paraId="3BA36718"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24,705 mt [23,129 mt – 27,448 mt]</w:t>
            </w:r>
          </w:p>
        </w:tc>
        <w:tc>
          <w:tcPr>
            <w:tcW w:w="1874" w:type="pct"/>
            <w:tcBorders>
              <w:top w:val="nil"/>
              <w:left w:val="nil"/>
              <w:bottom w:val="single" w:sz="4" w:space="0" w:color="auto"/>
              <w:right w:val="single" w:sz="4" w:space="0" w:color="auto"/>
            </w:tcBorders>
            <w:noWrap/>
            <w:hideMark/>
          </w:tcPr>
          <w:p w14:paraId="06B6D339"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1DCE45E6"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43B7003D"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w:t>
            </w:r>
            <w:r w:rsidRPr="00B845AF">
              <w:rPr>
                <w:rFonts w:asciiTheme="minorHAnsi" w:eastAsiaTheme="minorEastAsia" w:hAnsiTheme="minorHAnsi" w:cstheme="minorHAnsi"/>
                <w:b/>
                <w:bCs/>
                <w:szCs w:val="22"/>
                <w:vertAlign w:val="subscript"/>
                <w:lang w:eastAsia="ko-KR"/>
              </w:rPr>
              <w:t>recent</w:t>
            </w:r>
            <w:r w:rsidRPr="00B845AF">
              <w:rPr>
                <w:rFonts w:asciiTheme="minorHAnsi" w:eastAsiaTheme="minorEastAsia" w:hAnsiTheme="minorHAnsi" w:cstheme="minorHAnsi"/>
                <w:b/>
                <w:bCs/>
                <w:szCs w:val="22"/>
                <w:lang w:eastAsia="ko-KR"/>
              </w:rPr>
              <w:t xml:space="preserve"> = 0.13</w:t>
            </w:r>
          </w:p>
        </w:tc>
        <w:tc>
          <w:tcPr>
            <w:tcW w:w="1009" w:type="pct"/>
            <w:tcBorders>
              <w:top w:val="nil"/>
              <w:left w:val="nil"/>
              <w:bottom w:val="single" w:sz="4" w:space="0" w:color="auto"/>
              <w:right w:val="single" w:sz="4" w:space="0" w:color="auto"/>
            </w:tcBorders>
            <w:noWrap/>
            <w:hideMark/>
          </w:tcPr>
          <w:p w14:paraId="5E910B69"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noWrap/>
            <w:hideMark/>
          </w:tcPr>
          <w:p w14:paraId="7D6FA08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noWrap/>
            <w:hideMark/>
          </w:tcPr>
          <w:p w14:paraId="3E6E054E"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147F303D"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0D5C43C0"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279FE342"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2034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3BDE31E5"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2.23 [1.68 – 2.69]</w:t>
            </w:r>
          </w:p>
        </w:tc>
        <w:tc>
          <w:tcPr>
            <w:tcW w:w="1874" w:type="pct"/>
            <w:tcBorders>
              <w:top w:val="nil"/>
              <w:left w:val="nil"/>
              <w:bottom w:val="single" w:sz="4" w:space="0" w:color="auto"/>
              <w:right w:val="single" w:sz="4" w:space="0" w:color="auto"/>
            </w:tcBorders>
            <w:noWrap/>
            <w:hideMark/>
          </w:tcPr>
          <w:p w14:paraId="562CECA4"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Virtually certain (&gt;99% probability) to be above target</w:t>
            </w:r>
          </w:p>
        </w:tc>
      </w:tr>
      <w:tr w:rsidR="00396983" w:rsidRPr="00B845AF" w14:paraId="4793B7EF"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6E6A53C6"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001CB4F1"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2034</w:t>
            </w:r>
          </w:p>
        </w:tc>
        <w:tc>
          <w:tcPr>
            <w:tcW w:w="1300" w:type="pct"/>
            <w:tcBorders>
              <w:top w:val="nil"/>
              <w:left w:val="nil"/>
              <w:bottom w:val="single" w:sz="4" w:space="0" w:color="auto"/>
              <w:right w:val="single" w:sz="4" w:space="0" w:color="auto"/>
            </w:tcBorders>
            <w:noWrap/>
            <w:hideMark/>
          </w:tcPr>
          <w:p w14:paraId="68562524"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19,514 mt [18,509 mt – 20,949 mt]</w:t>
            </w:r>
          </w:p>
        </w:tc>
        <w:tc>
          <w:tcPr>
            <w:tcW w:w="1874" w:type="pct"/>
            <w:tcBorders>
              <w:top w:val="nil"/>
              <w:left w:val="nil"/>
              <w:bottom w:val="single" w:sz="4" w:space="0" w:color="auto"/>
              <w:right w:val="single" w:sz="4" w:space="0" w:color="auto"/>
            </w:tcBorders>
            <w:noWrap/>
            <w:hideMark/>
          </w:tcPr>
          <w:p w14:paraId="4BDBBAA2"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4996C152"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090438EC" w14:textId="77777777" w:rsidR="00396983" w:rsidRPr="00B845AF" w:rsidRDefault="00396983" w:rsidP="00835632">
            <w:pPr>
              <w:pStyle w:val="ListParagraph"/>
              <w:widowControl w:val="0"/>
              <w:kinsoku w:val="0"/>
              <w:overflowPunct w:val="0"/>
              <w:autoSpaceDE w:val="0"/>
              <w:autoSpaceDN w:val="0"/>
              <w:adjustRightInd w:val="0"/>
              <w:snapToGrid w:val="0"/>
              <w:ind w:left="-19"/>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F</w:t>
            </w:r>
            <w:r w:rsidRPr="00B845AF">
              <w:rPr>
                <w:rFonts w:asciiTheme="minorHAnsi" w:eastAsiaTheme="minorEastAsia" w:hAnsiTheme="minorHAnsi" w:cstheme="minorHAnsi"/>
                <w:b/>
                <w:bCs/>
                <w:szCs w:val="22"/>
                <w:vertAlign w:val="subscript"/>
                <w:lang w:eastAsia="ko-KR"/>
              </w:rPr>
              <w:t>30%SPR</w:t>
            </w:r>
          </w:p>
        </w:tc>
        <w:tc>
          <w:tcPr>
            <w:tcW w:w="1009" w:type="pct"/>
            <w:tcBorders>
              <w:top w:val="nil"/>
              <w:left w:val="nil"/>
              <w:bottom w:val="single" w:sz="4" w:space="0" w:color="auto"/>
              <w:right w:val="single" w:sz="4" w:space="0" w:color="auto"/>
            </w:tcBorders>
            <w:noWrap/>
            <w:hideMark/>
          </w:tcPr>
          <w:p w14:paraId="02087B32"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300" w:type="pct"/>
            <w:tcBorders>
              <w:top w:val="nil"/>
              <w:left w:val="nil"/>
              <w:bottom w:val="single" w:sz="4" w:space="0" w:color="auto"/>
              <w:right w:val="single" w:sz="4" w:space="0" w:color="auto"/>
            </w:tcBorders>
            <w:noWrap/>
            <w:hideMark/>
          </w:tcPr>
          <w:p w14:paraId="1A6AEF41"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c>
          <w:tcPr>
            <w:tcW w:w="1874" w:type="pct"/>
            <w:tcBorders>
              <w:top w:val="nil"/>
              <w:left w:val="nil"/>
              <w:bottom w:val="single" w:sz="4" w:space="0" w:color="auto"/>
              <w:right w:val="single" w:sz="4" w:space="0" w:color="auto"/>
            </w:tcBorders>
            <w:noWrap/>
            <w:hideMark/>
          </w:tcPr>
          <w:p w14:paraId="13694C09"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r w:rsidR="00396983" w:rsidRPr="00B845AF" w14:paraId="159A2B25"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37834EA4"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Biomass</w:t>
            </w:r>
          </w:p>
        </w:tc>
        <w:tc>
          <w:tcPr>
            <w:tcW w:w="1009" w:type="pct"/>
            <w:tcBorders>
              <w:top w:val="nil"/>
              <w:left w:val="nil"/>
              <w:bottom w:val="single" w:sz="4" w:space="0" w:color="auto"/>
              <w:right w:val="single" w:sz="4" w:space="0" w:color="auto"/>
            </w:tcBorders>
            <w:noWrap/>
            <w:hideMark/>
          </w:tcPr>
          <w:p w14:paraId="436CB9FA"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2034</w:t>
            </w:r>
            <w:r w:rsidRPr="00B845AF">
              <w:rPr>
                <w:rFonts w:asciiTheme="minorHAnsi" w:eastAsiaTheme="minorEastAsia" w:hAnsiTheme="minorHAnsi" w:cstheme="minorHAnsi"/>
                <w:szCs w:val="22"/>
                <w:lang w:eastAsia="ko-KR"/>
              </w:rPr>
              <w:t>/SSB</w:t>
            </w:r>
            <w:r w:rsidRPr="00B845AF">
              <w:rPr>
                <w:rFonts w:asciiTheme="minorHAnsi" w:eastAsiaTheme="minorEastAsia" w:hAnsiTheme="minorHAnsi" w:cstheme="minorHAnsi"/>
                <w:szCs w:val="22"/>
                <w:vertAlign w:val="subscript"/>
                <w:lang w:eastAsia="ko-KR"/>
              </w:rPr>
              <w:t>MSY</w:t>
            </w:r>
          </w:p>
        </w:tc>
        <w:tc>
          <w:tcPr>
            <w:tcW w:w="1300" w:type="pct"/>
            <w:tcBorders>
              <w:top w:val="nil"/>
              <w:left w:val="nil"/>
              <w:bottom w:val="single" w:sz="4" w:space="0" w:color="auto"/>
              <w:right w:val="single" w:sz="4" w:space="0" w:color="auto"/>
            </w:tcBorders>
            <w:noWrap/>
            <w:hideMark/>
          </w:tcPr>
          <w:p w14:paraId="3D2781D7"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1.01 [0.98 – 1.04]</w:t>
            </w:r>
          </w:p>
        </w:tc>
        <w:tc>
          <w:tcPr>
            <w:tcW w:w="1874" w:type="pct"/>
            <w:tcBorders>
              <w:top w:val="nil"/>
              <w:left w:val="nil"/>
              <w:bottom w:val="single" w:sz="4" w:space="0" w:color="auto"/>
              <w:right w:val="single" w:sz="4" w:space="0" w:color="auto"/>
            </w:tcBorders>
            <w:noWrap/>
            <w:hideMark/>
          </w:tcPr>
          <w:p w14:paraId="2FACDCAA"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Likely (&gt;60% probability) to be above target</w:t>
            </w:r>
          </w:p>
        </w:tc>
      </w:tr>
      <w:tr w:rsidR="00396983" w:rsidRPr="00B845AF" w14:paraId="01CDD832" w14:textId="77777777" w:rsidTr="00BE2E66">
        <w:trPr>
          <w:trHeight w:val="300"/>
        </w:trPr>
        <w:tc>
          <w:tcPr>
            <w:tcW w:w="817" w:type="pct"/>
            <w:tcBorders>
              <w:top w:val="nil"/>
              <w:left w:val="single" w:sz="4" w:space="0" w:color="auto"/>
              <w:bottom w:val="single" w:sz="4" w:space="0" w:color="auto"/>
              <w:right w:val="single" w:sz="4" w:space="0" w:color="auto"/>
            </w:tcBorders>
            <w:noWrap/>
            <w:hideMark/>
          </w:tcPr>
          <w:p w14:paraId="5675E58F" w14:textId="77777777" w:rsidR="00396983" w:rsidRPr="00B845AF" w:rsidRDefault="00396983" w:rsidP="00835632">
            <w:pPr>
              <w:pStyle w:val="ListParagraph"/>
              <w:widowControl w:val="0"/>
              <w:kinsoku w:val="0"/>
              <w:overflowPunct w:val="0"/>
              <w:autoSpaceDE w:val="0"/>
              <w:autoSpaceDN w:val="0"/>
              <w:adjustRightInd w:val="0"/>
              <w:snapToGrid w:val="0"/>
              <w:ind w:left="161"/>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Catch</w:t>
            </w:r>
          </w:p>
        </w:tc>
        <w:tc>
          <w:tcPr>
            <w:tcW w:w="1009" w:type="pct"/>
            <w:tcBorders>
              <w:top w:val="nil"/>
              <w:left w:val="nil"/>
              <w:bottom w:val="single" w:sz="4" w:space="0" w:color="auto"/>
              <w:right w:val="single" w:sz="4" w:space="0" w:color="auto"/>
            </w:tcBorders>
            <w:noWrap/>
            <w:hideMark/>
          </w:tcPr>
          <w:p w14:paraId="03F484DB" w14:textId="77777777" w:rsidR="00396983" w:rsidRPr="00B845AF" w:rsidRDefault="00396983" w:rsidP="00835632">
            <w:pPr>
              <w:pStyle w:val="ListParagraph"/>
              <w:widowControl w:val="0"/>
              <w:kinsoku w:val="0"/>
              <w:overflowPunct w:val="0"/>
              <w:autoSpaceDE w:val="0"/>
              <w:autoSpaceDN w:val="0"/>
              <w:adjustRightInd w:val="0"/>
              <w:snapToGrid w:val="0"/>
              <w:ind w:left="-45"/>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C</w:t>
            </w:r>
            <w:r w:rsidRPr="00B845AF">
              <w:rPr>
                <w:rFonts w:asciiTheme="minorHAnsi" w:eastAsiaTheme="minorEastAsia" w:hAnsiTheme="minorHAnsi" w:cstheme="minorHAnsi"/>
                <w:szCs w:val="22"/>
                <w:vertAlign w:val="subscript"/>
                <w:lang w:eastAsia="ko-KR"/>
              </w:rPr>
              <w:t>2034</w:t>
            </w:r>
          </w:p>
        </w:tc>
        <w:tc>
          <w:tcPr>
            <w:tcW w:w="1300" w:type="pct"/>
            <w:tcBorders>
              <w:top w:val="nil"/>
              <w:left w:val="nil"/>
              <w:bottom w:val="single" w:sz="4" w:space="0" w:color="auto"/>
              <w:right w:val="single" w:sz="4" w:space="0" w:color="auto"/>
            </w:tcBorders>
            <w:noWrap/>
            <w:hideMark/>
          </w:tcPr>
          <w:p w14:paraId="56997A3B" w14:textId="77777777" w:rsidR="00396983" w:rsidRPr="00B845AF" w:rsidRDefault="00396983" w:rsidP="00835632">
            <w:pPr>
              <w:pStyle w:val="ListParagraph"/>
              <w:widowControl w:val="0"/>
              <w:kinsoku w:val="0"/>
              <w:overflowPunct w:val="0"/>
              <w:autoSpaceDE w:val="0"/>
              <w:autoSpaceDN w:val="0"/>
              <w:adjustRightInd w:val="0"/>
              <w:snapToGrid w:val="0"/>
              <w:ind w:left="8"/>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22,874 mt [21,217 mt – 25,493 mt]</w:t>
            </w:r>
          </w:p>
        </w:tc>
        <w:tc>
          <w:tcPr>
            <w:tcW w:w="1874" w:type="pct"/>
            <w:tcBorders>
              <w:top w:val="nil"/>
              <w:left w:val="nil"/>
              <w:bottom w:val="single" w:sz="4" w:space="0" w:color="auto"/>
              <w:right w:val="single" w:sz="4" w:space="0" w:color="auto"/>
            </w:tcBorders>
            <w:noWrap/>
            <w:hideMark/>
          </w:tcPr>
          <w:p w14:paraId="58F31DDF" w14:textId="77777777" w:rsidR="00396983" w:rsidRPr="00B845AF" w:rsidRDefault="00396983" w:rsidP="00835632">
            <w:pPr>
              <w:pStyle w:val="ListParagraph"/>
              <w:widowControl w:val="0"/>
              <w:kinsoku w:val="0"/>
              <w:overflowPunct w:val="0"/>
              <w:autoSpaceDE w:val="0"/>
              <w:autoSpaceDN w:val="0"/>
              <w:adjustRightInd w:val="0"/>
              <w:snapToGrid w:val="0"/>
              <w:ind w:left="0"/>
              <w:rPr>
                <w:rFonts w:asciiTheme="minorHAnsi" w:eastAsiaTheme="minorEastAsia" w:hAnsiTheme="minorHAnsi" w:cstheme="minorHAnsi"/>
                <w:szCs w:val="22"/>
                <w:lang w:eastAsia="ko-KR"/>
              </w:rPr>
            </w:pPr>
            <w:r w:rsidRPr="00B845AF">
              <w:rPr>
                <w:rFonts w:asciiTheme="minorHAnsi" w:eastAsiaTheme="minorEastAsia" w:hAnsiTheme="minorHAnsi" w:cstheme="minorHAnsi"/>
                <w:szCs w:val="22"/>
                <w:lang w:eastAsia="ko-KR"/>
              </w:rPr>
              <w:t> </w:t>
            </w:r>
          </w:p>
        </w:tc>
      </w:tr>
    </w:tbl>
    <w:p w14:paraId="3722342C" w14:textId="77777777" w:rsidR="00396983" w:rsidRPr="00B845AF" w:rsidRDefault="00396983" w:rsidP="00883A86">
      <w:pPr>
        <w:pStyle w:val="ListParagraph"/>
        <w:widowControl w:val="0"/>
        <w:kinsoku w:val="0"/>
        <w:overflowPunct w:val="0"/>
        <w:autoSpaceDE w:val="0"/>
        <w:autoSpaceDN w:val="0"/>
        <w:adjustRightInd w:val="0"/>
        <w:snapToGrid w:val="0"/>
        <w:jc w:val="both"/>
        <w:rPr>
          <w:rFonts w:asciiTheme="minorHAnsi" w:eastAsia="MS Mincho" w:hAnsiTheme="minorHAnsi" w:cstheme="minorHAnsi"/>
          <w:szCs w:val="22"/>
          <w:lang w:eastAsia="ja-JP"/>
        </w:rPr>
      </w:pPr>
    </w:p>
    <w:p w14:paraId="452DC136"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sectPr w:rsidR="00883A86" w:rsidRPr="00B845AF" w:rsidSect="00F14811">
          <w:pgSz w:w="12240" w:h="15840" w:code="1"/>
          <w:pgMar w:top="1440" w:right="1440" w:bottom="1440" w:left="1440" w:header="720" w:footer="720" w:gutter="0"/>
          <w:cols w:space="720"/>
          <w:docGrid w:linePitch="360"/>
        </w:sectPr>
      </w:pPr>
    </w:p>
    <w:p w14:paraId="075A0611" w14:textId="00415C64"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6AF83844" wp14:editId="0388DBB9">
            <wp:extent cx="4572000" cy="45720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23A77EAA" w14:textId="5F96075E" w:rsidR="00883A86" w:rsidRPr="00B845AF" w:rsidRDefault="00883A86" w:rsidP="00BE2E66">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BUM-05.</w:t>
      </w:r>
      <w:r w:rsidRPr="00B845AF">
        <w:rPr>
          <w:rFonts w:asciiTheme="minorHAnsi" w:eastAsiaTheme="minorEastAsia" w:hAnsiTheme="minorHAnsi" w:cstheme="minorHAnsi"/>
          <w:iCs/>
          <w:szCs w:val="22"/>
          <w:lang w:eastAsia="ko-KR"/>
        </w:rPr>
        <w:t xml:space="preserve"> Kobe plot of the </w:t>
      </w:r>
      <w:r w:rsidR="004E2763" w:rsidRPr="00B845AF">
        <w:rPr>
          <w:rFonts w:asciiTheme="minorHAnsi" w:eastAsiaTheme="minorEastAsia" w:hAnsiTheme="minorHAnsi" w:cstheme="minorHAnsi"/>
          <w:iCs/>
          <w:szCs w:val="22"/>
          <w:lang w:eastAsia="ko-KR"/>
        </w:rPr>
        <w:t>time series</w:t>
      </w:r>
      <w:r w:rsidR="004E2763" w:rsidRPr="00B845AF">
        <w:rPr>
          <w:rFonts w:asciiTheme="minorHAnsi" w:eastAsiaTheme="minorEastAsia" w:hAnsiTheme="minorHAnsi" w:cstheme="minorHAnsi"/>
          <w:iCs/>
          <w:szCs w:val="22"/>
          <w:lang w:eastAsia="ko-KR"/>
        </w:rPr>
        <w:t xml:space="preserve"> </w:t>
      </w:r>
      <w:r w:rsidRPr="00B845AF">
        <w:rPr>
          <w:rFonts w:asciiTheme="minorHAnsi" w:eastAsiaTheme="minorEastAsia" w:hAnsiTheme="minorHAnsi" w:cstheme="minorHAnsi"/>
          <w:iCs/>
          <w:szCs w:val="22"/>
          <w:lang w:eastAsia="ko-KR"/>
        </w:rPr>
        <w:t>of estimates of mature female spawning stock biomass (SSB) and fishing mortality rate (as exploitation of biomass) relative to MSY values (SSB</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and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respectively) of Pacific blue marlin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xml:space="preserve">) during 1971–2024. The earliest white symbol indicates 1971, subsequent years are labeled in 5-year increments. Shading indicates 50% (innermost), 80%, and 95% confidence intervals of </w:t>
      </w:r>
      <w:r w:rsidR="004E2763" w:rsidRPr="00B845AF">
        <w:rPr>
          <w:rFonts w:asciiTheme="minorHAnsi" w:eastAsiaTheme="minorEastAsia" w:hAnsiTheme="minorHAnsi" w:cstheme="minorHAnsi"/>
          <w:iCs/>
          <w:szCs w:val="22"/>
          <w:lang w:eastAsia="ko-KR"/>
        </w:rPr>
        <w:t xml:space="preserve">the </w:t>
      </w:r>
      <w:r w:rsidRPr="00B845AF">
        <w:rPr>
          <w:rFonts w:asciiTheme="minorHAnsi" w:eastAsiaTheme="minorEastAsia" w:hAnsiTheme="minorHAnsi" w:cstheme="minorHAnsi"/>
          <w:iCs/>
          <w:szCs w:val="22"/>
          <w:lang w:eastAsia="ko-KR"/>
        </w:rPr>
        <w:t>terminal year (2024) stock status.</w:t>
      </w:r>
    </w:p>
    <w:p w14:paraId="6BB2F3FB"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095EA6A3"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1213F906"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2EAE6DE8"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4BDFC1B6"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31144E78"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407EDE1E"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7455DB54"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5C1834E3"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6A6C5103"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6313985B" w14:textId="77777777" w:rsidR="00BE2E66" w:rsidRDefault="00BE2E6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p>
    <w:p w14:paraId="4B46D52D" w14:textId="6217408D" w:rsidR="00883A86" w:rsidRPr="00B845AF" w:rsidRDefault="00883A86" w:rsidP="00A376CA">
      <w:pPr>
        <w:pStyle w:val="ListParagraph"/>
        <w:widowControl w:val="0"/>
        <w:kinsoku w:val="0"/>
        <w:overflowPunct w:val="0"/>
        <w:autoSpaceDE w:val="0"/>
        <w:autoSpaceDN w:val="0"/>
        <w:adjustRightInd w:val="0"/>
        <w:snapToGrid w:val="0"/>
        <w:ind w:left="0"/>
        <w:jc w:val="center"/>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65CD8DEE" wp14:editId="29F0520F">
            <wp:extent cx="5486400" cy="36576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776CF5E3" w14:textId="19A58BA0"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BUM-06.</w:t>
      </w:r>
      <w:r w:rsidRPr="00B845AF">
        <w:rPr>
          <w:rFonts w:asciiTheme="minorHAnsi" w:eastAsiaTheme="minorEastAsia" w:hAnsiTheme="minorHAnsi" w:cstheme="minorHAnsi"/>
          <w:iCs/>
          <w:szCs w:val="22"/>
          <w:lang w:eastAsia="ko-KR"/>
        </w:rPr>
        <w:t xml:space="preserve"> Historical and projected trajectories of mature female spawning stock biomass (SSB) from the Pacific blue marlin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base case model based on 4 constant fishing mortality rate (F) scenarios: (1) F</w:t>
      </w:r>
      <w:r w:rsidRPr="00B845AF">
        <w:rPr>
          <w:rFonts w:asciiTheme="minorHAnsi" w:eastAsiaTheme="minorEastAsia" w:hAnsiTheme="minorHAnsi" w:cstheme="minorHAnsi"/>
          <w:iCs/>
          <w:szCs w:val="22"/>
          <w:vertAlign w:val="subscript"/>
          <w:lang w:eastAsia="ko-KR"/>
        </w:rPr>
        <w:t>High</w:t>
      </w:r>
      <w:r w:rsidRPr="00B845AF">
        <w:rPr>
          <w:rFonts w:asciiTheme="minorHAnsi" w:eastAsiaTheme="minorEastAsia" w:hAnsiTheme="minorHAnsi" w:cstheme="minorHAnsi"/>
          <w:iCs/>
          <w:szCs w:val="22"/>
          <w:lang w:eastAsia="ko-KR"/>
        </w:rPr>
        <w:t xml:space="preserve"> = F</w:t>
      </w:r>
      <w:r w:rsidRPr="00B845AF">
        <w:rPr>
          <w:rFonts w:asciiTheme="minorHAnsi" w:eastAsiaTheme="minorEastAsia" w:hAnsiTheme="minorHAnsi" w:cstheme="minorHAnsi"/>
          <w:iCs/>
          <w:szCs w:val="22"/>
          <w:vertAlign w:val="subscript"/>
          <w:lang w:eastAsia="ko-KR"/>
        </w:rPr>
        <w:t>2003</w:t>
      </w:r>
      <w:r w:rsidRPr="00B845AF">
        <w:rPr>
          <w:rFonts w:asciiTheme="minorHAnsi" w:eastAsiaTheme="minorEastAsia" w:hAnsiTheme="minorHAnsi" w:cstheme="minorHAnsi"/>
          <w:iCs/>
          <w:szCs w:val="22"/>
          <w:lang w:eastAsia="ko-KR"/>
        </w:rPr>
        <w:t>, which is the highest F estimated for the model time series; (2)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(3) </w:t>
      </w:r>
      <w:proofErr w:type="spell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Recent</w:t>
      </w:r>
      <w:proofErr w:type="spellEnd"/>
      <w:r w:rsidRPr="00B845AF">
        <w:rPr>
          <w:rFonts w:asciiTheme="minorHAnsi" w:eastAsiaTheme="minorEastAsia" w:hAnsiTheme="minorHAnsi" w:cstheme="minorHAnsi"/>
          <w:iCs/>
          <w:szCs w:val="22"/>
          <w:lang w:eastAsia="ko-KR"/>
        </w:rPr>
        <w:t xml:space="preserve"> = </w:t>
      </w:r>
      <w:proofErr w:type="gram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w:t>
      </w:r>
      <w:proofErr w:type="gramEnd"/>
      <w:r w:rsidRPr="00B845AF">
        <w:rPr>
          <w:rFonts w:asciiTheme="minorHAnsi" w:eastAsiaTheme="minorEastAsia" w:hAnsiTheme="minorHAnsi" w:cstheme="minorHAnsi"/>
          <w:iCs/>
          <w:szCs w:val="22"/>
          <w:vertAlign w:val="subscript"/>
          <w:lang w:eastAsia="ko-KR"/>
        </w:rPr>
        <w:t>2021–2023)</w:t>
      </w:r>
      <w:r w:rsidRPr="00B845AF">
        <w:rPr>
          <w:rFonts w:asciiTheme="minorHAnsi" w:eastAsiaTheme="minorEastAsia" w:hAnsiTheme="minorHAnsi" w:cstheme="minorHAnsi"/>
          <w:iCs/>
          <w:szCs w:val="22"/>
          <w:lang w:eastAsia="ko-KR"/>
        </w:rPr>
        <w:t xml:space="preserve"> which is the F corresponding to the average fishing intensity (SPR) from 2021–2023; and (4) F</w:t>
      </w:r>
      <w:r w:rsidRPr="00B845AF">
        <w:rPr>
          <w:rFonts w:asciiTheme="minorHAnsi" w:eastAsiaTheme="minorEastAsia" w:hAnsiTheme="minorHAnsi" w:cstheme="minorHAnsi"/>
          <w:iCs/>
          <w:szCs w:val="22"/>
          <w:vertAlign w:val="subscript"/>
          <w:lang w:eastAsia="ko-KR"/>
        </w:rPr>
        <w:t>30%SPR</w:t>
      </w:r>
      <w:r w:rsidRPr="00B845AF">
        <w:rPr>
          <w:rFonts w:asciiTheme="minorHAnsi" w:eastAsiaTheme="minorEastAsia" w:hAnsiTheme="minorHAnsi" w:cstheme="minorHAnsi"/>
          <w:iCs/>
          <w:szCs w:val="22"/>
          <w:lang w:eastAsia="ko-KR"/>
        </w:rPr>
        <w:t xml:space="preserve"> which is the F corresponding to SPR = 30%. The solid lines and symbols are the median </w:t>
      </w:r>
      <w:r w:rsidR="004E2763" w:rsidRPr="00B845AF">
        <w:rPr>
          <w:rFonts w:asciiTheme="minorHAnsi" w:eastAsiaTheme="minorEastAsia" w:hAnsiTheme="minorHAnsi" w:cstheme="minorHAnsi"/>
          <w:iCs/>
          <w:szCs w:val="22"/>
          <w:lang w:eastAsia="ko-KR"/>
        </w:rPr>
        <w:t>values from 100 bootstrap model runs,</w:t>
      </w:r>
      <w:r w:rsidRPr="00B845AF">
        <w:rPr>
          <w:rFonts w:asciiTheme="minorHAnsi" w:eastAsiaTheme="minorEastAsia" w:hAnsiTheme="minorHAnsi" w:cstheme="minorHAnsi"/>
          <w:iCs/>
          <w:szCs w:val="22"/>
          <w:lang w:eastAsia="ko-KR"/>
        </w:rPr>
        <w:t xml:space="preserve"> and the shaded ribbon is the 95% confidence interval. The dashed line indicates the spawning stock biomass at MSY.</w:t>
      </w:r>
    </w:p>
    <w:p w14:paraId="2A21FDCD" w14:textId="11ABB478" w:rsidR="00883A86" w:rsidRPr="00B845AF" w:rsidRDefault="00883A86" w:rsidP="00116749">
      <w:pPr>
        <w:pStyle w:val="ListParagraph"/>
        <w:widowControl w:val="0"/>
        <w:kinsoku w:val="0"/>
        <w:overflowPunct w:val="0"/>
        <w:autoSpaceDE w:val="0"/>
        <w:autoSpaceDN w:val="0"/>
        <w:adjustRightInd w:val="0"/>
        <w:snapToGrid w:val="0"/>
        <w:jc w:val="center"/>
        <w:rPr>
          <w:rFonts w:asciiTheme="minorHAnsi" w:eastAsiaTheme="minorEastAsia" w:hAnsiTheme="minorHAnsi" w:cstheme="minorHAnsi"/>
          <w:szCs w:val="22"/>
          <w:lang w:eastAsia="ko-KR"/>
        </w:rPr>
      </w:pPr>
      <w:r w:rsidRPr="00B845AF">
        <w:rPr>
          <w:rFonts w:asciiTheme="minorHAnsi" w:eastAsiaTheme="minorEastAsia" w:hAnsiTheme="minorHAnsi" w:cstheme="minorHAnsi"/>
          <w:noProof/>
          <w:szCs w:val="22"/>
          <w:lang w:eastAsia="ko-KR"/>
        </w:rPr>
        <w:lastRenderedPageBreak/>
        <w:drawing>
          <wp:inline distT="0" distB="0" distL="0" distR="0" wp14:anchorId="16A3ECE8" wp14:editId="3BCDD718">
            <wp:extent cx="5335076" cy="3630930"/>
            <wp:effectExtent l="0" t="0" r="0" b="762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349641" cy="3640843"/>
                    </a:xfrm>
                    <a:prstGeom prst="rect">
                      <a:avLst/>
                    </a:prstGeom>
                    <a:noFill/>
                    <a:ln>
                      <a:noFill/>
                    </a:ln>
                  </pic:spPr>
                </pic:pic>
              </a:graphicData>
            </a:graphic>
          </wp:inline>
        </w:drawing>
      </w:r>
    </w:p>
    <w:p w14:paraId="75127085" w14:textId="77777777" w:rsidR="00883A86" w:rsidRPr="00B845AF" w:rsidRDefault="00883A86" w:rsidP="00A376CA">
      <w:pPr>
        <w:pStyle w:val="ListParagraph"/>
        <w:widowControl w:val="0"/>
        <w:kinsoku w:val="0"/>
        <w:overflowPunct w:val="0"/>
        <w:autoSpaceDE w:val="0"/>
        <w:autoSpaceDN w:val="0"/>
        <w:adjustRightInd w:val="0"/>
        <w:snapToGrid w:val="0"/>
        <w:ind w:left="0"/>
        <w:jc w:val="both"/>
        <w:rPr>
          <w:rFonts w:asciiTheme="minorHAnsi" w:eastAsiaTheme="minorEastAsia" w:hAnsiTheme="minorHAnsi" w:cstheme="minorHAnsi"/>
          <w:iCs/>
          <w:szCs w:val="22"/>
          <w:lang w:eastAsia="ko-KR"/>
        </w:rPr>
      </w:pPr>
      <w:r w:rsidRPr="00B845AF">
        <w:rPr>
          <w:rFonts w:asciiTheme="minorHAnsi" w:eastAsiaTheme="minorEastAsia" w:hAnsiTheme="minorHAnsi" w:cstheme="minorHAnsi"/>
          <w:b/>
          <w:bCs/>
          <w:iCs/>
          <w:szCs w:val="22"/>
          <w:lang w:eastAsia="ko-KR"/>
        </w:rPr>
        <w:t>Figure BUM-07.</w:t>
      </w:r>
      <w:r w:rsidRPr="00B845AF">
        <w:rPr>
          <w:rFonts w:asciiTheme="minorHAnsi" w:eastAsiaTheme="minorEastAsia" w:hAnsiTheme="minorHAnsi" w:cstheme="minorHAnsi"/>
          <w:iCs/>
          <w:szCs w:val="22"/>
          <w:lang w:eastAsia="ko-KR"/>
        </w:rPr>
        <w:t xml:space="preserve"> Historical and projected trajectories of catch from the Pacific blue marlin base (</w:t>
      </w:r>
      <w:r w:rsidRPr="00B845AF">
        <w:rPr>
          <w:rFonts w:asciiTheme="minorHAnsi" w:eastAsiaTheme="minorEastAsia" w:hAnsiTheme="minorHAnsi" w:cstheme="minorHAnsi"/>
          <w:i/>
          <w:szCs w:val="22"/>
          <w:lang w:eastAsia="ko-KR"/>
        </w:rPr>
        <w:t>Makaira nigricans</w:t>
      </w:r>
      <w:r w:rsidRPr="00B845AF">
        <w:rPr>
          <w:rFonts w:asciiTheme="minorHAnsi" w:eastAsiaTheme="minorEastAsia" w:hAnsiTheme="minorHAnsi" w:cstheme="minorHAnsi"/>
          <w:iCs/>
          <w:szCs w:val="22"/>
          <w:lang w:eastAsia="ko-KR"/>
        </w:rPr>
        <w:t>) case model based on 4 constant fishing mortality rate (F) scenarios: (1) F</w:t>
      </w:r>
      <w:r w:rsidRPr="00B845AF">
        <w:rPr>
          <w:rFonts w:asciiTheme="minorHAnsi" w:eastAsiaTheme="minorEastAsia" w:hAnsiTheme="minorHAnsi" w:cstheme="minorHAnsi"/>
          <w:iCs/>
          <w:szCs w:val="22"/>
          <w:vertAlign w:val="subscript"/>
          <w:lang w:eastAsia="ko-KR"/>
        </w:rPr>
        <w:t>High</w:t>
      </w:r>
      <w:r w:rsidRPr="00B845AF">
        <w:rPr>
          <w:rFonts w:asciiTheme="minorHAnsi" w:eastAsiaTheme="minorEastAsia" w:hAnsiTheme="minorHAnsi" w:cstheme="minorHAnsi"/>
          <w:iCs/>
          <w:szCs w:val="22"/>
          <w:lang w:eastAsia="ko-KR"/>
        </w:rPr>
        <w:t xml:space="preserve"> = F</w:t>
      </w:r>
      <w:r w:rsidRPr="00B845AF">
        <w:rPr>
          <w:rFonts w:asciiTheme="minorHAnsi" w:eastAsiaTheme="minorEastAsia" w:hAnsiTheme="minorHAnsi" w:cstheme="minorHAnsi"/>
          <w:iCs/>
          <w:szCs w:val="22"/>
          <w:vertAlign w:val="subscript"/>
          <w:lang w:eastAsia="ko-KR"/>
        </w:rPr>
        <w:t>2003</w:t>
      </w:r>
      <w:r w:rsidRPr="00B845AF">
        <w:rPr>
          <w:rFonts w:asciiTheme="minorHAnsi" w:eastAsiaTheme="minorEastAsia" w:hAnsiTheme="minorHAnsi" w:cstheme="minorHAnsi"/>
          <w:iCs/>
          <w:szCs w:val="22"/>
          <w:lang w:eastAsia="ko-KR"/>
        </w:rPr>
        <w:t>, which is the highest F estimated for the model time series; (2) F</w:t>
      </w:r>
      <w:r w:rsidRPr="00B845AF">
        <w:rPr>
          <w:rFonts w:asciiTheme="minorHAnsi" w:eastAsiaTheme="minorEastAsia" w:hAnsiTheme="minorHAnsi" w:cstheme="minorHAnsi"/>
          <w:iCs/>
          <w:szCs w:val="22"/>
          <w:vertAlign w:val="subscript"/>
          <w:lang w:eastAsia="ko-KR"/>
        </w:rPr>
        <w:t>MSY</w:t>
      </w:r>
      <w:r w:rsidRPr="00B845AF">
        <w:rPr>
          <w:rFonts w:asciiTheme="minorHAnsi" w:eastAsiaTheme="minorEastAsia" w:hAnsiTheme="minorHAnsi" w:cstheme="minorHAnsi"/>
          <w:iCs/>
          <w:szCs w:val="22"/>
          <w:lang w:eastAsia="ko-KR"/>
        </w:rPr>
        <w:t xml:space="preserve">; (3) </w:t>
      </w:r>
      <w:proofErr w:type="spell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Recent</w:t>
      </w:r>
      <w:proofErr w:type="spellEnd"/>
      <w:r w:rsidRPr="00B845AF">
        <w:rPr>
          <w:rFonts w:asciiTheme="minorHAnsi" w:eastAsiaTheme="minorEastAsia" w:hAnsiTheme="minorHAnsi" w:cstheme="minorHAnsi"/>
          <w:iCs/>
          <w:szCs w:val="22"/>
          <w:lang w:eastAsia="ko-KR"/>
        </w:rPr>
        <w:t xml:space="preserve"> = </w:t>
      </w:r>
      <w:proofErr w:type="gramStart"/>
      <w:r w:rsidRPr="00B845AF">
        <w:rPr>
          <w:rFonts w:asciiTheme="minorHAnsi" w:eastAsiaTheme="minorEastAsia" w:hAnsiTheme="minorHAnsi" w:cstheme="minorHAnsi"/>
          <w:iCs/>
          <w:szCs w:val="22"/>
          <w:lang w:eastAsia="ko-KR"/>
        </w:rPr>
        <w:t>F</w:t>
      </w:r>
      <w:r w:rsidRPr="00B845AF">
        <w:rPr>
          <w:rFonts w:asciiTheme="minorHAnsi" w:eastAsiaTheme="minorEastAsia" w:hAnsiTheme="minorHAnsi" w:cstheme="minorHAnsi"/>
          <w:iCs/>
          <w:szCs w:val="22"/>
          <w:vertAlign w:val="subscript"/>
          <w:lang w:eastAsia="ko-KR"/>
        </w:rPr>
        <w:t>(</w:t>
      </w:r>
      <w:proofErr w:type="gramEnd"/>
      <w:r w:rsidRPr="00B845AF">
        <w:rPr>
          <w:rFonts w:asciiTheme="minorHAnsi" w:eastAsiaTheme="minorEastAsia" w:hAnsiTheme="minorHAnsi" w:cstheme="minorHAnsi"/>
          <w:iCs/>
          <w:szCs w:val="22"/>
          <w:vertAlign w:val="subscript"/>
          <w:lang w:eastAsia="ko-KR"/>
        </w:rPr>
        <w:t>2021–2023)</w:t>
      </w:r>
      <w:r w:rsidRPr="00B845AF">
        <w:rPr>
          <w:rFonts w:asciiTheme="minorHAnsi" w:eastAsiaTheme="minorEastAsia" w:hAnsiTheme="minorHAnsi" w:cstheme="minorHAnsi"/>
          <w:iCs/>
          <w:szCs w:val="22"/>
          <w:lang w:eastAsia="ko-KR"/>
        </w:rPr>
        <w:t xml:space="preserve"> which is the F corresponding to the average fishing intensity (SPR) from 2021–2023; and (4) F</w:t>
      </w:r>
      <w:r w:rsidRPr="00B845AF">
        <w:rPr>
          <w:rFonts w:asciiTheme="minorHAnsi" w:eastAsiaTheme="minorEastAsia" w:hAnsiTheme="minorHAnsi" w:cstheme="minorHAnsi"/>
          <w:iCs/>
          <w:szCs w:val="22"/>
          <w:vertAlign w:val="subscript"/>
          <w:lang w:eastAsia="ko-KR"/>
        </w:rPr>
        <w:t>30%SPR</w:t>
      </w:r>
      <w:r w:rsidRPr="00B845AF">
        <w:rPr>
          <w:rFonts w:asciiTheme="minorHAnsi" w:eastAsiaTheme="minorEastAsia" w:hAnsiTheme="minorHAnsi" w:cstheme="minorHAnsi"/>
          <w:iCs/>
          <w:szCs w:val="22"/>
          <w:lang w:eastAsia="ko-KR"/>
        </w:rPr>
        <w:t xml:space="preserve"> which is the F corresponding to SPR = 30%. The solid lines and symbols are the median value of the 100 bootstrap model </w:t>
      </w:r>
      <w:proofErr w:type="gramStart"/>
      <w:r w:rsidRPr="00B845AF">
        <w:rPr>
          <w:rFonts w:asciiTheme="minorHAnsi" w:eastAsiaTheme="minorEastAsia" w:hAnsiTheme="minorHAnsi" w:cstheme="minorHAnsi"/>
          <w:iCs/>
          <w:szCs w:val="22"/>
          <w:lang w:eastAsia="ko-KR"/>
        </w:rPr>
        <w:t>runs</w:t>
      </w:r>
      <w:proofErr w:type="gramEnd"/>
      <w:r w:rsidRPr="00B845AF">
        <w:rPr>
          <w:rFonts w:asciiTheme="minorHAnsi" w:eastAsiaTheme="minorEastAsia" w:hAnsiTheme="minorHAnsi" w:cstheme="minorHAnsi"/>
          <w:iCs/>
          <w:szCs w:val="22"/>
          <w:lang w:eastAsia="ko-KR"/>
        </w:rPr>
        <w:t xml:space="preserve"> and the shaded ribbon is the 95% confidence interval. The dashed line indicates MSY.</w:t>
      </w:r>
    </w:p>
    <w:p w14:paraId="5F73905B"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szCs w:val="22"/>
          <w:lang w:eastAsia="ko-KR"/>
        </w:rPr>
      </w:pPr>
    </w:p>
    <w:p w14:paraId="6F75DE94" w14:textId="292E21E2" w:rsidR="00883A86" w:rsidRPr="00B845AF" w:rsidRDefault="00F82576" w:rsidP="00F82576">
      <w:pPr>
        <w:widowControl w:val="0"/>
        <w:kinsoku w:val="0"/>
        <w:overflowPunct w:val="0"/>
        <w:autoSpaceDE w:val="0"/>
        <w:autoSpaceDN w:val="0"/>
        <w:adjustRightInd w:val="0"/>
        <w:snapToGrid w:val="0"/>
        <w:jc w:val="both"/>
        <w:rPr>
          <w:rFonts w:asciiTheme="minorHAnsi" w:eastAsiaTheme="minorEastAsia" w:hAnsiTheme="minorHAnsi" w:cstheme="minorHAnsi"/>
          <w:b/>
          <w:bCs/>
          <w:i/>
          <w:iCs/>
          <w:szCs w:val="22"/>
          <w:lang w:eastAsia="ko-KR"/>
        </w:rPr>
      </w:pPr>
      <w:r w:rsidRPr="00B845AF">
        <w:rPr>
          <w:rFonts w:asciiTheme="minorHAnsi" w:eastAsiaTheme="minorEastAsia" w:hAnsiTheme="minorHAnsi" w:cstheme="minorHAnsi"/>
          <w:b/>
          <w:bCs/>
          <w:i/>
          <w:iCs/>
          <w:szCs w:val="22"/>
          <w:lang w:eastAsia="ko-KR"/>
        </w:rPr>
        <w:t xml:space="preserve">c. </w:t>
      </w:r>
      <w:r w:rsidR="00883A86" w:rsidRPr="00B845AF">
        <w:rPr>
          <w:rFonts w:asciiTheme="minorHAnsi" w:eastAsiaTheme="minorEastAsia" w:hAnsiTheme="minorHAnsi" w:cstheme="minorHAnsi"/>
          <w:b/>
          <w:bCs/>
          <w:i/>
          <w:iCs/>
          <w:szCs w:val="22"/>
          <w:lang w:eastAsia="ko-KR"/>
        </w:rPr>
        <w:t xml:space="preserve">Management advice </w:t>
      </w:r>
    </w:p>
    <w:p w14:paraId="69D6B4A3" w14:textId="6EB3E388" w:rsidR="00F82576" w:rsidRPr="00B845AF" w:rsidRDefault="00F82576" w:rsidP="00F82576">
      <w:pPr>
        <w:widowControl w:val="0"/>
        <w:kinsoku w:val="0"/>
        <w:overflowPunct w:val="0"/>
        <w:autoSpaceDE w:val="0"/>
        <w:autoSpaceDN w:val="0"/>
        <w:adjustRightInd w:val="0"/>
        <w:snapToGrid w:val="0"/>
        <w:jc w:val="both"/>
        <w:rPr>
          <w:rFonts w:asciiTheme="minorHAnsi" w:eastAsiaTheme="minorEastAsia" w:hAnsiTheme="minorHAnsi" w:cstheme="minorHAnsi"/>
          <w:b/>
          <w:bCs/>
          <w:i/>
          <w:iCs/>
          <w:szCs w:val="22"/>
          <w:lang w:eastAsia="ko-KR"/>
        </w:rPr>
      </w:pPr>
    </w:p>
    <w:p w14:paraId="17E8C6B5" w14:textId="50E03FB0" w:rsidR="00883A86" w:rsidRPr="00B845AF" w:rsidRDefault="00883A86">
      <w:pPr>
        <w:pStyle w:val="SCtext"/>
        <w:rPr>
          <w:rFonts w:asciiTheme="minorHAnsi" w:hAnsiTheme="minorHAnsi" w:cstheme="minorHAnsi"/>
          <w:lang w:val="en-US"/>
        </w:rPr>
      </w:pPr>
      <w:r w:rsidRPr="00B845AF">
        <w:rPr>
          <w:rFonts w:asciiTheme="minorHAnsi" w:hAnsiTheme="minorHAnsi" w:cstheme="minorHAnsi"/>
          <w:b/>
          <w:bCs/>
          <w:lang w:val="en-US"/>
        </w:rPr>
        <w:t>Based on these findings, the following information on the conservation of the BUM stock was provided by the ISC26 Plenary: </w:t>
      </w:r>
    </w:p>
    <w:p w14:paraId="581BD9CE" w14:textId="77777777" w:rsidR="00883A86" w:rsidRPr="00B845AF" w:rsidRDefault="00883A86" w:rsidP="00D47778">
      <w:pPr>
        <w:pStyle w:val="ListParagraph"/>
        <w:widowControl w:val="0"/>
        <w:numPr>
          <w:ilvl w:val="0"/>
          <w:numId w:val="28"/>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There is no evidence of fishing mortality exceeding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or substantial depletion in spawning potential or spawning stock biomass relative to MSY level;</w:t>
      </w:r>
    </w:p>
    <w:p w14:paraId="3F7F9BB0" w14:textId="77777777" w:rsidR="00883A86" w:rsidRPr="00B845AF" w:rsidRDefault="00883A86" w:rsidP="00D47778">
      <w:pPr>
        <w:pStyle w:val="ListParagraph"/>
        <w:widowControl w:val="0"/>
        <w:numPr>
          <w:ilvl w:val="0"/>
          <w:numId w:val="28"/>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 Pacific blue marlin annual removals have been between 13,690–20,400 mt since 2019, corresponding to approximately 53–84% of the MSY catch. The stock may be able to support somewhat higher removals; and</w:t>
      </w:r>
    </w:p>
    <w:p w14:paraId="1D847F57" w14:textId="7EEA30DE" w:rsidR="00883A86" w:rsidRPr="00B845AF" w:rsidRDefault="00883A86" w:rsidP="00D47778">
      <w:pPr>
        <w:pStyle w:val="ListParagraph"/>
        <w:widowControl w:val="0"/>
        <w:numPr>
          <w:ilvl w:val="0"/>
          <w:numId w:val="28"/>
        </w:numPr>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t>The results show that projected female spawning biomass is expected to increase or remain stable under the F and F</w:t>
      </w:r>
      <w:r w:rsidRPr="00B845AF">
        <w:rPr>
          <w:rFonts w:asciiTheme="minorHAnsi" w:eastAsiaTheme="minorEastAsia" w:hAnsiTheme="minorHAnsi" w:cstheme="minorHAnsi"/>
          <w:b/>
          <w:bCs/>
          <w:szCs w:val="22"/>
          <w:vertAlign w:val="subscript"/>
          <w:lang w:eastAsia="ko-KR"/>
        </w:rPr>
        <w:t>30%SPR</w:t>
      </w:r>
      <w:r w:rsidRPr="00B845AF">
        <w:rPr>
          <w:rFonts w:asciiTheme="minorHAnsi" w:eastAsiaTheme="minorEastAsia" w:hAnsiTheme="minorHAnsi" w:cstheme="minorHAnsi"/>
          <w:b/>
          <w:bCs/>
          <w:szCs w:val="22"/>
          <w:lang w:eastAsia="ko-KR"/>
        </w:rPr>
        <w:t xml:space="preserve"> and decline toward SSB</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under the High F and F</w:t>
      </w:r>
      <w:r w:rsidRPr="00B845AF">
        <w:rPr>
          <w:rFonts w:asciiTheme="minorHAnsi" w:eastAsiaTheme="minorEastAsia" w:hAnsiTheme="minorHAnsi" w:cstheme="minorHAnsi"/>
          <w:b/>
          <w:bCs/>
          <w:szCs w:val="22"/>
          <w:vertAlign w:val="subscript"/>
          <w:lang w:eastAsia="ko-KR"/>
        </w:rPr>
        <w:t>MSY</w:t>
      </w:r>
      <w:r w:rsidRPr="00B845AF">
        <w:rPr>
          <w:rFonts w:asciiTheme="minorHAnsi" w:eastAsiaTheme="minorEastAsia" w:hAnsiTheme="minorHAnsi" w:cstheme="minorHAnsi"/>
          <w:b/>
          <w:bCs/>
          <w:szCs w:val="22"/>
          <w:lang w:eastAsia="ko-KR"/>
        </w:rPr>
        <w:t xml:space="preserve"> harvest scenarios. The probability that the stock is </w:t>
      </w:r>
      <w:proofErr w:type="gramStart"/>
      <w:r w:rsidRPr="00B845AF">
        <w:rPr>
          <w:rFonts w:asciiTheme="minorHAnsi" w:eastAsiaTheme="minorEastAsia" w:hAnsiTheme="minorHAnsi" w:cstheme="minorHAnsi"/>
          <w:b/>
          <w:bCs/>
          <w:szCs w:val="22"/>
          <w:lang w:eastAsia="ko-KR"/>
        </w:rPr>
        <w:t>overfished</w:t>
      </w:r>
      <w:proofErr w:type="gramEnd"/>
      <w:r w:rsidRPr="00B845AF">
        <w:rPr>
          <w:rFonts w:asciiTheme="minorHAnsi" w:eastAsiaTheme="minorEastAsia" w:hAnsiTheme="minorHAnsi" w:cstheme="minorHAnsi"/>
          <w:b/>
          <w:bCs/>
          <w:szCs w:val="22"/>
          <w:lang w:eastAsia="ko-KR"/>
        </w:rPr>
        <w:t xml:space="preserve"> or overfishing </w:t>
      </w:r>
      <w:proofErr w:type="gramStart"/>
      <w:r w:rsidRPr="00B845AF">
        <w:rPr>
          <w:rFonts w:asciiTheme="minorHAnsi" w:eastAsiaTheme="minorEastAsia" w:hAnsiTheme="minorHAnsi" w:cstheme="minorHAnsi"/>
          <w:b/>
          <w:bCs/>
          <w:szCs w:val="22"/>
          <w:lang w:eastAsia="ko-KR"/>
        </w:rPr>
        <w:t>is occurring</w:t>
      </w:r>
      <w:proofErr w:type="gramEnd"/>
      <w:r w:rsidRPr="00B845AF">
        <w:rPr>
          <w:rFonts w:asciiTheme="minorHAnsi" w:eastAsiaTheme="minorEastAsia" w:hAnsiTheme="minorHAnsi" w:cstheme="minorHAnsi"/>
          <w:b/>
          <w:bCs/>
          <w:szCs w:val="22"/>
          <w:lang w:eastAsia="ko-KR"/>
        </w:rPr>
        <w:t xml:space="preserve"> by 2034 under each harvest scenario is low.</w:t>
      </w:r>
    </w:p>
    <w:p w14:paraId="4F1C4EA9" w14:textId="77777777" w:rsidR="00827079" w:rsidRPr="00B845AF" w:rsidRDefault="00827079" w:rsidP="00827079">
      <w:pPr>
        <w:widowControl w:val="0"/>
        <w:kinsoku w:val="0"/>
        <w:overflowPunct w:val="0"/>
        <w:autoSpaceDE w:val="0"/>
        <w:autoSpaceDN w:val="0"/>
        <w:adjustRightInd w:val="0"/>
        <w:snapToGrid w:val="0"/>
        <w:ind w:left="360"/>
        <w:jc w:val="both"/>
        <w:rPr>
          <w:rFonts w:asciiTheme="minorHAnsi" w:eastAsiaTheme="minorEastAsia" w:hAnsiTheme="minorHAnsi" w:cstheme="minorHAnsi"/>
          <w:b/>
          <w:bCs/>
          <w:szCs w:val="22"/>
          <w:lang w:eastAsia="ko-KR"/>
        </w:rPr>
      </w:pPr>
    </w:p>
    <w:p w14:paraId="7F15DC42" w14:textId="406D8D1A" w:rsidR="00883A86" w:rsidRPr="00B845AF" w:rsidRDefault="00883A86">
      <w:pPr>
        <w:pStyle w:val="SCtext"/>
        <w:rPr>
          <w:rFonts w:asciiTheme="minorHAnsi" w:hAnsiTheme="minorHAnsi" w:cstheme="minorHAnsi"/>
          <w:lang w:val="en-US"/>
        </w:rPr>
      </w:pPr>
      <w:r w:rsidRPr="00B845AF">
        <w:rPr>
          <w:rFonts w:asciiTheme="minorHAnsi" w:hAnsiTheme="minorHAnsi" w:cstheme="minorHAnsi"/>
          <w:b/>
          <w:bCs/>
          <w:lang w:val="en-US"/>
        </w:rPr>
        <w:t xml:space="preserve">SC22 noted the management advice provided to the ISC26 </w:t>
      </w:r>
      <w:proofErr w:type="gramStart"/>
      <w:r w:rsidRPr="00B845AF">
        <w:rPr>
          <w:rFonts w:asciiTheme="minorHAnsi" w:hAnsiTheme="minorHAnsi" w:cstheme="minorHAnsi"/>
          <w:b/>
          <w:bCs/>
          <w:lang w:val="en-US"/>
        </w:rPr>
        <w:t>plenary, but</w:t>
      </w:r>
      <w:proofErr w:type="gramEnd"/>
      <w:r w:rsidRPr="00B845AF">
        <w:rPr>
          <w:rFonts w:asciiTheme="minorHAnsi" w:hAnsiTheme="minorHAnsi" w:cstheme="minorHAnsi"/>
          <w:b/>
          <w:bCs/>
          <w:lang w:val="en-US"/>
        </w:rPr>
        <w:t xml:space="preserve"> recognized the importance of Pacific blue marlin to coastal longline and sport fisheries, including for Pacific SIDS, and, noting that terminal-year stock status is less well determined than the reported probabilities alone convey, recommended that any future catch increase be approached cautiously.</w:t>
      </w:r>
    </w:p>
    <w:p w14:paraId="04AFBDE6"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p>
    <w:p w14:paraId="6514E603" w14:textId="2C5E3B52" w:rsidR="00883A86" w:rsidRPr="00B845AF" w:rsidRDefault="00D675D8" w:rsidP="00D675D8">
      <w:pPr>
        <w:widowControl w:val="0"/>
        <w:kinsoku w:val="0"/>
        <w:overflowPunct w:val="0"/>
        <w:autoSpaceDE w:val="0"/>
        <w:autoSpaceDN w:val="0"/>
        <w:adjustRightInd w:val="0"/>
        <w:snapToGrid w:val="0"/>
        <w:jc w:val="both"/>
        <w:rPr>
          <w:rFonts w:asciiTheme="minorHAnsi" w:eastAsiaTheme="minorEastAsia" w:hAnsiTheme="minorHAnsi" w:cstheme="minorHAnsi"/>
          <w:b/>
          <w:bCs/>
          <w:i/>
          <w:iCs/>
          <w:szCs w:val="22"/>
          <w:lang w:eastAsia="ko-KR"/>
        </w:rPr>
      </w:pPr>
      <w:r w:rsidRPr="00B845AF">
        <w:rPr>
          <w:rFonts w:asciiTheme="minorHAnsi" w:eastAsiaTheme="minorEastAsia" w:hAnsiTheme="minorHAnsi" w:cstheme="minorHAnsi"/>
          <w:b/>
          <w:bCs/>
          <w:i/>
          <w:iCs/>
          <w:szCs w:val="22"/>
          <w:lang w:eastAsia="ko-KR"/>
        </w:rPr>
        <w:lastRenderedPageBreak/>
        <w:t xml:space="preserve">d. </w:t>
      </w:r>
      <w:r w:rsidR="00883A86" w:rsidRPr="00B845AF">
        <w:rPr>
          <w:rFonts w:asciiTheme="minorHAnsi" w:eastAsiaTheme="minorEastAsia" w:hAnsiTheme="minorHAnsi" w:cstheme="minorHAnsi"/>
          <w:b/>
          <w:bCs/>
          <w:i/>
          <w:iCs/>
          <w:szCs w:val="22"/>
          <w:lang w:eastAsia="ko-KR"/>
        </w:rPr>
        <w:t>Research recommendations</w:t>
      </w:r>
    </w:p>
    <w:p w14:paraId="6DC8E98A" w14:textId="77777777" w:rsidR="00883A86" w:rsidRPr="00B845AF" w:rsidRDefault="00883A86" w:rsidP="00883A86">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p>
    <w:p w14:paraId="01937780" w14:textId="115C0826" w:rsidR="00F950A5" w:rsidRPr="00B845AF" w:rsidRDefault="00883A86">
      <w:pPr>
        <w:pStyle w:val="SCtext"/>
        <w:rPr>
          <w:rFonts w:asciiTheme="minorHAnsi" w:hAnsiTheme="minorHAnsi" w:cstheme="minorHAnsi"/>
          <w:lang w:val="en-US"/>
        </w:rPr>
      </w:pPr>
      <w:r w:rsidRPr="00B845AF">
        <w:rPr>
          <w:rFonts w:asciiTheme="minorHAnsi" w:hAnsiTheme="minorHAnsi" w:cstheme="minorHAnsi"/>
          <w:lang w:val="en-US"/>
        </w:rPr>
        <w:t xml:space="preserve">SC22 noted that the assessment remains highly sensitive to fixed biological parameters (growth, natural mortality, maturity) derived predominantly from North Pacific sampling, despite blue marlin being assessed as a pan-Pacific stock. </w:t>
      </w:r>
      <w:r w:rsidRPr="00B845AF">
        <w:rPr>
          <w:rFonts w:asciiTheme="minorHAnsi" w:hAnsiTheme="minorHAnsi" w:cstheme="minorHAnsi"/>
          <w:b/>
          <w:bCs/>
          <w:lang w:val="en-US"/>
        </w:rPr>
        <w:t>SC22 noted that expanded spatial and sex-specific biological sampling, including addressing the near-zero sample holdings for the southwest Pacific identified in SA-IP20, would better inform parameter estimation across the full assessment area.</w:t>
      </w:r>
    </w:p>
    <w:p w14:paraId="12B15873" w14:textId="77777777" w:rsidR="00F950A5" w:rsidRPr="00B845AF" w:rsidRDefault="00F950A5" w:rsidP="00F950A5">
      <w:pPr>
        <w:pStyle w:val="SCtext"/>
        <w:numPr>
          <w:ilvl w:val="0"/>
          <w:numId w:val="0"/>
        </w:numPr>
        <w:rPr>
          <w:rFonts w:asciiTheme="minorHAnsi" w:hAnsiTheme="minorHAnsi" w:cstheme="minorHAnsi"/>
          <w:lang w:val="en-US"/>
        </w:rPr>
      </w:pPr>
    </w:p>
    <w:p w14:paraId="7B96A736" w14:textId="27CA2969" w:rsidR="00F950A5" w:rsidRPr="00B845AF" w:rsidRDefault="00883A86">
      <w:pPr>
        <w:pStyle w:val="SCtext"/>
        <w:rPr>
          <w:rFonts w:asciiTheme="minorHAnsi" w:hAnsiTheme="minorHAnsi" w:cstheme="minorHAnsi"/>
          <w:lang w:val="en-US"/>
        </w:rPr>
      </w:pPr>
      <w:r w:rsidRPr="00B845AF">
        <w:rPr>
          <w:rFonts w:asciiTheme="minorHAnsi" w:hAnsiTheme="minorHAnsi" w:cstheme="minorHAnsi"/>
          <w:b/>
          <w:bCs/>
          <w:lang w:val="en-US"/>
        </w:rPr>
        <w:t>SC22 recommended that BILLWG continue developing a joint, combined CPUE standardization across the assessment area; consider a quarters-as-years model structure; consider incorporating spatial structure into the model; and strengthen North–South Pacific and IATTC collaboration, given the stock</w:t>
      </w:r>
      <w:r w:rsidR="00F950A5" w:rsidRPr="00B845AF">
        <w:rPr>
          <w:rFonts w:asciiTheme="minorHAnsi" w:hAnsiTheme="minorHAnsi" w:cstheme="minorHAnsi"/>
          <w:b/>
          <w:bCs/>
          <w:lang w:val="en-US"/>
        </w:rPr>
        <w:t>’</w:t>
      </w:r>
      <w:r w:rsidRPr="00B845AF">
        <w:rPr>
          <w:rFonts w:asciiTheme="minorHAnsi" w:hAnsiTheme="minorHAnsi" w:cstheme="minorHAnsi"/>
          <w:b/>
          <w:bCs/>
          <w:lang w:val="en-US"/>
        </w:rPr>
        <w:t>s pan-Pacific nature.</w:t>
      </w:r>
    </w:p>
    <w:p w14:paraId="6CCE5B50" w14:textId="77777777" w:rsidR="00F950A5" w:rsidRPr="00B845AF" w:rsidRDefault="00F950A5" w:rsidP="00F950A5">
      <w:pPr>
        <w:pStyle w:val="SCtext"/>
        <w:numPr>
          <w:ilvl w:val="0"/>
          <w:numId w:val="0"/>
        </w:numPr>
        <w:rPr>
          <w:rFonts w:asciiTheme="minorHAnsi" w:hAnsiTheme="minorHAnsi" w:cstheme="minorHAnsi"/>
          <w:lang w:val="en-US"/>
        </w:rPr>
      </w:pPr>
    </w:p>
    <w:p w14:paraId="660AB24C" w14:textId="3AEB9A99" w:rsidR="00883A86" w:rsidRPr="00B845AF" w:rsidRDefault="00883A86">
      <w:pPr>
        <w:pStyle w:val="SCtext"/>
        <w:rPr>
          <w:rFonts w:asciiTheme="minorHAnsi" w:hAnsiTheme="minorHAnsi" w:cstheme="minorHAnsi"/>
          <w:lang w:val="en-US"/>
        </w:rPr>
      </w:pPr>
      <w:r w:rsidRPr="00B845AF">
        <w:rPr>
          <w:rFonts w:asciiTheme="minorHAnsi" w:hAnsiTheme="minorHAnsi" w:cstheme="minorHAnsi"/>
          <w:lang w:val="en-US"/>
        </w:rPr>
        <w:t>SC22 encouraged CCMs catching blue marlin to collect and report sex-specific size and biological data where possible, to support future refinement of selectivity and growth assumptions in the assessment.</w:t>
      </w:r>
    </w:p>
    <w:p w14:paraId="438A3DB9" w14:textId="77777777" w:rsidR="00241FE5" w:rsidRPr="00B845AF" w:rsidRDefault="00241FE5" w:rsidP="00D649E0">
      <w:pPr>
        <w:pStyle w:val="ListParagraph"/>
        <w:widowControl w:val="0"/>
        <w:kinsoku w:val="0"/>
        <w:overflowPunct w:val="0"/>
        <w:autoSpaceDE w:val="0"/>
        <w:autoSpaceDN w:val="0"/>
        <w:adjustRightInd w:val="0"/>
        <w:snapToGrid w:val="0"/>
        <w:jc w:val="both"/>
        <w:rPr>
          <w:rFonts w:asciiTheme="minorHAnsi" w:eastAsia="Batang" w:hAnsiTheme="minorHAnsi" w:cstheme="minorHAnsi"/>
          <w:szCs w:val="22"/>
          <w:lang w:eastAsia="ko-KR"/>
        </w:rPr>
      </w:pPr>
    </w:p>
    <w:p w14:paraId="7A844869" w14:textId="25E636C2" w:rsidR="00D649E0" w:rsidRPr="00B845AF" w:rsidRDefault="0085097E">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Projects and Requests</w:t>
      </w:r>
    </w:p>
    <w:p w14:paraId="7E539E2B" w14:textId="0FC842A4" w:rsidR="007D0154" w:rsidRPr="00B845AF" w:rsidRDefault="0085097E">
      <w:pPr>
        <w:pStyle w:val="SC3"/>
        <w:rPr>
          <w:rFonts w:asciiTheme="minorHAnsi" w:hAnsiTheme="minorHAnsi" w:cstheme="minorHAnsi"/>
        </w:rPr>
      </w:pPr>
      <w:r w:rsidRPr="00B845AF">
        <w:rPr>
          <w:rFonts w:asciiTheme="minorHAnsi" w:hAnsiTheme="minorHAnsi" w:cstheme="minorHAnsi"/>
        </w:rPr>
        <w:t>Application of Close-Kin-Mark-Recapture methods (Project 100d</w:t>
      </w:r>
      <w:r w:rsidR="00D649E0" w:rsidRPr="00B845AF">
        <w:rPr>
          <w:rFonts w:asciiTheme="minorHAnsi" w:hAnsiTheme="minorHAnsi" w:cstheme="minorHAnsi"/>
        </w:rPr>
        <w:t>)</w:t>
      </w:r>
    </w:p>
    <w:p w14:paraId="5235C2FC" w14:textId="2D3583D6" w:rsidR="00A10CC6" w:rsidRPr="00B845AF" w:rsidRDefault="00A10CC6" w:rsidP="00A10CC6">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6A8A8D69" w14:textId="51B0B431" w:rsidR="000C4AAE" w:rsidRPr="00B845AF" w:rsidRDefault="00AA0F60">
      <w:pPr>
        <w:pStyle w:val="SCtext"/>
        <w:rPr>
          <w:rFonts w:asciiTheme="minorHAnsi" w:hAnsiTheme="minorHAnsi" w:cstheme="minorHAnsi"/>
          <w:lang w:val="en-US"/>
        </w:rPr>
      </w:pPr>
      <w:r w:rsidRPr="00B845AF">
        <w:rPr>
          <w:rFonts w:asciiTheme="minorHAnsi" w:hAnsiTheme="minorHAnsi" w:cstheme="minorHAnsi"/>
          <w:lang w:val="en-US"/>
        </w:rPr>
        <w:t>SC22 encouraged CCMs to collect otoliths to support continued epigenetic aging work</w:t>
      </w:r>
      <w:r w:rsidR="00E848F7" w:rsidRPr="00B845AF">
        <w:rPr>
          <w:rFonts w:asciiTheme="minorHAnsi" w:hAnsiTheme="minorHAnsi" w:cstheme="minorHAnsi"/>
          <w:lang w:val="en-US"/>
        </w:rPr>
        <w:t xml:space="preserve"> in consultation with the SSP</w:t>
      </w:r>
      <w:r w:rsidRPr="00B845AF">
        <w:rPr>
          <w:rFonts w:asciiTheme="minorHAnsi" w:hAnsiTheme="minorHAnsi" w:cstheme="minorHAnsi"/>
          <w:lang w:val="en-US"/>
        </w:rPr>
        <w:t>.</w:t>
      </w:r>
    </w:p>
    <w:p w14:paraId="7B6FC3E0" w14:textId="09BA5F97" w:rsidR="0085097E" w:rsidRPr="00B845AF" w:rsidRDefault="0085097E" w:rsidP="0085097E">
      <w:pPr>
        <w:pStyle w:val="SCtext"/>
        <w:numPr>
          <w:ilvl w:val="0"/>
          <w:numId w:val="0"/>
        </w:numPr>
        <w:rPr>
          <w:rFonts w:asciiTheme="minorHAnsi" w:hAnsiTheme="minorHAnsi" w:cstheme="minorHAnsi"/>
          <w:lang w:val="en-US"/>
        </w:rPr>
      </w:pPr>
    </w:p>
    <w:p w14:paraId="607FD1B6" w14:textId="74DE4908" w:rsidR="00532C2E" w:rsidRPr="00B845AF" w:rsidRDefault="0085097E">
      <w:pPr>
        <w:pStyle w:val="SC3"/>
        <w:rPr>
          <w:rFonts w:asciiTheme="minorHAnsi" w:hAnsiTheme="minorHAnsi" w:cstheme="minorHAnsi"/>
        </w:rPr>
      </w:pPr>
      <w:r w:rsidRPr="00B845AF">
        <w:rPr>
          <w:rFonts w:asciiTheme="minorHAnsi" w:hAnsiTheme="minorHAnsi" w:cstheme="minorHAnsi"/>
        </w:rPr>
        <w:t>Updated reproductive biology of tropical tunas (Project 120)</w:t>
      </w:r>
    </w:p>
    <w:p w14:paraId="229D28C2" w14:textId="2E3A3041" w:rsidR="00532C2E" w:rsidRPr="00B845AF" w:rsidRDefault="00A10CC6">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p>
    <w:p w14:paraId="641D8C74" w14:textId="5CA21A87" w:rsidR="0022574F" w:rsidRPr="00B845AF" w:rsidRDefault="0022574F" w:rsidP="0022574F">
      <w:pPr>
        <w:pStyle w:val="SCtext"/>
        <w:numPr>
          <w:ilvl w:val="0"/>
          <w:numId w:val="0"/>
        </w:numPr>
        <w:rPr>
          <w:rFonts w:asciiTheme="minorHAnsi" w:hAnsiTheme="minorHAnsi" w:cstheme="minorHAnsi"/>
          <w:lang w:val="en-US"/>
        </w:rPr>
      </w:pPr>
    </w:p>
    <w:p w14:paraId="023154B3" w14:textId="0497CB14" w:rsidR="00532C2E" w:rsidRPr="00B845AF" w:rsidRDefault="0022574F">
      <w:pPr>
        <w:pStyle w:val="SC3"/>
        <w:rPr>
          <w:rFonts w:asciiTheme="minorHAnsi" w:hAnsiTheme="minorHAnsi" w:cstheme="minorHAnsi"/>
        </w:rPr>
      </w:pPr>
      <w:r w:rsidRPr="00B845AF">
        <w:rPr>
          <w:rFonts w:asciiTheme="minorHAnsi" w:hAnsiTheme="minorHAnsi" w:cstheme="minorHAnsi"/>
        </w:rPr>
        <w:t>Global tuna RFMO technical workshop on longline CPUE analysis to support best available science (Project 122a)</w:t>
      </w:r>
    </w:p>
    <w:p w14:paraId="398B0FAD" w14:textId="20E39BE0" w:rsidR="00532C2E" w:rsidRPr="00B845AF" w:rsidRDefault="00A10CC6">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p>
    <w:p w14:paraId="0B4E6112" w14:textId="58EEA928" w:rsidR="0022574F" w:rsidRPr="00B845AF" w:rsidRDefault="0022574F" w:rsidP="0022574F">
      <w:pPr>
        <w:pStyle w:val="SCtext"/>
        <w:numPr>
          <w:ilvl w:val="0"/>
          <w:numId w:val="0"/>
        </w:numPr>
        <w:rPr>
          <w:rFonts w:asciiTheme="minorHAnsi" w:hAnsiTheme="minorHAnsi" w:cstheme="minorHAnsi"/>
          <w:lang w:val="en-US"/>
        </w:rPr>
      </w:pPr>
    </w:p>
    <w:p w14:paraId="26E51F9E" w14:textId="7C7790CF" w:rsidR="00532C2E" w:rsidRPr="00B845AF" w:rsidRDefault="0022574F">
      <w:pPr>
        <w:pStyle w:val="SC3"/>
        <w:rPr>
          <w:rFonts w:asciiTheme="minorHAnsi" w:hAnsiTheme="minorHAnsi" w:cstheme="minorHAnsi"/>
        </w:rPr>
      </w:pPr>
      <w:r w:rsidRPr="00B845AF">
        <w:rPr>
          <w:rFonts w:asciiTheme="minorHAnsi" w:hAnsiTheme="minorHAnsi" w:cstheme="minorHAnsi"/>
        </w:rPr>
        <w:t>Biology from billfish in longline fisheries (Project 125)</w:t>
      </w:r>
    </w:p>
    <w:p w14:paraId="3EFAAA9E" w14:textId="0A29B9DC" w:rsidR="00532C2E" w:rsidRPr="00B845AF" w:rsidRDefault="00A10CC6">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p>
    <w:p w14:paraId="6967A7FC" w14:textId="48A46FDF" w:rsidR="003214C9" w:rsidRPr="00B845AF" w:rsidRDefault="003214C9" w:rsidP="003214C9">
      <w:pPr>
        <w:pStyle w:val="SCtext"/>
        <w:numPr>
          <w:ilvl w:val="0"/>
          <w:numId w:val="0"/>
        </w:numPr>
        <w:rPr>
          <w:rFonts w:asciiTheme="minorHAnsi" w:hAnsiTheme="minorHAnsi" w:cstheme="minorHAnsi"/>
          <w:lang w:val="en-US"/>
        </w:rPr>
      </w:pPr>
    </w:p>
    <w:p w14:paraId="31704E69" w14:textId="6CFE72AB" w:rsidR="00532C2E" w:rsidRPr="00B845AF" w:rsidRDefault="003214C9">
      <w:pPr>
        <w:pStyle w:val="SC3"/>
        <w:rPr>
          <w:rFonts w:asciiTheme="minorHAnsi" w:hAnsiTheme="minorHAnsi" w:cstheme="minorHAnsi"/>
        </w:rPr>
      </w:pPr>
      <w:r w:rsidRPr="00B845AF">
        <w:rPr>
          <w:rFonts w:asciiTheme="minorHAnsi" w:hAnsiTheme="minorHAnsi" w:cstheme="minorHAnsi"/>
        </w:rPr>
        <w:t>Developing a sampling strategy for sharks (Projects 117, 118 and 126)</w:t>
      </w:r>
    </w:p>
    <w:p w14:paraId="3C7CD1E9" w14:textId="239232A9" w:rsidR="00532C2E" w:rsidRPr="00B845AF" w:rsidRDefault="00246108">
      <w:pPr>
        <w:pStyle w:val="SCtext"/>
        <w:rPr>
          <w:rFonts w:asciiTheme="minorHAnsi" w:hAnsiTheme="minorHAnsi" w:cstheme="minorHAnsi"/>
          <w:lang w:val="en-US"/>
        </w:rPr>
      </w:pPr>
      <w:hyperlink r:id="rId64" w:history="1">
        <w:r w:rsidRPr="00B845AF">
          <w:rPr>
            <w:rStyle w:val="Hyperlink"/>
            <w:rFonts w:asciiTheme="minorHAnsi" w:hAnsiTheme="minorHAnsi" w:cstheme="minorHAnsi"/>
            <w:lang w:val="en-US"/>
          </w:rPr>
          <w:t>WCPFC-SC22-2026-SA-IP20</w:t>
        </w:r>
      </w:hyperlink>
      <w:r w:rsidRPr="00B845AF">
        <w:rPr>
          <w:rFonts w:asciiTheme="minorHAnsi" w:hAnsiTheme="minorHAnsi" w:cstheme="minorHAnsi"/>
          <w:lang w:val="en-US"/>
        </w:rPr>
        <w:t xml:space="preserve"> was accepted without comments or discussion.</w:t>
      </w:r>
    </w:p>
    <w:p w14:paraId="77D6C804" w14:textId="05C427A9" w:rsidR="003214C9" w:rsidRPr="00B845AF" w:rsidRDefault="003214C9" w:rsidP="003214C9">
      <w:pPr>
        <w:pStyle w:val="SCtext"/>
        <w:numPr>
          <w:ilvl w:val="0"/>
          <w:numId w:val="0"/>
        </w:numPr>
        <w:rPr>
          <w:rFonts w:asciiTheme="minorHAnsi" w:hAnsiTheme="minorHAnsi" w:cstheme="minorHAnsi"/>
          <w:lang w:val="en-US"/>
        </w:rPr>
      </w:pPr>
    </w:p>
    <w:p w14:paraId="1B8DA13A" w14:textId="35D556CE" w:rsidR="00532C2E" w:rsidRPr="00B845AF" w:rsidRDefault="003214C9">
      <w:pPr>
        <w:pStyle w:val="SC3"/>
        <w:rPr>
          <w:rFonts w:asciiTheme="minorHAnsi" w:hAnsiTheme="minorHAnsi" w:cstheme="minorHAnsi"/>
        </w:rPr>
      </w:pPr>
      <w:r w:rsidRPr="00B845AF">
        <w:rPr>
          <w:rFonts w:asciiTheme="minorHAnsi" w:hAnsiTheme="minorHAnsi" w:cstheme="minorHAnsi"/>
        </w:rPr>
        <w:t>Age-length data stream for tuna stock assessments (Project 129)</w:t>
      </w:r>
    </w:p>
    <w:p w14:paraId="37E1E788" w14:textId="4C45FAAC" w:rsidR="00F66077" w:rsidRPr="00B845AF" w:rsidRDefault="00F66077">
      <w:pPr>
        <w:pStyle w:val="SCtext"/>
        <w:rPr>
          <w:rFonts w:asciiTheme="minorHAnsi" w:hAnsiTheme="minorHAnsi" w:cstheme="minorHAnsi"/>
          <w:lang w:val="en-US"/>
        </w:rPr>
      </w:pPr>
      <w:r w:rsidRPr="00B845AF">
        <w:rPr>
          <w:rFonts w:asciiTheme="minorHAnsi" w:hAnsiTheme="minorHAnsi" w:cstheme="minorHAnsi"/>
          <w:lang w:val="en-US"/>
        </w:rPr>
        <w:t xml:space="preserve">C. Wakefield (SPC-OFP) presented </w:t>
      </w:r>
      <w:hyperlink r:id="rId65" w:history="1">
        <w:r w:rsidRPr="00B845AF">
          <w:rPr>
            <w:rStyle w:val="Hyperlink"/>
            <w:rFonts w:asciiTheme="minorHAnsi" w:hAnsiTheme="minorHAnsi" w:cstheme="minorHAnsi"/>
            <w:lang w:val="en-US"/>
          </w:rPr>
          <w:t>WCPFC-SC22-2026-SA-WP12_Rev01</w:t>
        </w:r>
      </w:hyperlink>
      <w:r w:rsidRPr="00B845AF">
        <w:rPr>
          <w:rFonts w:asciiTheme="minorHAnsi" w:hAnsiTheme="minorHAnsi" w:cstheme="minorHAnsi"/>
          <w:lang w:val="en-US"/>
        </w:rPr>
        <w:t xml:space="preserve">, a Phase 1 six-month progress update on Project 129, Building an Age-Length Data Stream for Tuna Stock Assessments. </w:t>
      </w:r>
    </w:p>
    <w:p w14:paraId="666C69B4" w14:textId="77777777" w:rsidR="00F66077" w:rsidRPr="00B845AF" w:rsidRDefault="00F66077" w:rsidP="00F66077">
      <w:pPr>
        <w:pStyle w:val="SCtext"/>
        <w:numPr>
          <w:ilvl w:val="0"/>
          <w:numId w:val="0"/>
        </w:numPr>
        <w:rPr>
          <w:rFonts w:asciiTheme="minorHAnsi" w:hAnsiTheme="minorHAnsi" w:cstheme="minorHAnsi"/>
          <w:lang w:val="en-US"/>
        </w:rPr>
      </w:pPr>
    </w:p>
    <w:p w14:paraId="327C1AD9" w14:textId="77777777" w:rsidR="00452812" w:rsidRPr="00B845AF" w:rsidRDefault="00452812" w:rsidP="00F66077">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noted that age data remain extremely limited for tropical tunas in the WCPO, forcing assessments to infer age from length using a single growth relationship, with resulting uncertainty </w:t>
      </w:r>
      <w:r w:rsidRPr="00B845AF">
        <w:rPr>
          <w:rFonts w:asciiTheme="minorHAnsi" w:hAnsiTheme="minorHAnsi" w:cstheme="minorHAnsi"/>
          <w:lang w:val="en-US"/>
        </w:rPr>
        <w:lastRenderedPageBreak/>
        <w:t xml:space="preserve">affecting estimates of mortality, recruitment, and stock status. Project 129 is a four-phase pathway (2026 to 2029) to develop and validate rapid-ageing surrogates, otolith biometric modeling and epigenetic ageing, anchored to a validated reference age dataset. During the first six months, substantial progress was reported beyond the original Phase 1 objectives, including refinement and standardisation of direct ageing methods through reference collections, cross-reading exercises, and precision assessments. Under Phase 1, oblique otolith sections were reported to improve growth-zone clarity over transverse sections for yellowfin and bigeye, with reader precision assessed as acceptable (IAPE ≤ 5.5%); </w:t>
      </w:r>
      <w:proofErr w:type="spellStart"/>
      <w:r w:rsidRPr="00B845AF">
        <w:rPr>
          <w:rFonts w:asciiTheme="minorHAnsi" w:hAnsiTheme="minorHAnsi" w:cstheme="minorHAnsi"/>
          <w:lang w:val="en-US"/>
        </w:rPr>
        <w:t>sclerochemistry</w:t>
      </w:r>
      <w:proofErr w:type="spellEnd"/>
      <w:r w:rsidRPr="00B845AF">
        <w:rPr>
          <w:rFonts w:asciiTheme="minorHAnsi" w:hAnsiTheme="minorHAnsi" w:cstheme="minorHAnsi"/>
          <w:lang w:val="en-US"/>
        </w:rPr>
        <w:t xml:space="preserve"> (LA-ICP-MS, 391 sections across yellowfin, bigeye, and skipjack) confirmed annual growth zone interpretation for all three species, including skipjack, historically considered difficult to age; the combination of LA-ICP-MS and oblique sectioning was also reported as promising for improving age determination in skipjack. Initial GBM-based age-prediction models (670 yellowfin, 416 bigeye otoliths) showed good precision, incorporating otolith morphometrics, fish length, sex, and spatial variables, although older fish (over approximately 6 years) remain under-represented in the training data. </w:t>
      </w:r>
    </w:p>
    <w:p w14:paraId="605A7B18" w14:textId="77777777" w:rsidR="00452812" w:rsidRPr="00B845AF" w:rsidRDefault="00452812" w:rsidP="00F66077">
      <w:pPr>
        <w:pStyle w:val="SCtext"/>
        <w:numPr>
          <w:ilvl w:val="0"/>
          <w:numId w:val="0"/>
        </w:numPr>
        <w:ind w:left="720"/>
        <w:rPr>
          <w:rFonts w:asciiTheme="minorHAnsi" w:hAnsiTheme="minorHAnsi" w:cstheme="minorHAnsi"/>
          <w:lang w:val="en-US"/>
        </w:rPr>
      </w:pPr>
    </w:p>
    <w:p w14:paraId="1AAD5371" w14:textId="77777777" w:rsidR="00452812" w:rsidRPr="00B845AF" w:rsidRDefault="00452812" w:rsidP="00F66077">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rapid-ageing work is now being extended to South Pacific albacore, with archived otoliths being used for initial model development and expanded sampling </w:t>
      </w:r>
      <w:proofErr w:type="gramStart"/>
      <w:r w:rsidRPr="00B845AF">
        <w:rPr>
          <w:rFonts w:asciiTheme="minorHAnsi" w:hAnsiTheme="minorHAnsi" w:cstheme="minorHAnsi"/>
          <w:lang w:val="en-US"/>
        </w:rPr>
        <w:t>planned ahead</w:t>
      </w:r>
      <w:proofErr w:type="gramEnd"/>
      <w:r w:rsidRPr="00B845AF">
        <w:rPr>
          <w:rFonts w:asciiTheme="minorHAnsi" w:hAnsiTheme="minorHAnsi" w:cstheme="minorHAnsi"/>
          <w:lang w:val="en-US"/>
        </w:rPr>
        <w:t xml:space="preserve"> of the 2027 stock assessment, providing a pathway toward rapid, cost-effective, and scalable age estimation. Epigenetic ageing, which predicts age from muscle tissue rather than otoliths, was described as complementary to existing external work (Indian Ocean albacore, CSIRO South Pacific albacore and southern bluefin), with P129 activities scoped to leverage existing research and avoid duplication. SPC is also collecting high-quality muscle samples paired with otoliths to support potential future epigenetic clock development, while the indicative cost of developing an epigenetic ageing approach was estimated at about USD 75,000 per species. </w:t>
      </w:r>
    </w:p>
    <w:p w14:paraId="3261D9CA" w14:textId="77777777" w:rsidR="00452812" w:rsidRPr="00B845AF" w:rsidRDefault="00452812" w:rsidP="00F66077">
      <w:pPr>
        <w:pStyle w:val="SCtext"/>
        <w:numPr>
          <w:ilvl w:val="0"/>
          <w:numId w:val="0"/>
        </w:numPr>
        <w:ind w:left="720"/>
        <w:rPr>
          <w:rFonts w:asciiTheme="minorHAnsi" w:hAnsiTheme="minorHAnsi" w:cstheme="minorHAnsi"/>
          <w:lang w:val="en-US"/>
        </w:rPr>
      </w:pPr>
    </w:p>
    <w:p w14:paraId="24954469" w14:textId="140B98C0" w:rsidR="007D0154" w:rsidRPr="00B845AF" w:rsidRDefault="00452812" w:rsidP="00F66077">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paper outlined remaining Phase 1 tasks and Phase 2 plans for 2027, including South Pacific albacore sampling ahead of the 2027 assessment, GBM model development for albacore, continued epigenetic evaluation, and consultation on a regional sampling program. The presentation concluded that the activities had established a strong foundation for future routine age–length data collection, while leveraging expanded ageing laboratory capacity and knowledge at SPC. SC22 was invited to note Phase 1 progress, prioritize continuation into Phase 2, note and support the planned albacore sampling increase, and endorse a proposed 2027 budget of USD 90,000 (USD 60,000 activities, USD 30,000 equipment).</w:t>
      </w:r>
    </w:p>
    <w:p w14:paraId="29A11E7D" w14:textId="251B5F9A" w:rsidR="00F66077" w:rsidRPr="00B845AF" w:rsidRDefault="00F66077" w:rsidP="00F66077">
      <w:pPr>
        <w:pStyle w:val="SCtext"/>
        <w:numPr>
          <w:ilvl w:val="0"/>
          <w:numId w:val="0"/>
        </w:numPr>
        <w:rPr>
          <w:rFonts w:asciiTheme="minorHAnsi" w:hAnsiTheme="minorHAnsi" w:cstheme="minorHAnsi"/>
          <w:lang w:val="en-US"/>
        </w:rPr>
      </w:pPr>
    </w:p>
    <w:p w14:paraId="45D5A979" w14:textId="1E703565" w:rsidR="00F66077" w:rsidRPr="00B845AF" w:rsidRDefault="00F66077" w:rsidP="00632EB5">
      <w:pPr>
        <w:pStyle w:val="SCDR"/>
        <w:rPr>
          <w:rFonts w:asciiTheme="minorHAnsi" w:hAnsiTheme="minorHAnsi" w:cstheme="minorHAnsi"/>
          <w:lang w:eastAsia="ja-JP"/>
        </w:rPr>
      </w:pPr>
      <w:r w:rsidRPr="00B845AF">
        <w:rPr>
          <w:rFonts w:asciiTheme="minorHAnsi" w:hAnsiTheme="minorHAnsi" w:cstheme="minorHAnsi"/>
          <w:lang w:eastAsia="ja-JP"/>
        </w:rPr>
        <w:t>Discussion</w:t>
      </w:r>
    </w:p>
    <w:p w14:paraId="23A74E5F" w14:textId="62696CF3" w:rsidR="00F66077" w:rsidRPr="00B845AF" w:rsidRDefault="00656C0D">
      <w:pPr>
        <w:pStyle w:val="SCtext"/>
        <w:rPr>
          <w:rFonts w:asciiTheme="minorHAnsi" w:hAnsiTheme="minorHAnsi" w:cstheme="minorHAnsi"/>
          <w:lang w:val="en-US"/>
        </w:rPr>
      </w:pPr>
      <w:r w:rsidRPr="00B845AF">
        <w:rPr>
          <w:rFonts w:asciiTheme="minorHAnsi" w:hAnsiTheme="minorHAnsi" w:cstheme="minorHAnsi"/>
          <w:lang w:val="en-US"/>
        </w:rPr>
        <w:t>Indonesia asked whether the standardized ageing protocols under Project 129 followed the same protocols developed by CSIRO, given that Indonesia also works with CSIRO and would prefer a common standard, and whether the epigenetic and rapid age-prediction approaches likewise followed the same methods used by CSIRO or differed from them. The SSP responded that the project is working closely with CSIRO and Fish Ageing Services on the ageing protocol, that the oblique-ventral method is not a large departure from the transverse section approach but widens and lengthens the reading axis, and that a tuna ageing workshop is planned for the end of Phase 1 or start of Phase 2 to standardize approaches and share information among members and SC22 attendees, at which the otolith biometric age-prediction model would also be introduced. On epigenetic ageing, the SSP clarified that this work is not being undertaken under Project 129, whose current scope is to complement rather than duplicate the work underway at CSIRO, and that the project is opportunistically collecting high-quality tissue samples paired with otoliths so that material is ready once species-specific epigenetic clocks are developed.</w:t>
      </w:r>
    </w:p>
    <w:p w14:paraId="01859E8B" w14:textId="77777777" w:rsidR="00656C0D" w:rsidRPr="00B845AF" w:rsidRDefault="00656C0D" w:rsidP="00656C0D">
      <w:pPr>
        <w:pStyle w:val="SCtext"/>
        <w:numPr>
          <w:ilvl w:val="0"/>
          <w:numId w:val="0"/>
        </w:numPr>
        <w:rPr>
          <w:rFonts w:asciiTheme="minorHAnsi" w:hAnsiTheme="minorHAnsi" w:cstheme="minorHAnsi"/>
          <w:lang w:val="en-US"/>
        </w:rPr>
      </w:pPr>
    </w:p>
    <w:p w14:paraId="0BEACF10" w14:textId="4A163E20" w:rsidR="00656C0D" w:rsidRPr="00B845AF" w:rsidRDefault="00656C0D">
      <w:pPr>
        <w:pStyle w:val="SCtext"/>
        <w:rPr>
          <w:rFonts w:asciiTheme="minorHAnsi" w:hAnsiTheme="minorHAnsi" w:cstheme="minorHAnsi"/>
          <w:lang w:val="en-US"/>
        </w:rPr>
      </w:pPr>
      <w:r w:rsidRPr="00B845AF">
        <w:rPr>
          <w:rFonts w:asciiTheme="minorHAnsi" w:hAnsiTheme="minorHAnsi" w:cstheme="minorHAnsi"/>
          <w:lang w:val="en-US"/>
        </w:rPr>
        <w:t xml:space="preserve">Chinese Taipei strongly supported continuation of the project, noting that a routine age-length data stream would provide valuable information for future tuna stock assessments and that progress to date was encouraging. Chinese Taipei offered to support expanded otolith collection through its existing observer and biological sampling programs, particularly for its longline fisheries, and encouraged SPC to develop a clear, standardized sampling protocol with associated training and technical support as the project moves toward regional implementation, so that samples collected by different members are consistent and comparable. Noting that related work has already highlighted spatial sampling bias in existing age-at-length data, Chinese Taipei asked how the regional otolith reference library and rapid-ageing models would be designed to ensure samples adequately represent the spatial distribution of the stock rather than simply reflecting ease of collection, and how prediction uncertainty would be accounted for once predicted ages are incorporated as catch-at-age data into assessments, particularly given the tendency to underestimate the ages of older bigeye tuna. </w:t>
      </w:r>
    </w:p>
    <w:p w14:paraId="525A3CFF" w14:textId="77777777" w:rsidR="00656C0D" w:rsidRPr="00B845AF" w:rsidRDefault="00656C0D" w:rsidP="00656C0D">
      <w:pPr>
        <w:pStyle w:val="SCtext"/>
        <w:numPr>
          <w:ilvl w:val="0"/>
          <w:numId w:val="0"/>
        </w:numPr>
        <w:rPr>
          <w:rFonts w:asciiTheme="minorHAnsi" w:hAnsiTheme="minorHAnsi" w:cstheme="minorHAnsi"/>
          <w:lang w:val="en-US"/>
        </w:rPr>
      </w:pPr>
    </w:p>
    <w:p w14:paraId="5393A68E" w14:textId="4632A69E" w:rsidR="00656C0D" w:rsidRPr="00B845AF" w:rsidRDefault="00656C0D">
      <w:pPr>
        <w:pStyle w:val="SCtext"/>
        <w:rPr>
          <w:rFonts w:asciiTheme="minorHAnsi" w:hAnsiTheme="minorHAnsi" w:cstheme="minorHAnsi"/>
          <w:lang w:val="en-US"/>
        </w:rPr>
      </w:pPr>
      <w:r w:rsidRPr="00B845AF">
        <w:rPr>
          <w:rFonts w:asciiTheme="minorHAnsi" w:hAnsiTheme="minorHAnsi" w:cstheme="minorHAnsi"/>
          <w:lang w:val="en-US"/>
        </w:rPr>
        <w:t>The SSP thanked Chinese Taipei for its support and agreed that a standardized collection protocol and spatial representativeness would be developed in Phase 2, noting that the current Phase 1 priority is to establish that the rapid-ageing method itself is sufficiently robust and precise, with monitoring and collection design work (including linkages to Projects 117 and 118) to follow in Phases 3 and 4. On ageing error, the SSP stated that this has been discussed with the stock assessment team over the past 12 to 18 months and that new model iterations are looking to incorporate ageing error matrices, potentially drawing on reader comparisons and comparisons of predicted versus otolith-derived ages.</w:t>
      </w:r>
    </w:p>
    <w:p w14:paraId="202EC7C1" w14:textId="77777777" w:rsidR="00A365B9" w:rsidRPr="00B845AF" w:rsidRDefault="00A365B9" w:rsidP="00A365B9">
      <w:pPr>
        <w:pStyle w:val="SCtext"/>
        <w:numPr>
          <w:ilvl w:val="0"/>
          <w:numId w:val="0"/>
        </w:numPr>
        <w:rPr>
          <w:rFonts w:asciiTheme="minorHAnsi" w:hAnsiTheme="minorHAnsi" w:cstheme="minorHAnsi"/>
          <w:lang w:val="en-US"/>
        </w:rPr>
      </w:pPr>
    </w:p>
    <w:p w14:paraId="2C39F32C" w14:textId="29B1A5DA" w:rsidR="00A365B9" w:rsidRPr="00B845AF" w:rsidRDefault="00A365B9">
      <w:pPr>
        <w:pStyle w:val="SCtext"/>
        <w:rPr>
          <w:rFonts w:asciiTheme="minorHAnsi" w:hAnsiTheme="minorHAnsi" w:cstheme="minorHAnsi"/>
          <w:lang w:val="en-US"/>
        </w:rPr>
      </w:pPr>
      <w:r w:rsidRPr="00B845AF">
        <w:rPr>
          <w:rFonts w:asciiTheme="minorHAnsi" w:hAnsiTheme="minorHAnsi" w:cstheme="minorHAnsi"/>
          <w:lang w:val="en-US"/>
        </w:rPr>
        <w:t>Solomon Islands, on behalf of the FFA members, thanked the authors for the progress update, noted the substantive progress made in Phase 1, particularly the development of reference age datasets and evaluation of practical approaches for estimating tuna age, and recognized the importance of this work for improving the availability of age information to support future stock assessments. FFA members supported continuation of Project 129 into Phase 2, including the proposed 2027 funding, on the basis that improved age-length information has the potential to reduce an important source of assessment uncertainty and strengthen scientific advice to the Commission. FFA members also supported the planned expansion of South Pacific albacore otolith sampling ahead of the 2027 stock assessment and offered to assist with sample collection across key ports and fishing sectors, and encouraged continued collaboration among SPC, members, and partner organizations on sampling capacity, logistics, and implementation options to ensure any future regional age-length sampling program is practical, cost-effective, and feasible to implement across the region.</w:t>
      </w:r>
    </w:p>
    <w:p w14:paraId="1F346780" w14:textId="77777777" w:rsidR="00A365B9" w:rsidRPr="00B845AF" w:rsidRDefault="00A365B9" w:rsidP="00A365B9">
      <w:pPr>
        <w:pStyle w:val="SCtext"/>
        <w:numPr>
          <w:ilvl w:val="0"/>
          <w:numId w:val="0"/>
        </w:numPr>
        <w:rPr>
          <w:rFonts w:asciiTheme="minorHAnsi" w:hAnsiTheme="minorHAnsi" w:cstheme="minorHAnsi"/>
          <w:lang w:val="en-US"/>
        </w:rPr>
      </w:pPr>
    </w:p>
    <w:p w14:paraId="628BD685" w14:textId="7961BA3E" w:rsidR="00A365B9" w:rsidRPr="00B845AF" w:rsidRDefault="00A365B9">
      <w:pPr>
        <w:pStyle w:val="SCtext"/>
        <w:rPr>
          <w:rFonts w:asciiTheme="minorHAnsi" w:hAnsiTheme="minorHAnsi" w:cstheme="minorHAnsi"/>
          <w:lang w:val="en-US"/>
        </w:rPr>
      </w:pPr>
      <w:r w:rsidRPr="00B845AF">
        <w:rPr>
          <w:rFonts w:asciiTheme="minorHAnsi" w:hAnsiTheme="minorHAnsi" w:cstheme="minorHAnsi"/>
          <w:lang w:val="en-US"/>
        </w:rPr>
        <w:t xml:space="preserve">Japan supported continuation of the project and noted its own contribution of data to stock </w:t>
      </w:r>
      <w:r w:rsidR="004E2763" w:rsidRPr="00B845AF">
        <w:rPr>
          <w:rFonts w:asciiTheme="minorHAnsi" w:hAnsiTheme="minorHAnsi" w:cstheme="minorHAnsi"/>
          <w:lang w:val="en-US"/>
        </w:rPr>
        <w:t>assessment and</w:t>
      </w:r>
      <w:r w:rsidRPr="00B845AF">
        <w:rPr>
          <w:rFonts w:asciiTheme="minorHAnsi" w:hAnsiTheme="minorHAnsi" w:cstheme="minorHAnsi"/>
          <w:lang w:val="en-US"/>
        </w:rPr>
        <w:t xml:space="preserve"> offered two suggestions. First, Japan proposed that because methodological changes in biological analysis can affect stock estimates, a before-and-after impact evaluation comparing older and new ageing protocols should be built explicitly into the design of Project 129 prior to integration into existing growth models or stock assessments. Second, noting that Phase 2 does not currently plan to focus on bigeye and yellowfin, and echoing a view raised by Chinese Taipei that age underestimation for older bigeye may reflect a structural gap in the current sampling plan due to insufficient older individuals in the training data, Japan asked whether the sampling plan under Agenda Item 4.6.5 explicitly addresses this gap, and proposed that the two projects coordinate to ensure adequate collection of older individuals as an explicit design objective.</w:t>
      </w:r>
    </w:p>
    <w:p w14:paraId="5EBC54A8" w14:textId="77777777" w:rsidR="00A365B9" w:rsidRPr="00B845AF" w:rsidRDefault="00A365B9" w:rsidP="00A365B9">
      <w:pPr>
        <w:pStyle w:val="SCtext"/>
        <w:numPr>
          <w:ilvl w:val="0"/>
          <w:numId w:val="0"/>
        </w:numPr>
        <w:rPr>
          <w:rFonts w:asciiTheme="minorHAnsi" w:hAnsiTheme="minorHAnsi" w:cstheme="minorHAnsi"/>
          <w:lang w:val="en-US"/>
        </w:rPr>
      </w:pPr>
    </w:p>
    <w:p w14:paraId="3888F964" w14:textId="0B1938D6" w:rsidR="00A365B9" w:rsidRPr="00B845AF" w:rsidRDefault="00A365B9">
      <w:pPr>
        <w:pStyle w:val="SCtext"/>
        <w:rPr>
          <w:rFonts w:asciiTheme="minorHAnsi" w:hAnsiTheme="minorHAnsi" w:cstheme="minorHAnsi"/>
          <w:lang w:val="en-US"/>
        </w:rPr>
      </w:pPr>
      <w:r w:rsidRPr="00B845AF">
        <w:rPr>
          <w:rFonts w:asciiTheme="minorHAnsi" w:hAnsiTheme="minorHAnsi" w:cstheme="minorHAnsi"/>
          <w:lang w:val="en-US"/>
        </w:rPr>
        <w:t xml:space="preserve">China asked how the project would improve the accuracy of age estimates for older fish, noting that otolith biometric growth slows and annual increments narrow near the otolith margin as fish age, </w:t>
      </w:r>
      <w:r w:rsidRPr="00B845AF">
        <w:rPr>
          <w:rFonts w:asciiTheme="minorHAnsi" w:hAnsiTheme="minorHAnsi" w:cstheme="minorHAnsi"/>
          <w:lang w:val="en-US"/>
        </w:rPr>
        <w:lastRenderedPageBreak/>
        <w:t>which may reduce model accuracy and make annual increments harder to resolve using trace element analysis, and also asked whether a cross-calibration or conversion method would be developed between oblique and transverse sections to ensure comparability and continuity between historical and future studies.</w:t>
      </w:r>
    </w:p>
    <w:p w14:paraId="61A6333F" w14:textId="77777777" w:rsidR="00A365B9" w:rsidRPr="00B845AF" w:rsidRDefault="00A365B9" w:rsidP="00A365B9">
      <w:pPr>
        <w:pStyle w:val="SCtext"/>
        <w:numPr>
          <w:ilvl w:val="0"/>
          <w:numId w:val="0"/>
        </w:numPr>
        <w:rPr>
          <w:rFonts w:asciiTheme="minorHAnsi" w:hAnsiTheme="minorHAnsi" w:cstheme="minorHAnsi"/>
          <w:lang w:val="en-US"/>
        </w:rPr>
      </w:pPr>
    </w:p>
    <w:p w14:paraId="78F2865B" w14:textId="11D12EA1" w:rsidR="00A365B9" w:rsidRPr="00B845AF" w:rsidRDefault="00A365B9">
      <w:pPr>
        <w:pStyle w:val="SCtext"/>
        <w:rPr>
          <w:rFonts w:asciiTheme="minorHAnsi" w:hAnsiTheme="minorHAnsi" w:cstheme="minorHAnsi"/>
          <w:lang w:val="en-US"/>
        </w:rPr>
      </w:pPr>
      <w:r w:rsidRPr="00B845AF">
        <w:rPr>
          <w:rFonts w:asciiTheme="minorHAnsi" w:hAnsiTheme="minorHAnsi" w:cstheme="minorHAnsi"/>
          <w:lang w:val="en-US"/>
        </w:rPr>
        <w:t>The SSP addressed China</w:t>
      </w:r>
      <w:r w:rsidR="00205739" w:rsidRPr="00B845AF">
        <w:rPr>
          <w:rFonts w:asciiTheme="minorHAnsi" w:hAnsiTheme="minorHAnsi" w:cstheme="minorHAnsi"/>
          <w:lang w:val="en-US"/>
        </w:rPr>
        <w:t>’</w:t>
      </w:r>
      <w:r w:rsidRPr="00B845AF">
        <w:rPr>
          <w:rFonts w:asciiTheme="minorHAnsi" w:hAnsiTheme="minorHAnsi" w:cstheme="minorHAnsi"/>
          <w:lang w:val="en-US"/>
        </w:rPr>
        <w:t>s and Japan</w:t>
      </w:r>
      <w:r w:rsidR="00205739" w:rsidRPr="00B845AF">
        <w:rPr>
          <w:rFonts w:asciiTheme="minorHAnsi" w:hAnsiTheme="minorHAnsi" w:cstheme="minorHAnsi"/>
          <w:lang w:val="en-US"/>
        </w:rPr>
        <w:t>’</w:t>
      </w:r>
      <w:r w:rsidRPr="00B845AF">
        <w:rPr>
          <w:rFonts w:asciiTheme="minorHAnsi" w:hAnsiTheme="minorHAnsi" w:cstheme="minorHAnsi"/>
          <w:lang w:val="en-US"/>
        </w:rPr>
        <w:t xml:space="preserve">s questions together, agreeing that otolith biometry changes with age and explaining that the modeling approach draws on a deep-water snapper study (fish living to 60 years) in which otolith thickness was the most influential variable; in early growth, otolith accretion is correlated with somatic growth, but as somatic growth slows with maturity, otolith accretion continues in a near-linear relationship, so the variables needed to predict older age classes change and the GBM model accounts for this shift across age classes. The SSP stated that as the reference datasets are expanded to include older age classes, otolith thickness is expected to become more influential in predictions for yellowfin and bigeye. On validating older age classes, the SSP noted that elemental signatures from laser ablation are the primary method under consideration, alongside emerging work correlating </w:t>
      </w:r>
      <w:proofErr w:type="spellStart"/>
      <w:r w:rsidRPr="00B845AF">
        <w:rPr>
          <w:rFonts w:asciiTheme="minorHAnsi" w:hAnsiTheme="minorHAnsi" w:cstheme="minorHAnsi"/>
          <w:lang w:val="en-US"/>
        </w:rPr>
        <w:t>sclerochronology</w:t>
      </w:r>
      <w:proofErr w:type="spellEnd"/>
      <w:r w:rsidRPr="00B845AF">
        <w:rPr>
          <w:rFonts w:asciiTheme="minorHAnsi" w:hAnsiTheme="minorHAnsi" w:cstheme="minorHAnsi"/>
          <w:lang w:val="en-US"/>
        </w:rPr>
        <w:t xml:space="preserve"> with environmental proxies (for example, relating warmer or cooler years to narrower or wider bands between annual opaque zones), which may assist in ageing older fish. On oblique versus transverse sections, the SSP noted that precision between the two methods was assessed at a workshop with Fish Ageing Services, and that 141 oblique-sectioned yellowfin and bigeye otoliths, whose sister otoliths had previously been aged using transverse sections, have been run through laser ablation; direct comparison of the historical transverse ages against the validated oblique ages is expected by the end of Phase 1.</w:t>
      </w:r>
    </w:p>
    <w:p w14:paraId="20F69C8C" w14:textId="2FE07A55" w:rsidR="00632EB5" w:rsidRPr="00B845AF" w:rsidRDefault="00632EB5" w:rsidP="00632EB5">
      <w:pPr>
        <w:pStyle w:val="SCtext"/>
        <w:numPr>
          <w:ilvl w:val="0"/>
          <w:numId w:val="0"/>
        </w:numPr>
        <w:rPr>
          <w:rFonts w:asciiTheme="minorHAnsi" w:hAnsiTheme="minorHAnsi" w:cstheme="minorHAnsi"/>
          <w:lang w:val="en-US"/>
        </w:rPr>
      </w:pPr>
    </w:p>
    <w:p w14:paraId="51C1CFB1" w14:textId="5C1D8FAB" w:rsidR="00632EB5" w:rsidRPr="00B845AF" w:rsidRDefault="00632EB5" w:rsidP="00632EB5">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603CA6A0" w14:textId="257EEB5C" w:rsidR="00632EB5" w:rsidRPr="00B845AF" w:rsidRDefault="00390B0D">
      <w:pPr>
        <w:pStyle w:val="SCtext"/>
        <w:rPr>
          <w:rFonts w:asciiTheme="minorHAnsi" w:hAnsiTheme="minorHAnsi" w:cstheme="minorHAnsi"/>
          <w:lang w:val="en-US"/>
        </w:rPr>
      </w:pPr>
      <w:r w:rsidRPr="00B845AF">
        <w:rPr>
          <w:rFonts w:asciiTheme="minorHAnsi" w:hAnsiTheme="minorHAnsi" w:cstheme="minorHAnsi"/>
          <w:lang w:val="en-US"/>
        </w:rPr>
        <w:t>SC22 welcomed the progress achieved under Phase 1 of Project 129 in developing rapid ageing methodologies and reference age datasets for yellowfin and bigeye tuna, noting that similar work is underway for South Pacific albacore and skipjack tuna.</w:t>
      </w:r>
    </w:p>
    <w:p w14:paraId="1117E352" w14:textId="77777777" w:rsidR="009A7D62" w:rsidRPr="00B845AF" w:rsidRDefault="009A7D62" w:rsidP="009A7D62">
      <w:pPr>
        <w:pStyle w:val="SCtext"/>
        <w:numPr>
          <w:ilvl w:val="0"/>
          <w:numId w:val="0"/>
        </w:numPr>
        <w:rPr>
          <w:rFonts w:asciiTheme="minorHAnsi" w:hAnsiTheme="minorHAnsi" w:cstheme="minorHAnsi"/>
          <w:b/>
          <w:bCs/>
          <w:lang w:val="en-US"/>
        </w:rPr>
      </w:pPr>
    </w:p>
    <w:p w14:paraId="3B617980" w14:textId="179CAFF9" w:rsidR="009A7D62" w:rsidRPr="00B845AF" w:rsidRDefault="009A7D62">
      <w:pPr>
        <w:pStyle w:val="SCtext"/>
        <w:rPr>
          <w:rFonts w:asciiTheme="minorHAnsi" w:hAnsiTheme="minorHAnsi" w:cstheme="minorHAnsi"/>
          <w:b/>
          <w:bCs/>
          <w:lang w:val="en-US"/>
        </w:rPr>
      </w:pPr>
      <w:r w:rsidRPr="00B845AF">
        <w:rPr>
          <w:rFonts w:asciiTheme="minorHAnsi" w:hAnsiTheme="minorHAnsi" w:cstheme="minorHAnsi"/>
          <w:b/>
          <w:bCs/>
          <w:lang w:val="en-US"/>
        </w:rPr>
        <w:t>SC22 recommended the project continue into Phase 2, with priorities including: expanded otolith sampling and reference datasets (particularly South Pacific albacore and older age classes); standardized regional sampling/ageing protocols; completion of key validation studies; improved spatial representativeness of sampling; incorporation of ageing uncertainty into stock assessments; and a Tuna Ageing Workshop and capacity building for members.</w:t>
      </w:r>
    </w:p>
    <w:p w14:paraId="5DA529E6" w14:textId="7BC2B4CA" w:rsidR="005301E2" w:rsidRPr="00B845AF" w:rsidRDefault="005301E2" w:rsidP="003214C9">
      <w:pPr>
        <w:pStyle w:val="SCtext"/>
        <w:numPr>
          <w:ilvl w:val="0"/>
          <w:numId w:val="0"/>
        </w:numPr>
        <w:rPr>
          <w:rFonts w:asciiTheme="minorHAnsi" w:hAnsiTheme="minorHAnsi" w:cstheme="minorHAnsi"/>
          <w:lang w:val="en-US"/>
        </w:rPr>
      </w:pPr>
    </w:p>
    <w:p w14:paraId="30B9EAB2" w14:textId="41DE475D" w:rsidR="003214C9" w:rsidRPr="00B845AF" w:rsidRDefault="003214C9">
      <w:pPr>
        <w:pStyle w:val="SC3"/>
        <w:rPr>
          <w:rFonts w:asciiTheme="minorHAnsi" w:hAnsiTheme="minorHAnsi" w:cstheme="minorHAnsi"/>
        </w:rPr>
      </w:pPr>
      <w:r w:rsidRPr="00B845AF">
        <w:rPr>
          <w:rFonts w:asciiTheme="minorHAnsi" w:hAnsiTheme="minorHAnsi" w:cstheme="minorHAnsi"/>
        </w:rPr>
        <w:t>Joint bycatch assessment workshop for billfish and sharks (Project 130)</w:t>
      </w:r>
    </w:p>
    <w:p w14:paraId="1C3D3231" w14:textId="38DA4D78" w:rsidR="00285433" w:rsidRPr="00B845AF" w:rsidRDefault="00864208">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r w:rsidR="00FD5B9C" w:rsidRPr="00B845AF">
        <w:rPr>
          <w:rFonts w:asciiTheme="minorHAnsi" w:hAnsiTheme="minorHAnsi" w:cstheme="minorHAnsi"/>
          <w:lang w:val="en-US"/>
        </w:rPr>
        <w:t>.</w:t>
      </w:r>
    </w:p>
    <w:p w14:paraId="3B657D01" w14:textId="3F7968C1" w:rsidR="00B44691" w:rsidRPr="00B845AF" w:rsidRDefault="00B44691" w:rsidP="00B44691">
      <w:pPr>
        <w:pStyle w:val="SCtext"/>
        <w:numPr>
          <w:ilvl w:val="0"/>
          <w:numId w:val="0"/>
        </w:numPr>
        <w:rPr>
          <w:rFonts w:asciiTheme="minorHAnsi" w:hAnsiTheme="minorHAnsi" w:cstheme="minorHAnsi"/>
          <w:lang w:val="en-US"/>
        </w:rPr>
      </w:pPr>
    </w:p>
    <w:p w14:paraId="23AF76B5" w14:textId="57C748A8" w:rsidR="00B44691" w:rsidRPr="00B845AF" w:rsidRDefault="00B44691">
      <w:pPr>
        <w:pStyle w:val="SC3"/>
        <w:rPr>
          <w:rFonts w:asciiTheme="minorHAnsi" w:hAnsiTheme="minorHAnsi" w:cstheme="minorHAnsi"/>
        </w:rPr>
      </w:pPr>
      <w:r w:rsidRPr="00B845AF">
        <w:rPr>
          <w:rFonts w:asciiTheme="minorHAnsi" w:hAnsiTheme="minorHAnsi" w:cstheme="minorHAnsi"/>
        </w:rPr>
        <w:t>Research Plan Update</w:t>
      </w:r>
      <w:r w:rsidR="008C7B69" w:rsidRPr="00B845AF">
        <w:rPr>
          <w:rFonts w:asciiTheme="minorHAnsi" w:hAnsiTheme="minorHAnsi" w:cstheme="minorHAnsi"/>
        </w:rPr>
        <w:t xml:space="preserve"> </w:t>
      </w:r>
    </w:p>
    <w:p w14:paraId="093FC4F8" w14:textId="6F5C1966" w:rsidR="00082329" w:rsidRPr="00B845AF" w:rsidRDefault="00B44691" w:rsidP="00B44691">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4.6.8.1 Tuna Assessment Research Plan (TARP) for Key tuna species assessment in the WCPO, 2026-2029</w:t>
      </w:r>
    </w:p>
    <w:p w14:paraId="08C69D49" w14:textId="468CBF5A" w:rsidR="00082329" w:rsidRPr="00B845AF" w:rsidRDefault="00082329" w:rsidP="00B44691">
      <w:pPr>
        <w:pStyle w:val="SCtext"/>
        <w:numPr>
          <w:ilvl w:val="0"/>
          <w:numId w:val="0"/>
        </w:numPr>
        <w:rPr>
          <w:rFonts w:asciiTheme="minorHAnsi" w:eastAsia="MS Mincho" w:hAnsiTheme="minorHAnsi" w:cstheme="minorHAnsi"/>
          <w:b/>
          <w:bCs/>
          <w:lang w:val="en-US" w:eastAsia="ja-JP"/>
        </w:rPr>
      </w:pPr>
    </w:p>
    <w:p w14:paraId="1B30E417" w14:textId="3532D7A2" w:rsidR="00082329" w:rsidRPr="00B845AF" w:rsidRDefault="00604CCE">
      <w:pPr>
        <w:pStyle w:val="SCtext"/>
        <w:rPr>
          <w:rFonts w:asciiTheme="minorHAnsi" w:eastAsia="Batang" w:hAnsiTheme="minorHAnsi" w:cstheme="minorHAnsi"/>
          <w:lang w:val="en-US"/>
        </w:rPr>
      </w:pPr>
      <w:r w:rsidRPr="00B845AF">
        <w:rPr>
          <w:rFonts w:asciiTheme="minorHAnsi" w:hAnsiTheme="minorHAnsi" w:cstheme="minorHAnsi"/>
          <w:lang w:val="en-US"/>
        </w:rPr>
        <w:t>ISG04 (Tuna Assessment Research Plan) met on Friday</w:t>
      </w:r>
      <w:r w:rsidR="00116749" w:rsidRPr="00B845AF">
        <w:rPr>
          <w:rFonts w:asciiTheme="minorHAnsi" w:hAnsiTheme="minorHAnsi" w:cstheme="minorHAnsi"/>
          <w:lang w:val="en-US"/>
        </w:rPr>
        <w:t>,</w:t>
      </w:r>
      <w:r w:rsidRPr="00B845AF">
        <w:rPr>
          <w:rFonts w:asciiTheme="minorHAnsi" w:hAnsiTheme="minorHAnsi" w:cstheme="minorHAnsi"/>
          <w:lang w:val="en-US"/>
        </w:rPr>
        <w:t xml:space="preserve"> August 14</w:t>
      </w:r>
      <w:r w:rsidR="001F09F1" w:rsidRPr="00B845AF">
        <w:rPr>
          <w:rFonts w:asciiTheme="minorHAnsi" w:hAnsiTheme="minorHAnsi" w:cstheme="minorHAnsi"/>
          <w:lang w:val="en-US"/>
        </w:rPr>
        <w:t>. One new project was proposed, Project P22X09</w:t>
      </w:r>
      <w:r w:rsidR="004B316E" w:rsidRPr="00B845AF">
        <w:rPr>
          <w:rFonts w:asciiTheme="minorHAnsi" w:eastAsia="MS Mincho" w:hAnsiTheme="minorHAnsi" w:cstheme="minorHAnsi"/>
          <w:lang w:val="en-US" w:eastAsia="ja-JP"/>
        </w:rPr>
        <w:t xml:space="preserve"> </w:t>
      </w:r>
      <w:r w:rsidR="001F09F1" w:rsidRPr="00B845AF">
        <w:rPr>
          <w:rFonts w:asciiTheme="minorHAnsi" w:hAnsiTheme="minorHAnsi" w:cstheme="minorHAnsi"/>
          <w:i/>
          <w:iCs/>
          <w:lang w:val="en-US"/>
        </w:rPr>
        <w:t>Technical workshop on approaches to utilising tagging data within regional stock assessments to support best available science</w:t>
      </w:r>
      <w:r w:rsidR="001F09F1" w:rsidRPr="00B845AF">
        <w:rPr>
          <w:rFonts w:asciiTheme="minorHAnsi" w:hAnsiTheme="minorHAnsi" w:cstheme="minorHAnsi"/>
          <w:lang w:val="en-US"/>
        </w:rPr>
        <w:t>. There was general agreement that this would be a good project to be included for priority ranking.</w:t>
      </w:r>
      <w:r w:rsidR="00854042" w:rsidRPr="00B845AF">
        <w:rPr>
          <w:rFonts w:asciiTheme="minorHAnsi" w:hAnsiTheme="minorHAnsi" w:cstheme="minorHAnsi"/>
          <w:lang w:val="en-US"/>
        </w:rPr>
        <w:t xml:space="preserve"> The ISG reviewed the stock assessment schedule and noted that the yellowfin tuna assessment should be updated to be completed in 2027. </w:t>
      </w:r>
      <w:r w:rsidR="00854042" w:rsidRPr="00B845AF">
        <w:rPr>
          <w:rFonts w:asciiTheme="minorHAnsi" w:hAnsiTheme="minorHAnsi" w:cstheme="minorHAnsi"/>
          <w:b/>
          <w:bCs/>
          <w:lang w:val="en-US"/>
        </w:rPr>
        <w:t xml:space="preserve">The ISG recommended that the table be revised after the completion of ISG01 on the SC prioritization process to reflect the </w:t>
      </w:r>
      <w:r w:rsidR="00854042" w:rsidRPr="00B845AF">
        <w:rPr>
          <w:rFonts w:asciiTheme="minorHAnsi" w:hAnsiTheme="minorHAnsi" w:cstheme="minorHAnsi"/>
          <w:b/>
          <w:bCs/>
          <w:lang w:val="en-US"/>
        </w:rPr>
        <w:lastRenderedPageBreak/>
        <w:t>schedule of update and benchmark assessment.</w:t>
      </w:r>
      <w:r w:rsidR="00854042" w:rsidRPr="00B845AF">
        <w:rPr>
          <w:rFonts w:asciiTheme="minorHAnsi" w:hAnsiTheme="minorHAnsi" w:cstheme="minorHAnsi"/>
          <w:lang w:val="en-US"/>
        </w:rPr>
        <w:t xml:space="preserve"> It was suggested that B be used to indicate a benchmark assessment and U be used for an update assessment.</w:t>
      </w:r>
    </w:p>
    <w:p w14:paraId="65F509F4" w14:textId="048BB94D" w:rsidR="002F7849" w:rsidRPr="00B845AF" w:rsidRDefault="002F7849" w:rsidP="002F7849">
      <w:pPr>
        <w:pStyle w:val="SCtext"/>
        <w:numPr>
          <w:ilvl w:val="0"/>
          <w:numId w:val="0"/>
        </w:numPr>
        <w:rPr>
          <w:rFonts w:asciiTheme="minorHAnsi" w:hAnsiTheme="minorHAnsi" w:cstheme="minorHAnsi"/>
          <w:lang w:val="en-US"/>
        </w:rPr>
      </w:pPr>
    </w:p>
    <w:p w14:paraId="7CF643C9" w14:textId="1C5CB937" w:rsidR="00024E85" w:rsidRPr="00B845AF" w:rsidRDefault="002F7849" w:rsidP="00975AFA">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1AA499FC" w14:textId="6CF33497" w:rsidR="002F7849" w:rsidRPr="00B845AF" w:rsidRDefault="00854042">
      <w:pPr>
        <w:pStyle w:val="SCtext"/>
        <w:rPr>
          <w:rFonts w:asciiTheme="minorHAnsi" w:eastAsia="Batang" w:hAnsiTheme="minorHAnsi" w:cstheme="minorHAnsi"/>
          <w:b/>
          <w:bCs/>
          <w:lang w:val="en-US"/>
        </w:rPr>
      </w:pPr>
      <w:r w:rsidRPr="00B845AF">
        <w:rPr>
          <w:rFonts w:asciiTheme="minorHAnsi" w:eastAsia="Batang" w:hAnsiTheme="minorHAnsi" w:cstheme="minorHAnsi"/>
          <w:b/>
          <w:bCs/>
          <w:lang w:val="en-US"/>
        </w:rPr>
        <w:t>SC22 endorsed the recommendation from the ISG and will update the assessment schedule for tuna, billfish, and sharks pending the outcomes of SC22</w:t>
      </w:r>
      <w:r w:rsidR="002F7849" w:rsidRPr="00B845AF">
        <w:rPr>
          <w:rFonts w:asciiTheme="minorHAnsi" w:eastAsia="Batang" w:hAnsiTheme="minorHAnsi" w:cstheme="minorHAnsi"/>
          <w:b/>
          <w:bCs/>
          <w:lang w:val="en-US"/>
        </w:rPr>
        <w:t xml:space="preserve">. </w:t>
      </w:r>
    </w:p>
    <w:p w14:paraId="2095C4A0" w14:textId="77777777" w:rsidR="00082329" w:rsidRPr="00B845AF" w:rsidRDefault="00082329" w:rsidP="00B44691">
      <w:pPr>
        <w:pStyle w:val="SCtext"/>
        <w:numPr>
          <w:ilvl w:val="0"/>
          <w:numId w:val="0"/>
        </w:numPr>
        <w:rPr>
          <w:rFonts w:asciiTheme="minorHAnsi" w:eastAsia="MS Mincho" w:hAnsiTheme="minorHAnsi" w:cstheme="minorHAnsi"/>
          <w:b/>
          <w:bCs/>
          <w:lang w:val="en-US" w:eastAsia="ja-JP"/>
        </w:rPr>
      </w:pPr>
    </w:p>
    <w:p w14:paraId="0167D67D" w14:textId="5D228913" w:rsidR="00B44691" w:rsidRPr="00B845AF" w:rsidRDefault="00B44691" w:rsidP="00B44691">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4.6.8.2 Billfish Research Plan (2023-2030) annual update</w:t>
      </w:r>
    </w:p>
    <w:p w14:paraId="10F18741" w14:textId="3B474B3A" w:rsidR="00B44691" w:rsidRPr="00B845AF" w:rsidRDefault="00B44691" w:rsidP="00B44691">
      <w:pPr>
        <w:pStyle w:val="SCtext"/>
        <w:numPr>
          <w:ilvl w:val="0"/>
          <w:numId w:val="0"/>
        </w:numPr>
        <w:rPr>
          <w:rFonts w:asciiTheme="minorHAnsi" w:hAnsiTheme="minorHAnsi" w:cstheme="minorHAnsi"/>
          <w:b/>
          <w:bCs/>
          <w:lang w:val="en-US"/>
        </w:rPr>
      </w:pPr>
    </w:p>
    <w:p w14:paraId="391DBC93" w14:textId="06760E7E" w:rsidR="00082329" w:rsidRPr="00B845AF" w:rsidRDefault="002B2609">
      <w:pPr>
        <w:pStyle w:val="SCtext"/>
        <w:rPr>
          <w:rFonts w:asciiTheme="minorHAnsi" w:eastAsia="Batang" w:hAnsiTheme="minorHAnsi" w:cstheme="minorHAnsi"/>
          <w:lang w:val="en-US"/>
        </w:rPr>
      </w:pPr>
      <w:r w:rsidRPr="00B845AF">
        <w:rPr>
          <w:rFonts w:asciiTheme="minorHAnsi" w:eastAsia="Batang" w:hAnsiTheme="minorHAnsi" w:cstheme="minorHAnsi"/>
          <w:lang w:val="en-US"/>
        </w:rPr>
        <w:t>ISG05 (BRP) met on Friday, 14 August 2026, to review progress against the 2023-2030 Billfish Research Plan and related matters, including WCPFC-SC22-2026-SA-IP23. The full ISG05 report can be found in</w:t>
      </w:r>
      <w:r w:rsidRPr="00B845AF">
        <w:rPr>
          <w:rFonts w:asciiTheme="minorHAnsi" w:eastAsia="Batang" w:hAnsiTheme="minorHAnsi" w:cstheme="minorHAnsi"/>
          <w:b/>
          <w:bCs/>
          <w:lang w:val="en-US"/>
        </w:rPr>
        <w:t xml:space="preserve"> Attachment </w:t>
      </w:r>
      <w:r w:rsidR="004D78A6" w:rsidRPr="00B845AF">
        <w:rPr>
          <w:rFonts w:asciiTheme="minorHAnsi" w:eastAsia="MS Mincho" w:hAnsiTheme="minorHAnsi" w:cstheme="minorHAnsi"/>
          <w:b/>
          <w:bCs/>
          <w:lang w:val="en-US" w:eastAsia="ja-JP"/>
        </w:rPr>
        <w:t>I</w:t>
      </w:r>
      <w:r w:rsidRPr="00B845AF">
        <w:rPr>
          <w:rFonts w:asciiTheme="minorHAnsi" w:eastAsia="Batang" w:hAnsiTheme="minorHAnsi" w:cstheme="minorHAnsi"/>
          <w:lang w:val="en-US"/>
        </w:rPr>
        <w:t>.</w:t>
      </w:r>
    </w:p>
    <w:p w14:paraId="312A7947" w14:textId="77777777" w:rsidR="00082329" w:rsidRPr="00B845AF" w:rsidRDefault="00082329" w:rsidP="00B44691">
      <w:pPr>
        <w:pStyle w:val="SCtext"/>
        <w:numPr>
          <w:ilvl w:val="0"/>
          <w:numId w:val="0"/>
        </w:numPr>
        <w:rPr>
          <w:rFonts w:asciiTheme="minorHAnsi" w:hAnsiTheme="minorHAnsi" w:cstheme="minorHAnsi"/>
          <w:b/>
          <w:bCs/>
          <w:lang w:val="en-US"/>
        </w:rPr>
      </w:pPr>
    </w:p>
    <w:p w14:paraId="2084766C" w14:textId="21ABBA0A" w:rsidR="00B44691" w:rsidRPr="00B845AF" w:rsidRDefault="00B44691" w:rsidP="00B44691">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4.6.8.3 Shark Research Plan 2021- 2030 annual update</w:t>
      </w:r>
    </w:p>
    <w:p w14:paraId="20302412" w14:textId="77777777" w:rsidR="0075215D" w:rsidRPr="00B845AF" w:rsidRDefault="0075215D" w:rsidP="0075215D">
      <w:pPr>
        <w:pStyle w:val="SCtext"/>
        <w:numPr>
          <w:ilvl w:val="0"/>
          <w:numId w:val="0"/>
        </w:numPr>
        <w:rPr>
          <w:rFonts w:asciiTheme="minorHAnsi" w:hAnsiTheme="minorHAnsi" w:cstheme="minorHAnsi"/>
          <w:lang w:val="en-US"/>
        </w:rPr>
      </w:pPr>
    </w:p>
    <w:p w14:paraId="30238455" w14:textId="544F956D" w:rsidR="00C30C01" w:rsidRPr="00B845AF" w:rsidRDefault="003110B7">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ISG06 (SRP) met on </w:t>
      </w:r>
      <w:r w:rsidR="00300534" w:rsidRPr="00B845AF">
        <w:rPr>
          <w:rFonts w:asciiTheme="minorHAnsi" w:eastAsia="Batang" w:hAnsiTheme="minorHAnsi" w:cstheme="minorHAnsi"/>
          <w:lang w:val="en-US"/>
        </w:rPr>
        <w:t xml:space="preserve">Friday, </w:t>
      </w:r>
      <w:r w:rsidRPr="00B845AF">
        <w:rPr>
          <w:rFonts w:asciiTheme="minorHAnsi" w:eastAsia="Batang" w:hAnsiTheme="minorHAnsi" w:cstheme="minorHAnsi"/>
          <w:lang w:val="en-US"/>
        </w:rPr>
        <w:t>14 August 2026</w:t>
      </w:r>
      <w:r w:rsidR="00300534" w:rsidRPr="00B845AF">
        <w:rPr>
          <w:rFonts w:asciiTheme="minorHAnsi" w:eastAsia="Batang" w:hAnsiTheme="minorHAnsi" w:cstheme="minorHAnsi"/>
          <w:lang w:val="en-US"/>
        </w:rPr>
        <w:t>,</w:t>
      </w:r>
      <w:r w:rsidRPr="00B845AF">
        <w:rPr>
          <w:rFonts w:asciiTheme="minorHAnsi" w:eastAsia="Batang" w:hAnsiTheme="minorHAnsi" w:cstheme="minorHAnsi"/>
          <w:lang w:val="en-US"/>
        </w:rPr>
        <w:t xml:space="preserve"> to discuss WCPFC-SC22-2026-SA-IP24. </w:t>
      </w:r>
      <w:r w:rsidR="00300534" w:rsidRPr="00B845AF">
        <w:rPr>
          <w:rFonts w:asciiTheme="minorHAnsi" w:eastAsia="Batang" w:hAnsiTheme="minorHAnsi" w:cstheme="minorHAnsi"/>
          <w:lang w:val="en-US"/>
        </w:rPr>
        <w:t xml:space="preserve">The full ISG06 report can be found in </w:t>
      </w:r>
      <w:r w:rsidR="00300534" w:rsidRPr="00B845AF">
        <w:rPr>
          <w:rFonts w:asciiTheme="minorHAnsi" w:eastAsia="Batang" w:hAnsiTheme="minorHAnsi" w:cstheme="minorHAnsi"/>
          <w:b/>
          <w:bCs/>
          <w:lang w:val="en-US"/>
        </w:rPr>
        <w:t xml:space="preserve">Attachment </w:t>
      </w:r>
      <w:r w:rsidR="004D78A6" w:rsidRPr="00B845AF">
        <w:rPr>
          <w:rFonts w:asciiTheme="minorHAnsi" w:eastAsia="MS Mincho" w:hAnsiTheme="minorHAnsi" w:cstheme="minorHAnsi"/>
          <w:b/>
          <w:bCs/>
          <w:lang w:val="en-US" w:eastAsia="ja-JP"/>
        </w:rPr>
        <w:t>J</w:t>
      </w:r>
      <w:r w:rsidRPr="00B845AF">
        <w:rPr>
          <w:rFonts w:asciiTheme="minorHAnsi" w:eastAsia="Batang" w:hAnsiTheme="minorHAnsi" w:cstheme="minorHAnsi"/>
          <w:lang w:val="en-US"/>
        </w:rPr>
        <w:t>.</w:t>
      </w:r>
    </w:p>
    <w:p w14:paraId="7D0223BD" w14:textId="56221028" w:rsidR="00A665ED" w:rsidRPr="00B845AF" w:rsidRDefault="00A665ED" w:rsidP="00A665ED">
      <w:pPr>
        <w:pStyle w:val="SCtext"/>
        <w:numPr>
          <w:ilvl w:val="0"/>
          <w:numId w:val="0"/>
        </w:numPr>
        <w:rPr>
          <w:rFonts w:asciiTheme="minorHAnsi" w:eastAsia="Batang" w:hAnsiTheme="minorHAnsi" w:cstheme="minorHAnsi"/>
          <w:lang w:val="en-US"/>
        </w:rPr>
      </w:pPr>
    </w:p>
    <w:p w14:paraId="73D2AA2A" w14:textId="6392E189" w:rsidR="00A665ED" w:rsidRPr="00B845AF" w:rsidRDefault="00A665ED" w:rsidP="00A665ED">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351E0851" w14:textId="4C146FB1" w:rsidR="00A665ED" w:rsidRPr="00B845AF" w:rsidRDefault="00C663BA">
      <w:pPr>
        <w:pStyle w:val="SCtext"/>
        <w:rPr>
          <w:rFonts w:asciiTheme="minorHAnsi" w:eastAsia="Batang" w:hAnsiTheme="minorHAnsi" w:cstheme="minorHAnsi"/>
          <w:lang w:val="en-US"/>
        </w:rPr>
      </w:pPr>
      <w:r w:rsidRPr="00B845AF">
        <w:rPr>
          <w:rFonts w:asciiTheme="minorHAnsi" w:eastAsia="Batang" w:hAnsiTheme="minorHAnsi" w:cstheme="minorHAnsi"/>
          <w:lang w:val="en-US"/>
        </w:rPr>
        <w:t xml:space="preserve">SC22 noted the importance of providing stock assessments for sharks to ensure </w:t>
      </w:r>
      <w:r w:rsidR="5125A092" w:rsidRPr="00B845AF">
        <w:rPr>
          <w:rFonts w:asciiTheme="minorHAnsi" w:eastAsia="Batang" w:hAnsiTheme="minorHAnsi" w:cstheme="minorHAnsi"/>
          <w:lang w:val="en-US"/>
        </w:rPr>
        <w:t xml:space="preserve">they are </w:t>
      </w:r>
      <w:r w:rsidRPr="00B845AF">
        <w:rPr>
          <w:rFonts w:asciiTheme="minorHAnsi" w:eastAsia="Batang" w:hAnsiTheme="minorHAnsi" w:cstheme="minorHAnsi"/>
          <w:lang w:val="en-US"/>
        </w:rPr>
        <w:t xml:space="preserve">sustainably </w:t>
      </w:r>
      <w:r w:rsidR="008662C9" w:rsidRPr="00B845AF">
        <w:rPr>
          <w:rFonts w:asciiTheme="minorHAnsi" w:eastAsia="Batang" w:hAnsiTheme="minorHAnsi" w:cstheme="minorHAnsi"/>
          <w:lang w:val="en-US"/>
        </w:rPr>
        <w:t>managed but</w:t>
      </w:r>
      <w:r w:rsidRPr="00B845AF">
        <w:rPr>
          <w:rFonts w:asciiTheme="minorHAnsi" w:eastAsia="Batang" w:hAnsiTheme="minorHAnsi" w:cstheme="minorHAnsi"/>
          <w:lang w:val="en-US"/>
        </w:rPr>
        <w:t xml:space="preserve"> raised concerns about the lack of a process for identifying projects as essential</w:t>
      </w:r>
      <w:r w:rsidR="00116749" w:rsidRPr="00B845AF">
        <w:rPr>
          <w:rFonts w:asciiTheme="minorHAnsi" w:eastAsia="Batang" w:hAnsiTheme="minorHAnsi" w:cstheme="minorHAnsi"/>
          <w:lang w:val="en-US"/>
        </w:rPr>
        <w:t>,</w:t>
      </w:r>
      <w:r w:rsidRPr="00B845AF">
        <w:rPr>
          <w:rFonts w:asciiTheme="minorHAnsi" w:eastAsia="Batang" w:hAnsiTheme="minorHAnsi" w:cstheme="minorHAnsi"/>
          <w:lang w:val="en-US"/>
        </w:rPr>
        <w:t xml:space="preserve"> which effectively removes them from the prioritization process. It was clarified that the suggestion from the ISG was for the SC to determine, on a case-by-case basis, which shark assessments would be considered essential. Noting the concerns from some CCMs about the process and potential for lack of transparency, </w:t>
      </w:r>
      <w:r w:rsidRPr="00B845AF">
        <w:rPr>
          <w:rFonts w:asciiTheme="minorHAnsi" w:eastAsia="Batang" w:hAnsiTheme="minorHAnsi" w:cstheme="minorHAnsi"/>
          <w:b/>
          <w:bCs/>
          <w:lang w:val="en-US"/>
        </w:rPr>
        <w:t>SC22 agreed to rank the proposal for a one-year assessment for southwest Pacific blue shark to be delivered to SC23 as essential. SC22 also recommended that a process for identifying projects as essential be established during SC23.</w:t>
      </w:r>
    </w:p>
    <w:p w14:paraId="4BD5340E" w14:textId="77777777" w:rsidR="00D649E0" w:rsidRPr="00B845AF" w:rsidRDefault="00D649E0" w:rsidP="00B44691">
      <w:pPr>
        <w:widowControl w:val="0"/>
        <w:kinsoku w:val="0"/>
        <w:overflowPunct w:val="0"/>
        <w:autoSpaceDE w:val="0"/>
        <w:autoSpaceDN w:val="0"/>
        <w:adjustRightInd w:val="0"/>
        <w:snapToGrid w:val="0"/>
        <w:jc w:val="both"/>
        <w:rPr>
          <w:rFonts w:asciiTheme="minorHAnsi" w:eastAsia="Batang" w:hAnsiTheme="minorHAnsi" w:cstheme="minorHAnsi"/>
          <w:szCs w:val="22"/>
          <w:lang w:eastAsia="ko-KR"/>
        </w:rPr>
      </w:pPr>
    </w:p>
    <w:p w14:paraId="648ADCD2" w14:textId="0AEFE123" w:rsidR="00D649E0" w:rsidRPr="00B845AF" w:rsidRDefault="00B44691">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Application of Convention language to stock assessment advice</w:t>
      </w:r>
    </w:p>
    <w:p w14:paraId="0BB11BC0" w14:textId="161F32CD" w:rsidR="00C86CDA" w:rsidRPr="00B845AF" w:rsidRDefault="00495536">
      <w:pPr>
        <w:pStyle w:val="SCtext"/>
        <w:rPr>
          <w:rFonts w:asciiTheme="minorHAnsi" w:hAnsiTheme="minorHAnsi" w:cstheme="minorHAnsi"/>
          <w:lang w:val="en-US"/>
        </w:rPr>
      </w:pPr>
      <w:r w:rsidRPr="00B845AF">
        <w:rPr>
          <w:rFonts w:asciiTheme="minorHAnsi" w:hAnsiTheme="minorHAnsi" w:cstheme="minorHAnsi"/>
          <w:lang w:val="en-US"/>
        </w:rPr>
        <w:t xml:space="preserve">No presentation was made under this item. The </w:t>
      </w:r>
      <w:r w:rsidR="00D75B0E" w:rsidRPr="00B845AF">
        <w:rPr>
          <w:rFonts w:asciiTheme="minorHAnsi" w:hAnsiTheme="minorHAnsi" w:cstheme="minorHAnsi"/>
          <w:lang w:val="en-US"/>
        </w:rPr>
        <w:t>theme</w:t>
      </w:r>
      <w:r w:rsidRPr="00B845AF">
        <w:rPr>
          <w:rFonts w:asciiTheme="minorHAnsi" w:hAnsiTheme="minorHAnsi" w:cstheme="minorHAnsi"/>
          <w:lang w:val="en-US"/>
        </w:rPr>
        <w:t xml:space="preserve"> </w:t>
      </w:r>
      <w:r w:rsidR="00D75B0E" w:rsidRPr="00B845AF">
        <w:rPr>
          <w:rFonts w:asciiTheme="minorHAnsi" w:hAnsiTheme="minorHAnsi" w:cstheme="minorHAnsi"/>
          <w:lang w:val="en-US"/>
        </w:rPr>
        <w:t>c</w:t>
      </w:r>
      <w:r w:rsidRPr="00B845AF">
        <w:rPr>
          <w:rFonts w:asciiTheme="minorHAnsi" w:hAnsiTheme="minorHAnsi" w:cstheme="minorHAnsi"/>
          <w:lang w:val="en-US"/>
        </w:rPr>
        <w:t>o-</w:t>
      </w:r>
      <w:r w:rsidR="00D75B0E" w:rsidRPr="00B845AF">
        <w:rPr>
          <w:rFonts w:asciiTheme="minorHAnsi" w:hAnsiTheme="minorHAnsi" w:cstheme="minorHAnsi"/>
          <w:lang w:val="en-US"/>
        </w:rPr>
        <w:t>c</w:t>
      </w:r>
      <w:r w:rsidRPr="00B845AF">
        <w:rPr>
          <w:rFonts w:asciiTheme="minorHAnsi" w:hAnsiTheme="minorHAnsi" w:cstheme="minorHAnsi"/>
          <w:lang w:val="en-US"/>
        </w:rPr>
        <w:t xml:space="preserve">onvener noted the relevant paper, </w:t>
      </w:r>
      <w:hyperlink r:id="rId66" w:history="1">
        <w:r w:rsidRPr="00B845AF">
          <w:rPr>
            <w:rStyle w:val="Hyperlink"/>
            <w:rFonts w:asciiTheme="minorHAnsi" w:hAnsiTheme="minorHAnsi" w:cstheme="minorHAnsi"/>
            <w:lang w:val="en-US"/>
          </w:rPr>
          <w:t>WCPFC-SC22-2-26-SA-IP25</w:t>
        </w:r>
      </w:hyperlink>
      <w:r w:rsidRPr="00B845AF">
        <w:rPr>
          <w:rFonts w:asciiTheme="minorHAnsi" w:hAnsiTheme="minorHAnsi" w:cstheme="minorHAnsi"/>
          <w:lang w:val="en-US"/>
        </w:rPr>
        <w:t>, and opened the floor for comments.</w:t>
      </w:r>
    </w:p>
    <w:p w14:paraId="32D224FF" w14:textId="08EEC0AA" w:rsidR="00C86CDA" w:rsidRPr="00B845AF" w:rsidRDefault="00C86CDA" w:rsidP="00C86CDA">
      <w:pPr>
        <w:pStyle w:val="SCtext"/>
        <w:numPr>
          <w:ilvl w:val="0"/>
          <w:numId w:val="0"/>
        </w:numPr>
        <w:rPr>
          <w:rFonts w:asciiTheme="minorHAnsi" w:hAnsiTheme="minorHAnsi" w:cstheme="minorHAnsi"/>
          <w:lang w:val="en-US"/>
        </w:rPr>
      </w:pPr>
    </w:p>
    <w:p w14:paraId="6F47F330" w14:textId="75C72223" w:rsidR="00495536" w:rsidRPr="00B845AF" w:rsidRDefault="00495536" w:rsidP="00495536">
      <w:pPr>
        <w:pStyle w:val="SCDR"/>
        <w:rPr>
          <w:rFonts w:asciiTheme="minorHAnsi" w:hAnsiTheme="minorHAnsi" w:cstheme="minorHAnsi"/>
        </w:rPr>
      </w:pPr>
      <w:r w:rsidRPr="00B845AF">
        <w:rPr>
          <w:rFonts w:asciiTheme="minorHAnsi" w:hAnsiTheme="minorHAnsi" w:cstheme="minorHAnsi"/>
        </w:rPr>
        <w:t>Discussion</w:t>
      </w:r>
    </w:p>
    <w:p w14:paraId="00F9C6D0" w14:textId="1FCAB3FF" w:rsidR="00495536" w:rsidRPr="00B845AF" w:rsidRDefault="00495536">
      <w:pPr>
        <w:pStyle w:val="SCtext"/>
        <w:rPr>
          <w:rFonts w:asciiTheme="minorHAnsi" w:hAnsiTheme="minorHAnsi" w:cstheme="minorHAnsi"/>
          <w:lang w:val="en-US"/>
        </w:rPr>
      </w:pPr>
      <w:r w:rsidRPr="00B845AF">
        <w:rPr>
          <w:rFonts w:asciiTheme="minorHAnsi" w:hAnsiTheme="minorHAnsi" w:cstheme="minorHAnsi"/>
          <w:lang w:val="en-US"/>
        </w:rPr>
        <w:t xml:space="preserve">New Zealand, on behalf of FFA members, considered that the paper provided a thoughtful discussion of the issues and identified important questions the Committee would need to consider before determining whether and how Convention terminology could be consistently applied to stock assessment advice, while recognizing that applying such terminology raises complex scientific, legal, and policy considerations. FFA members considered that further discussion among interested members, the SSP, and the Secretariat would be beneficial before SC reaches a position, to allow consideration of the practical implications of the approaches outlined in the paper and development of a common understanding of how best to communicate existing scientific advice using Convention terminology and objectives. FFA members stated that any further approach should remain based on the best available scientific evidence, preserve the existing scientific assessment framework, improve the clarity and consistency of scientific communication where appropriate, and maintain a clear distinction between scientific advice and the Commission’s legal management responsibilities. FFA members considered that the issue would benefit </w:t>
      </w:r>
      <w:r w:rsidRPr="00B845AF">
        <w:rPr>
          <w:rFonts w:asciiTheme="minorHAnsi" w:hAnsiTheme="minorHAnsi" w:cstheme="minorHAnsi"/>
          <w:lang w:val="en-US"/>
        </w:rPr>
        <w:lastRenderedPageBreak/>
        <w:t>from further intersessional discussion among interested members before being considered further by SC23.</w:t>
      </w:r>
    </w:p>
    <w:p w14:paraId="5D8A1660" w14:textId="77777777" w:rsidR="00495536" w:rsidRPr="00B845AF" w:rsidRDefault="00495536" w:rsidP="00495536">
      <w:pPr>
        <w:pStyle w:val="SCtext"/>
        <w:numPr>
          <w:ilvl w:val="0"/>
          <w:numId w:val="0"/>
        </w:numPr>
        <w:rPr>
          <w:rFonts w:asciiTheme="minorHAnsi" w:hAnsiTheme="minorHAnsi" w:cstheme="minorHAnsi"/>
          <w:lang w:val="en-US"/>
        </w:rPr>
      </w:pPr>
    </w:p>
    <w:p w14:paraId="1F391FD2" w14:textId="3036CEF6" w:rsidR="00495536" w:rsidRPr="00B845AF" w:rsidRDefault="00A378AF">
      <w:pPr>
        <w:pStyle w:val="SCtext"/>
        <w:rPr>
          <w:rFonts w:asciiTheme="minorHAnsi" w:hAnsiTheme="minorHAnsi" w:cstheme="minorHAnsi"/>
          <w:lang w:val="en-US"/>
        </w:rPr>
      </w:pPr>
      <w:r w:rsidRPr="00B845AF">
        <w:rPr>
          <w:rFonts w:asciiTheme="minorHAnsi" w:hAnsiTheme="minorHAnsi" w:cstheme="minorHAnsi"/>
          <w:lang w:val="en-US"/>
        </w:rPr>
        <w:t>Naoero</w:t>
      </w:r>
      <w:r w:rsidR="00495536" w:rsidRPr="00B845AF">
        <w:rPr>
          <w:rFonts w:asciiTheme="minorHAnsi" w:hAnsiTheme="minorHAnsi" w:cstheme="minorHAnsi"/>
          <w:lang w:val="en-US"/>
        </w:rPr>
        <w:t xml:space="preserve">, on behalf of </w:t>
      </w:r>
      <w:r w:rsidR="00B311D3" w:rsidRPr="00B845AF">
        <w:rPr>
          <w:rFonts w:asciiTheme="minorHAnsi" w:hAnsiTheme="minorHAnsi" w:cstheme="minorHAnsi"/>
          <w:lang w:val="en-US"/>
        </w:rPr>
        <w:t xml:space="preserve">the </w:t>
      </w:r>
      <w:r w:rsidR="00495536" w:rsidRPr="00B845AF">
        <w:rPr>
          <w:rFonts w:asciiTheme="minorHAnsi" w:hAnsiTheme="minorHAnsi" w:cstheme="minorHAnsi"/>
          <w:lang w:val="en-US"/>
        </w:rPr>
        <w:t>PNA and Vanuatu, welcomed the Commission’s adoption of the template for reporting stock assessment outcomes, uncertainty, and risk, and noted that during discussion of that template it had requested SC advice on how to relate scientific advice on stock status to the Convention’s objectives. It thanked the Secretariat and the SSP for the paper and stated that clarifying the link between elements of scientific advice and the Convention would make the Commission’s scientific advice more effective and more widely used. It noted as its only comment that the paper's final recommendation invited the Committee to consider whether standardized and appropriately qualified wording should be developed for future stock assessment summaries, stating that it had not intended to necessarily frame the response in that way and wondering whether a response might instead be expressed in general terms, or address how the elements of the new template relate to the objective of sustainable use. Given the meeting</w:t>
      </w:r>
      <w:r w:rsidRPr="00B845AF">
        <w:rPr>
          <w:rFonts w:asciiTheme="minorHAnsi" w:hAnsiTheme="minorHAnsi" w:cstheme="minorHAnsi"/>
          <w:lang w:val="en-US"/>
        </w:rPr>
        <w:t>’</w:t>
      </w:r>
      <w:r w:rsidR="00495536" w:rsidRPr="00B845AF">
        <w:rPr>
          <w:rFonts w:asciiTheme="minorHAnsi" w:hAnsiTheme="minorHAnsi" w:cstheme="minorHAnsi"/>
          <w:lang w:val="en-US"/>
        </w:rPr>
        <w:t>s timing constraints, it stated it would be happy to see substantive discussion of the paper deferred to next year.</w:t>
      </w:r>
    </w:p>
    <w:p w14:paraId="41AE72AF" w14:textId="5C7269B5" w:rsidR="001B7A1B" w:rsidRPr="00B845AF" w:rsidRDefault="001B7A1B" w:rsidP="001B7A1B">
      <w:pPr>
        <w:pStyle w:val="SCtext"/>
        <w:numPr>
          <w:ilvl w:val="0"/>
          <w:numId w:val="0"/>
        </w:numPr>
        <w:rPr>
          <w:rFonts w:asciiTheme="minorHAnsi" w:hAnsiTheme="minorHAnsi" w:cstheme="minorHAnsi"/>
          <w:lang w:val="en-US"/>
        </w:rPr>
      </w:pPr>
    </w:p>
    <w:p w14:paraId="095C1959" w14:textId="01252BEE" w:rsidR="001B7A1B" w:rsidRPr="00B845AF" w:rsidRDefault="001B7A1B" w:rsidP="001B7A1B">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4FDEC4F5" w14:textId="0508B939" w:rsidR="001B7A1B" w:rsidRPr="00B845AF" w:rsidRDefault="005205E7">
      <w:pPr>
        <w:pStyle w:val="SCtext"/>
        <w:rPr>
          <w:rFonts w:asciiTheme="minorHAnsi" w:hAnsiTheme="minorHAnsi" w:cstheme="minorHAnsi"/>
          <w:lang w:val="en-US"/>
        </w:rPr>
      </w:pPr>
      <w:r w:rsidRPr="00B845AF">
        <w:rPr>
          <w:rFonts w:asciiTheme="minorHAnsi" w:eastAsia="MS Mincho" w:hAnsiTheme="minorHAnsi" w:cstheme="minorHAnsi"/>
          <w:b/>
          <w:bCs/>
          <w:lang w:val="en-US" w:eastAsia="ja-JP"/>
        </w:rPr>
        <w:t>SC22 agreed to defer discussion of this agenda item to SC23.</w:t>
      </w:r>
    </w:p>
    <w:p w14:paraId="721291A7" w14:textId="4D6AB12C" w:rsidR="00495536" w:rsidRPr="00B845AF" w:rsidRDefault="00495536" w:rsidP="00495536">
      <w:pPr>
        <w:pStyle w:val="SCtext"/>
        <w:numPr>
          <w:ilvl w:val="0"/>
          <w:numId w:val="0"/>
        </w:numPr>
        <w:rPr>
          <w:rFonts w:asciiTheme="minorHAnsi" w:hAnsiTheme="minorHAnsi" w:cstheme="minorHAnsi"/>
          <w:lang w:val="en-US"/>
        </w:rPr>
      </w:pPr>
    </w:p>
    <w:p w14:paraId="052C1B21" w14:textId="2134078A" w:rsidR="00495536" w:rsidRPr="00B845AF" w:rsidRDefault="00495536">
      <w:pPr>
        <w:pStyle w:val="SC2"/>
        <w:rPr>
          <w:rFonts w:asciiTheme="minorHAnsi" w:eastAsia="Batang" w:hAnsiTheme="minorHAnsi" w:cstheme="minorHAnsi"/>
          <w:lang w:eastAsia="ko-KR"/>
        </w:rPr>
      </w:pPr>
      <w:r w:rsidRPr="00B845AF">
        <w:rPr>
          <w:rFonts w:asciiTheme="minorHAnsi" w:eastAsia="Batang" w:hAnsiTheme="minorHAnsi" w:cstheme="minorHAnsi"/>
          <w:lang w:eastAsia="ko-KR"/>
        </w:rPr>
        <w:t>Other SA Theme issues</w:t>
      </w:r>
    </w:p>
    <w:p w14:paraId="1F49D2A1" w14:textId="186D017E" w:rsidR="00495536" w:rsidRPr="00B845AF" w:rsidRDefault="00495536">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w:t>
      </w:r>
      <w:r w:rsidR="00D75B0E" w:rsidRPr="00B845AF">
        <w:rPr>
          <w:rFonts w:asciiTheme="minorHAnsi" w:eastAsia="MS Mincho" w:hAnsiTheme="minorHAnsi" w:cstheme="minorHAnsi"/>
          <w:lang w:val="en-US" w:eastAsia="ja-JP"/>
        </w:rPr>
        <w:t xml:space="preserve"> c</w:t>
      </w:r>
      <w:r w:rsidRPr="00B845AF">
        <w:rPr>
          <w:rFonts w:asciiTheme="minorHAnsi" w:eastAsia="MS Mincho" w:hAnsiTheme="minorHAnsi" w:cstheme="minorHAnsi"/>
          <w:lang w:val="en-US" w:eastAsia="ja-JP"/>
        </w:rPr>
        <w:t>o-</w:t>
      </w:r>
      <w:r w:rsidR="00D75B0E" w:rsidRPr="00B845AF">
        <w:rPr>
          <w:rFonts w:asciiTheme="minorHAnsi" w:eastAsia="MS Mincho" w:hAnsiTheme="minorHAnsi" w:cstheme="minorHAnsi"/>
          <w:lang w:val="en-US" w:eastAsia="ja-JP"/>
        </w:rPr>
        <w:t>c</w:t>
      </w:r>
      <w:r w:rsidRPr="00B845AF">
        <w:rPr>
          <w:rFonts w:asciiTheme="minorHAnsi" w:eastAsia="MS Mincho" w:hAnsiTheme="minorHAnsi" w:cstheme="minorHAnsi"/>
          <w:lang w:val="en-US" w:eastAsia="ja-JP"/>
        </w:rPr>
        <w:t>onvener noted that there were no matters under this item and closed it.</w:t>
      </w:r>
    </w:p>
    <w:p w14:paraId="4A61DD80" w14:textId="77777777" w:rsidR="00495536" w:rsidRPr="00B845AF" w:rsidRDefault="00495536" w:rsidP="00C86CDA">
      <w:pPr>
        <w:pStyle w:val="SCtext"/>
        <w:numPr>
          <w:ilvl w:val="0"/>
          <w:numId w:val="0"/>
        </w:numPr>
        <w:rPr>
          <w:rFonts w:asciiTheme="minorHAnsi" w:hAnsiTheme="minorHAnsi" w:cstheme="minorHAnsi"/>
          <w:lang w:val="en-US"/>
        </w:rPr>
      </w:pPr>
    </w:p>
    <w:p w14:paraId="0C969A64" w14:textId="77777777" w:rsidR="000063F4" w:rsidRPr="00B845AF" w:rsidRDefault="000063F4">
      <w:pPr>
        <w:rPr>
          <w:rFonts w:asciiTheme="minorHAnsi" w:eastAsiaTheme="minorEastAsia" w:hAnsiTheme="minorHAnsi" w:cstheme="minorHAnsi"/>
          <w:szCs w:val="22"/>
          <w:lang w:eastAsia="ko-KR"/>
        </w:rPr>
      </w:pPr>
    </w:p>
    <w:p w14:paraId="11E9CE67" w14:textId="77777777" w:rsidR="009357C7" w:rsidRPr="00B845AF" w:rsidRDefault="005D03CD" w:rsidP="003B14E5">
      <w:pPr>
        <w:pStyle w:val="Heading1"/>
        <w:numPr>
          <w:ilvl w:val="0"/>
          <w:numId w:val="0"/>
        </w:numPr>
        <w:adjustRightInd w:val="0"/>
        <w:snapToGrid w:val="0"/>
        <w:spacing w:after="0"/>
        <w:ind w:left="360"/>
        <w:rPr>
          <w:rFonts w:asciiTheme="minorHAnsi" w:hAnsiTheme="minorHAnsi" w:cstheme="minorHAnsi"/>
        </w:rPr>
      </w:pPr>
      <w:r w:rsidRPr="00B845AF">
        <w:rPr>
          <w:rFonts w:asciiTheme="minorHAnsi" w:hAnsiTheme="minorHAnsi" w:cstheme="minorHAnsi"/>
        </w:rPr>
        <w:t xml:space="preserve">AGENDA ITEM </w:t>
      </w:r>
      <w:r w:rsidR="00F35A4D" w:rsidRPr="00B845AF">
        <w:rPr>
          <w:rFonts w:asciiTheme="minorHAnsi" w:hAnsiTheme="minorHAnsi" w:cstheme="minorHAnsi"/>
        </w:rPr>
        <w:t xml:space="preserve">5 </w:t>
      </w:r>
      <w:r w:rsidR="00174FEF" w:rsidRPr="00B845AF">
        <w:rPr>
          <w:rFonts w:asciiTheme="minorHAnsi" w:hAnsiTheme="minorHAnsi" w:cstheme="minorHAnsi"/>
        </w:rPr>
        <w:t xml:space="preserve">— </w:t>
      </w:r>
      <w:r w:rsidR="00D649E0" w:rsidRPr="00B845AF">
        <w:rPr>
          <w:rFonts w:asciiTheme="minorHAnsi" w:hAnsiTheme="minorHAnsi" w:cstheme="minorHAnsi"/>
        </w:rPr>
        <w:t xml:space="preserve">MANAGEMENT ISSUES </w:t>
      </w:r>
      <w:r w:rsidR="00FD2875" w:rsidRPr="00B845AF">
        <w:rPr>
          <w:rFonts w:asciiTheme="minorHAnsi" w:hAnsiTheme="minorHAnsi" w:cstheme="minorHAnsi"/>
        </w:rPr>
        <w:t xml:space="preserve">THEME </w:t>
      </w:r>
    </w:p>
    <w:p w14:paraId="6F939A2E" w14:textId="26512449" w:rsidR="00334B8C" w:rsidRPr="00B845AF" w:rsidRDefault="00334B8C" w:rsidP="003B14E5">
      <w:pPr>
        <w:pStyle w:val="Heading1"/>
        <w:numPr>
          <w:ilvl w:val="0"/>
          <w:numId w:val="0"/>
        </w:numPr>
        <w:adjustRightInd w:val="0"/>
        <w:snapToGrid w:val="0"/>
        <w:spacing w:after="0"/>
        <w:ind w:left="360"/>
        <w:rPr>
          <w:rFonts w:asciiTheme="minorHAnsi" w:hAnsiTheme="minorHAnsi" w:cstheme="minorHAnsi"/>
        </w:rPr>
      </w:pPr>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51" w:name="_Toc239261427"/>
      <w:r w:rsidRPr="00B845AF">
        <w:rPr>
          <w:rFonts w:asciiTheme="minorHAnsi" w:hAnsiTheme="minorHAnsi" w:cstheme="minorHAnsi"/>
        </w:rPr>
        <w:instrText xml:space="preserve">AGENDA ITEM </w:instrText>
      </w:r>
      <w:r w:rsidR="00E95D49" w:rsidRPr="00B845AF">
        <w:rPr>
          <w:rFonts w:asciiTheme="minorHAnsi" w:hAnsiTheme="minorHAnsi" w:cstheme="minorHAnsi"/>
        </w:rPr>
        <w:instrText>5</w:instrText>
      </w:r>
      <w:r w:rsidRPr="00B845AF">
        <w:rPr>
          <w:rFonts w:asciiTheme="minorHAnsi" w:hAnsiTheme="minorHAnsi" w:cstheme="minorHAnsi"/>
        </w:rPr>
        <w:instrText xml:space="preserve"> — MANAGEMENT ISSUES THEME</w:instrText>
      </w:r>
      <w:bookmarkEnd w:id="51"/>
      <w:r w:rsidRPr="00B845AF">
        <w:rPr>
          <w:rFonts w:asciiTheme="minorHAnsi" w:hAnsiTheme="minorHAnsi" w:cstheme="minorHAnsi"/>
        </w:rPr>
        <w:instrText xml:space="preserve"> " \f C \l "1" </w:instrText>
      </w:r>
      <w:r w:rsidRPr="00B845AF">
        <w:rPr>
          <w:rFonts w:asciiTheme="minorHAnsi" w:hAnsiTheme="minorHAnsi" w:cstheme="minorHAnsi"/>
        </w:rPr>
        <w:fldChar w:fldCharType="end"/>
      </w:r>
    </w:p>
    <w:p w14:paraId="4BC2A723" w14:textId="77777777" w:rsidR="00304C72" w:rsidRPr="00B845AF" w:rsidRDefault="00304C72">
      <w:pPr>
        <w:pStyle w:val="ListParagraph"/>
        <w:keepNext/>
        <w:numPr>
          <w:ilvl w:val="0"/>
          <w:numId w:val="7"/>
        </w:numPr>
        <w:suppressLineNumbers/>
        <w:adjustRightInd w:val="0"/>
        <w:snapToGrid w:val="0"/>
        <w:spacing w:after="220"/>
        <w:jc w:val="both"/>
        <w:outlineLvl w:val="1"/>
        <w:rPr>
          <w:rFonts w:asciiTheme="minorHAnsi" w:eastAsiaTheme="minorEastAsia" w:hAnsiTheme="minorHAnsi" w:cstheme="minorHAnsi"/>
          <w:b/>
          <w:vanish/>
          <w:szCs w:val="22"/>
          <w:lang w:eastAsia="ko-KR"/>
        </w:rPr>
      </w:pPr>
    </w:p>
    <w:p w14:paraId="76F94D0B" w14:textId="6D5257E3" w:rsidR="00B84C4F" w:rsidRPr="00B845AF" w:rsidRDefault="003A2857">
      <w:pPr>
        <w:pStyle w:val="SC2"/>
        <w:rPr>
          <w:rFonts w:asciiTheme="minorHAnsi" w:hAnsiTheme="minorHAnsi" w:cstheme="minorHAnsi"/>
        </w:rPr>
      </w:pPr>
      <w:r w:rsidRPr="00B845AF">
        <w:rPr>
          <w:rFonts w:asciiTheme="minorHAnsi" w:eastAsiaTheme="minorEastAsia" w:hAnsiTheme="minorHAnsi" w:cstheme="minorHAnsi"/>
          <w:lang w:eastAsia="ko-KR"/>
        </w:rPr>
        <w:t>Development of the WCPFC harvest strategy framework</w:t>
      </w:r>
    </w:p>
    <w:p w14:paraId="4D7A0ECA" w14:textId="425F73E7" w:rsidR="003A2857" w:rsidRPr="00B845AF" w:rsidRDefault="00B65F99">
      <w:pPr>
        <w:pStyle w:val="SC3"/>
        <w:rPr>
          <w:rFonts w:asciiTheme="minorHAnsi" w:hAnsiTheme="minorHAnsi" w:cstheme="minorHAnsi"/>
        </w:rPr>
      </w:pPr>
      <w:r w:rsidRPr="00B845AF">
        <w:rPr>
          <w:rFonts w:asciiTheme="minorHAnsi" w:hAnsiTheme="minorHAnsi" w:cstheme="minorHAnsi"/>
        </w:rPr>
        <w:t>Bigeye tuna harvest strategy</w:t>
      </w:r>
    </w:p>
    <w:p w14:paraId="5E9638F7" w14:textId="47C2E92A" w:rsidR="003A2857" w:rsidRPr="00B845AF" w:rsidRDefault="00444F4B" w:rsidP="00444F4B">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r w:rsidRPr="00B845AF">
        <w:rPr>
          <w:rFonts w:asciiTheme="minorHAnsi" w:eastAsiaTheme="minorEastAsia" w:hAnsiTheme="minorHAnsi" w:cstheme="minorHAnsi"/>
          <w:b/>
          <w:bCs/>
          <w:iCs/>
          <w:szCs w:val="22"/>
          <w:lang w:eastAsia="ko-KR"/>
        </w:rPr>
        <w:t>5.1.1.1</w:t>
      </w:r>
      <w:r w:rsidRPr="00B845AF">
        <w:rPr>
          <w:rFonts w:asciiTheme="minorHAnsi" w:eastAsiaTheme="minorEastAsia" w:hAnsiTheme="minorHAnsi" w:cstheme="minorHAnsi"/>
          <w:b/>
          <w:bCs/>
          <w:iCs/>
          <w:szCs w:val="22"/>
          <w:lang w:eastAsia="ko-KR"/>
        </w:rPr>
        <w:tab/>
      </w:r>
      <w:r w:rsidR="00B65F99" w:rsidRPr="00B845AF">
        <w:rPr>
          <w:rFonts w:asciiTheme="minorHAnsi" w:eastAsiaTheme="minorEastAsia" w:hAnsiTheme="minorHAnsi" w:cstheme="minorHAnsi"/>
          <w:b/>
          <w:bCs/>
          <w:iCs/>
          <w:szCs w:val="22"/>
          <w:lang w:eastAsia="ko-KR"/>
        </w:rPr>
        <w:t>Bigeye operating models</w:t>
      </w:r>
    </w:p>
    <w:p w14:paraId="1B77BD83" w14:textId="5BAE087B" w:rsidR="00F73A0C" w:rsidRPr="00B845AF" w:rsidRDefault="00F73A0C" w:rsidP="00444F4B">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p>
    <w:p w14:paraId="3E8831DF" w14:textId="3FFC049B" w:rsidR="00F73A0C" w:rsidRPr="00B845AF" w:rsidRDefault="00F73A0C">
      <w:pPr>
        <w:pStyle w:val="SCtext"/>
        <w:rPr>
          <w:rFonts w:asciiTheme="minorHAnsi" w:hAnsiTheme="minorHAnsi" w:cstheme="minorHAnsi"/>
          <w:lang w:val="en-US"/>
        </w:rPr>
      </w:pPr>
      <w:r w:rsidRPr="00B845AF">
        <w:rPr>
          <w:rFonts w:asciiTheme="minorHAnsi" w:hAnsiTheme="minorHAnsi" w:cstheme="minorHAnsi"/>
          <w:lang w:val="en-US"/>
        </w:rPr>
        <w:t xml:space="preserve">The theme convener characterized the bigeye and yellowfin operating model work as a substantial undertaking, noting that the outcome from the Heads of Delegation meeting left the status of both pending </w:t>
      </w:r>
      <w:proofErr w:type="gramStart"/>
      <w:r w:rsidRPr="00B845AF">
        <w:rPr>
          <w:rFonts w:asciiTheme="minorHAnsi" w:hAnsiTheme="minorHAnsi" w:cstheme="minorHAnsi"/>
          <w:lang w:val="en-US"/>
        </w:rPr>
        <w:t>agreement</w:t>
      </w:r>
      <w:proofErr w:type="gramEnd"/>
      <w:r w:rsidRPr="00B845AF">
        <w:rPr>
          <w:rFonts w:asciiTheme="minorHAnsi" w:hAnsiTheme="minorHAnsi" w:cstheme="minorHAnsi"/>
          <w:lang w:val="en-US"/>
        </w:rPr>
        <w:t xml:space="preserve">. The convener observed that the group appeared willing to engage in MSE discussion despite advice from MSE experts to avoid discussing operating models and stock assessments in the same year, which the Committee was nonetheless doing. The convener noted the complication that new bigeye assessment information was now before the Committee without consensus for its adoption, while the operating models under discussion were based on the earlier 2023 assessment. </w:t>
      </w:r>
    </w:p>
    <w:p w14:paraId="441456EA" w14:textId="77777777" w:rsidR="003A2857" w:rsidRPr="00B845AF" w:rsidRDefault="003A2857" w:rsidP="003A2857">
      <w:pPr>
        <w:adjustRightInd w:val="0"/>
        <w:snapToGrid w:val="0"/>
        <w:ind w:left="720"/>
        <w:jc w:val="both"/>
        <w:rPr>
          <w:rFonts w:asciiTheme="minorHAnsi" w:hAnsiTheme="minorHAnsi" w:cstheme="minorHAnsi"/>
          <w:szCs w:val="22"/>
        </w:rPr>
      </w:pPr>
    </w:p>
    <w:p w14:paraId="77DD5FE5" w14:textId="740392A2" w:rsidR="00512050" w:rsidRPr="00B845AF" w:rsidRDefault="00AB1C2B">
      <w:pPr>
        <w:pStyle w:val="SCtext"/>
        <w:rPr>
          <w:rFonts w:asciiTheme="minorHAnsi" w:hAnsiTheme="minorHAnsi" w:cstheme="minorHAnsi"/>
          <w:lang w:val="en-US"/>
        </w:rPr>
      </w:pPr>
      <w:bookmarkStart w:id="52" w:name="_Hlk237683318"/>
      <w:r w:rsidRPr="00B845AF">
        <w:rPr>
          <w:rFonts w:asciiTheme="minorHAnsi" w:hAnsiTheme="minorHAnsi" w:cstheme="minorHAnsi"/>
          <w:lang w:val="en-US"/>
        </w:rPr>
        <w:t>Under the WCPFC harvest strategy workplan, SC22 is scheduled to agree the operating models for bigeye tuna in the WCPO. R. Scott</w:t>
      </w:r>
      <w:r w:rsidR="00512050" w:rsidRPr="00B845AF">
        <w:rPr>
          <w:rFonts w:asciiTheme="minorHAnsi" w:hAnsiTheme="minorHAnsi" w:cstheme="minorHAnsi"/>
          <w:lang w:val="en-US"/>
        </w:rPr>
        <w:t xml:space="preserve"> presented on </w:t>
      </w:r>
      <w:hyperlink r:id="rId67" w:history="1">
        <w:r w:rsidR="00512050" w:rsidRPr="00B845AF">
          <w:rPr>
            <w:rStyle w:val="Hyperlink"/>
            <w:rFonts w:asciiTheme="minorHAnsi" w:hAnsiTheme="minorHAnsi" w:cstheme="minorHAnsi"/>
            <w:lang w:val="en-US"/>
          </w:rPr>
          <w:t>WCPFC-SC22-2026-MI-WP01_Rev01</w:t>
        </w:r>
      </w:hyperlink>
      <w:r w:rsidR="00512050" w:rsidRPr="00B845AF">
        <w:rPr>
          <w:rFonts w:asciiTheme="minorHAnsi" w:hAnsiTheme="minorHAnsi" w:cstheme="minorHAnsi"/>
          <w:lang w:val="en-US"/>
        </w:rPr>
        <w:t xml:space="preserve">, </w:t>
      </w:r>
      <w:r w:rsidRPr="00B845AF">
        <w:rPr>
          <w:rFonts w:asciiTheme="minorHAnsi" w:hAnsiTheme="minorHAnsi" w:cstheme="minorHAnsi"/>
          <w:lang w:val="en-US"/>
        </w:rPr>
        <w:t>which outlined a reference set of 480 operating models (comprising 120 model fits) for bigeye tuna that better captured the range of key uncertainties and included alternative settings for steepness, growth, natural mortality, tag mixing, future recruitment variability and effort creep</w:t>
      </w:r>
      <w:r w:rsidR="00512050" w:rsidRPr="00B845AF">
        <w:rPr>
          <w:rFonts w:asciiTheme="minorHAnsi" w:hAnsiTheme="minorHAnsi" w:cstheme="minorHAnsi"/>
          <w:lang w:val="en-US"/>
        </w:rPr>
        <w:t xml:space="preserve">. </w:t>
      </w:r>
    </w:p>
    <w:bookmarkEnd w:id="52"/>
    <w:p w14:paraId="6B84B832" w14:textId="77777777" w:rsidR="00512050" w:rsidRPr="00B845AF" w:rsidRDefault="00512050" w:rsidP="00512050">
      <w:pPr>
        <w:pStyle w:val="SCtext"/>
        <w:numPr>
          <w:ilvl w:val="0"/>
          <w:numId w:val="0"/>
        </w:numPr>
        <w:rPr>
          <w:rFonts w:asciiTheme="minorHAnsi" w:hAnsiTheme="minorHAnsi" w:cstheme="minorHAnsi"/>
          <w:lang w:val="en-US"/>
        </w:rPr>
      </w:pPr>
    </w:p>
    <w:p w14:paraId="3756C2A8" w14:textId="5914C186" w:rsidR="001E79F8" w:rsidRPr="00B845AF" w:rsidRDefault="00AB1C2B" w:rsidP="00AB1C2B">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Subsequent work outlined in rev1 of the paper explored additional scenarios for lower natural mortality values, longer tag-mixing assumptions and approaches for further down-weighting the </w:t>
      </w:r>
      <w:r w:rsidRPr="00B845AF">
        <w:rPr>
          <w:rFonts w:asciiTheme="minorHAnsi" w:hAnsiTheme="minorHAnsi" w:cstheme="minorHAnsi"/>
          <w:lang w:val="en-US"/>
        </w:rPr>
        <w:lastRenderedPageBreak/>
        <w:t xml:space="preserve">influence of tag data on the model fits. The additional scenarios produced a range of outcomes for a more depleted stock with the lowest values of spawning biomass depletion being around 0.2. Additional analyses investigated robustness and sensitivity scenarios for reduced recruitment, effort creep and alternative catch histories for domestic fisheries of Indonesia and the Philippines. Consistent with the advice of SC21, the models were based on the 2023 stock assessment and addressed the specific sources of uncertainty requested by SC21, to the extent possible. The model results represented a broader spread of terminal stock status </w:t>
      </w:r>
      <w:proofErr w:type="gramStart"/>
      <w:r w:rsidRPr="00B845AF">
        <w:rPr>
          <w:rFonts w:asciiTheme="minorHAnsi" w:hAnsiTheme="minorHAnsi" w:cstheme="minorHAnsi"/>
          <w:lang w:val="en-US"/>
        </w:rPr>
        <w:t>estimates, but</w:t>
      </w:r>
      <w:proofErr w:type="gramEnd"/>
      <w:r w:rsidRPr="00B845AF">
        <w:rPr>
          <w:rFonts w:asciiTheme="minorHAnsi" w:hAnsiTheme="minorHAnsi" w:cstheme="minorHAnsi"/>
          <w:lang w:val="en-US"/>
        </w:rPr>
        <w:t xml:space="preserve"> did not fully encapsulate the range of outcomes from the 2026 stock assessment</w:t>
      </w:r>
      <w:r w:rsidR="00512050" w:rsidRPr="00B845AF">
        <w:rPr>
          <w:rFonts w:asciiTheme="minorHAnsi" w:hAnsiTheme="minorHAnsi" w:cstheme="minorHAnsi"/>
          <w:lang w:val="en-US"/>
        </w:rPr>
        <w:t>.</w:t>
      </w:r>
    </w:p>
    <w:p w14:paraId="5FBE7363" w14:textId="16768405" w:rsidR="00472E22" w:rsidRPr="00B845AF" w:rsidRDefault="00472E22" w:rsidP="001E79F8">
      <w:pPr>
        <w:pStyle w:val="SCtext"/>
        <w:numPr>
          <w:ilvl w:val="0"/>
          <w:numId w:val="0"/>
        </w:numPr>
        <w:rPr>
          <w:rFonts w:asciiTheme="minorHAnsi" w:hAnsiTheme="minorHAnsi" w:cstheme="minorHAnsi"/>
          <w:lang w:val="en-US"/>
        </w:rPr>
      </w:pPr>
    </w:p>
    <w:p w14:paraId="2C853340" w14:textId="28B25F91" w:rsidR="00DF5889" w:rsidRPr="00B845AF" w:rsidRDefault="00DF5889" w:rsidP="00DF5889">
      <w:pPr>
        <w:pStyle w:val="SCDR"/>
        <w:rPr>
          <w:rFonts w:asciiTheme="minorHAnsi" w:hAnsiTheme="minorHAnsi" w:cstheme="minorHAnsi"/>
        </w:rPr>
      </w:pPr>
      <w:r w:rsidRPr="00B845AF">
        <w:rPr>
          <w:rFonts w:asciiTheme="minorHAnsi" w:hAnsiTheme="minorHAnsi" w:cstheme="minorHAnsi"/>
        </w:rPr>
        <w:t>Discussion</w:t>
      </w:r>
    </w:p>
    <w:p w14:paraId="5BDB5FA3" w14:textId="42942BCD" w:rsidR="00792620" w:rsidRPr="00B845AF" w:rsidRDefault="00D92A0F">
      <w:pPr>
        <w:pStyle w:val="SCtext"/>
        <w:rPr>
          <w:rFonts w:asciiTheme="minorHAnsi" w:hAnsiTheme="minorHAnsi" w:cstheme="minorHAnsi"/>
          <w:lang w:val="en-US"/>
        </w:rPr>
      </w:pPr>
      <w:r w:rsidRPr="00B845AF">
        <w:rPr>
          <w:rFonts w:asciiTheme="minorHAnsi" w:hAnsiTheme="minorHAnsi" w:cstheme="minorHAnsi"/>
          <w:lang w:val="en-US"/>
        </w:rPr>
        <w:t>The theme convener acknowledged the SSP’s efforts to advance the MSE work, including efforts to account for the newer bigeye stock assessment, and stressed that the OMs are the fundamental testing ground for MSE and that a set of OMs must be signed off before candidate MPs can be tested.</w:t>
      </w:r>
    </w:p>
    <w:p w14:paraId="24030EC8" w14:textId="77777777" w:rsidR="00A33EF0" w:rsidRPr="00B845AF" w:rsidRDefault="00A33EF0" w:rsidP="00A33EF0">
      <w:pPr>
        <w:pStyle w:val="SCtext"/>
        <w:numPr>
          <w:ilvl w:val="0"/>
          <w:numId w:val="0"/>
        </w:numPr>
        <w:rPr>
          <w:rFonts w:asciiTheme="minorHAnsi" w:hAnsiTheme="minorHAnsi" w:cstheme="minorHAnsi"/>
          <w:lang w:val="en-US"/>
        </w:rPr>
      </w:pPr>
    </w:p>
    <w:p w14:paraId="150FF93B" w14:textId="6B0402D3" w:rsidR="00E11CFA" w:rsidRPr="00B845AF" w:rsidRDefault="002A5500">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SSP for its work but stated that further work was needed before the OM grid could form a suitable basis for MP testing, arguing that the proposed grid did not capture the full range of plausible stock status. The USA reiterated its recommendation to treat fleets as areas within the tau2 grid, suggested exploring uncertainty in spatial structure, and proposed narrowing the natural mortality axis to a range of 0.05 to 0.15. The SSP responded that there was no evidence that a fleets-as-area approach would produce lower stock status outcomes and cautioned that the candidate MPs being tested control purse seine FAD closures and longline catches in specific areas, so removing spatial structure would assume no spatial effect, which the SSP was not yet convinced was </w:t>
      </w:r>
      <w:r w:rsidR="000C4C55" w:rsidRPr="00B845AF">
        <w:rPr>
          <w:rFonts w:asciiTheme="minorHAnsi" w:hAnsiTheme="minorHAnsi" w:cstheme="minorHAnsi"/>
          <w:lang w:val="en-US"/>
        </w:rPr>
        <w:t>wise</w:t>
      </w:r>
      <w:r w:rsidRPr="00B845AF">
        <w:rPr>
          <w:rFonts w:asciiTheme="minorHAnsi" w:hAnsiTheme="minorHAnsi" w:cstheme="minorHAnsi"/>
          <w:lang w:val="en-US"/>
        </w:rPr>
        <w:t xml:space="preserve">. The USA, taking the floor a second time, clarified it was basing its concern on Appendix A1, and later noted it was not proposing that spatially explicit models be removed, only that neither structure fully characterizes the uncertainty. The SSP maintained that a spatially structured approach </w:t>
      </w:r>
      <w:r w:rsidR="00D6046C" w:rsidRPr="00B845AF">
        <w:rPr>
          <w:rFonts w:asciiTheme="minorHAnsi" w:hAnsiTheme="minorHAnsi" w:cstheme="minorHAnsi"/>
          <w:lang w:val="en-US"/>
        </w:rPr>
        <w:t xml:space="preserve">enabled </w:t>
      </w:r>
      <w:r w:rsidRPr="00B845AF">
        <w:rPr>
          <w:rFonts w:asciiTheme="minorHAnsi" w:hAnsiTheme="minorHAnsi" w:cstheme="minorHAnsi"/>
          <w:lang w:val="en-US"/>
        </w:rPr>
        <w:t>a wider range of plausible states of nature</w:t>
      </w:r>
      <w:r w:rsidR="00D6046C" w:rsidRPr="00B845AF">
        <w:rPr>
          <w:rFonts w:asciiTheme="minorHAnsi" w:hAnsiTheme="minorHAnsi" w:cstheme="minorHAnsi"/>
          <w:lang w:val="en-US"/>
        </w:rPr>
        <w:t xml:space="preserve"> to be captured</w:t>
      </w:r>
      <w:r w:rsidRPr="00B845AF">
        <w:rPr>
          <w:rFonts w:asciiTheme="minorHAnsi" w:hAnsiTheme="minorHAnsi" w:cstheme="minorHAnsi"/>
          <w:lang w:val="en-US"/>
        </w:rPr>
        <w:t>.</w:t>
      </w:r>
    </w:p>
    <w:p w14:paraId="2954B1AD" w14:textId="77777777" w:rsidR="00E11CFA" w:rsidRPr="00B845AF" w:rsidRDefault="00E11CFA" w:rsidP="00E11CFA">
      <w:pPr>
        <w:pStyle w:val="SCtext"/>
        <w:numPr>
          <w:ilvl w:val="0"/>
          <w:numId w:val="0"/>
        </w:numPr>
        <w:rPr>
          <w:rFonts w:asciiTheme="minorHAnsi" w:hAnsiTheme="minorHAnsi" w:cstheme="minorHAnsi"/>
          <w:lang w:val="en-US"/>
        </w:rPr>
      </w:pPr>
    </w:p>
    <w:p w14:paraId="778C3E4E" w14:textId="2E66C5E4" w:rsidR="000310B8" w:rsidRPr="00B845AF" w:rsidRDefault="001D3526">
      <w:pPr>
        <w:pStyle w:val="SCtext"/>
        <w:rPr>
          <w:rFonts w:asciiTheme="minorHAnsi" w:hAnsiTheme="minorHAnsi" w:cstheme="minorHAnsi"/>
          <w:lang w:val="en-US"/>
        </w:rPr>
      </w:pPr>
      <w:r w:rsidRPr="00B845AF">
        <w:rPr>
          <w:rFonts w:asciiTheme="minorHAnsi" w:hAnsiTheme="minorHAnsi" w:cstheme="minorHAnsi"/>
          <w:lang w:val="en-US"/>
        </w:rPr>
        <w:t xml:space="preserve">Solomon Islands, on behalf of the PNA and Vanuatu, </w:t>
      </w:r>
      <w:r w:rsidR="002607B3" w:rsidRPr="00B845AF">
        <w:rPr>
          <w:rFonts w:asciiTheme="minorHAnsi" w:hAnsiTheme="minorHAnsi" w:cstheme="minorHAnsi"/>
          <w:lang w:val="en-US"/>
        </w:rPr>
        <w:t>noted that the initial operating model framework appears to produce a comparatively less depleted and more optimistic view of stock status than may be warranted, and supported further work on alternative spatial structures, movement dynamics, recruitment distributions, population biology assumptions, and climate change scenarios so that future management procedure evaluations are tested against a broader range of plausible conditions</w:t>
      </w:r>
      <w:r w:rsidRPr="00B845AF">
        <w:rPr>
          <w:rFonts w:asciiTheme="minorHAnsi" w:hAnsiTheme="minorHAnsi" w:cstheme="minorHAnsi"/>
          <w:lang w:val="en-US"/>
        </w:rPr>
        <w:t>.</w:t>
      </w:r>
    </w:p>
    <w:p w14:paraId="2C3D0F51" w14:textId="77777777" w:rsidR="001B2895" w:rsidRPr="00B845AF" w:rsidRDefault="001B2895" w:rsidP="001B2895">
      <w:pPr>
        <w:pStyle w:val="SCtext"/>
        <w:numPr>
          <w:ilvl w:val="0"/>
          <w:numId w:val="0"/>
        </w:numPr>
        <w:rPr>
          <w:rFonts w:asciiTheme="minorHAnsi" w:hAnsiTheme="minorHAnsi" w:cstheme="minorHAnsi"/>
          <w:lang w:val="en-US"/>
        </w:rPr>
      </w:pPr>
    </w:p>
    <w:p w14:paraId="591F8EFA" w14:textId="516790B7" w:rsidR="001B2895" w:rsidRPr="00B845AF" w:rsidRDefault="001B2895">
      <w:pPr>
        <w:pStyle w:val="SCtext"/>
        <w:rPr>
          <w:rFonts w:asciiTheme="minorHAnsi" w:hAnsiTheme="minorHAnsi" w:cstheme="minorHAnsi"/>
          <w:lang w:val="en-US"/>
        </w:rPr>
      </w:pPr>
      <w:r w:rsidRPr="00B845AF">
        <w:rPr>
          <w:rFonts w:asciiTheme="minorHAnsi" w:hAnsiTheme="minorHAnsi" w:cstheme="minorHAnsi"/>
          <w:lang w:val="en-US"/>
        </w:rPr>
        <w:t>Japan stated it was difficult to conduct MP and stock assessment discussions in the same year and noted that Appendix D of the working paper shifted median depletion in a more pessimistic direction, which it regarded as only a partial response affecting a single parameter; Japan was not asking for immediate OM updates or a change to the adoption schedule, but asked that, if the Committee decides to retain the 2023-based OM for now, SC22 record the rationale and residual risk, including any gap remaining even after Appendix D, and ensure the future work program (including BMW02) includes a clear trigger point tied to the stock assessment theme.</w:t>
      </w:r>
    </w:p>
    <w:p w14:paraId="0D279B31" w14:textId="77777777" w:rsidR="00C85393" w:rsidRPr="00B845AF" w:rsidRDefault="00C85393" w:rsidP="00C85393">
      <w:pPr>
        <w:pStyle w:val="SCtext"/>
        <w:numPr>
          <w:ilvl w:val="0"/>
          <w:numId w:val="0"/>
        </w:numPr>
        <w:rPr>
          <w:rFonts w:asciiTheme="minorHAnsi" w:hAnsiTheme="minorHAnsi" w:cstheme="minorHAnsi"/>
          <w:lang w:val="en-US"/>
        </w:rPr>
      </w:pPr>
    </w:p>
    <w:p w14:paraId="161226CF" w14:textId="1440A6A6" w:rsidR="00C85393" w:rsidRPr="00B845AF" w:rsidRDefault="00C85393">
      <w:pPr>
        <w:pStyle w:val="SCtext"/>
        <w:rPr>
          <w:rFonts w:asciiTheme="minorHAnsi" w:hAnsiTheme="minorHAnsi" w:cstheme="minorHAnsi"/>
          <w:lang w:val="en-US"/>
        </w:rPr>
      </w:pPr>
      <w:r w:rsidRPr="00B845AF">
        <w:rPr>
          <w:rFonts w:asciiTheme="minorHAnsi" w:hAnsiTheme="minorHAnsi" w:cstheme="minorHAnsi"/>
          <w:lang w:val="en-US"/>
        </w:rPr>
        <w:t xml:space="preserve">China stated that some uncertainty could be accepted in the OM but expressed concern that a single-region stock structure could not fully capture errors in the current stock </w:t>
      </w:r>
      <w:proofErr w:type="gramStart"/>
      <w:r w:rsidRPr="00B845AF">
        <w:rPr>
          <w:rFonts w:asciiTheme="minorHAnsi" w:hAnsiTheme="minorHAnsi" w:cstheme="minorHAnsi"/>
          <w:lang w:val="en-US"/>
        </w:rPr>
        <w:t>assessment, and</w:t>
      </w:r>
      <w:proofErr w:type="gramEnd"/>
      <w:r w:rsidRPr="00B845AF">
        <w:rPr>
          <w:rFonts w:asciiTheme="minorHAnsi" w:hAnsiTheme="minorHAnsi" w:cstheme="minorHAnsi"/>
          <w:lang w:val="en-US"/>
        </w:rPr>
        <w:t xml:space="preserve"> asked that the OM be based on the best available science. China raised two technical comments: whether the mixing period should be based on quarters 2, 3, and 4 rather than 1, 2, and 3; and whether effort creep values of 0% and 0.5% might be more appropriate for the OM than 1%, to remain consistent with the stock assessment's own more recent effort creep assumptions. The SSP responded that extending the mixing </w:t>
      </w:r>
      <w:r w:rsidRPr="00B845AF">
        <w:rPr>
          <w:rFonts w:asciiTheme="minorHAnsi" w:hAnsiTheme="minorHAnsi" w:cstheme="minorHAnsi"/>
          <w:lang w:val="en-US"/>
        </w:rPr>
        <w:lastRenderedPageBreak/>
        <w:t>period to four quarters may be worth investigating, though the value of doing so is not guaranteed given diminishing data influence, and that its own investigation suggested effort creep has relatively little impact on outcomes, noting the SSP is looking to include more extreme values to widen uncertainty coverage.</w:t>
      </w:r>
    </w:p>
    <w:p w14:paraId="0F45E288" w14:textId="77777777" w:rsidR="00C85393" w:rsidRPr="00B845AF" w:rsidRDefault="00C85393" w:rsidP="00C85393">
      <w:pPr>
        <w:pStyle w:val="SCtext"/>
        <w:numPr>
          <w:ilvl w:val="0"/>
          <w:numId w:val="0"/>
        </w:numPr>
        <w:rPr>
          <w:rFonts w:asciiTheme="minorHAnsi" w:hAnsiTheme="minorHAnsi" w:cstheme="minorHAnsi"/>
          <w:lang w:val="en-US"/>
        </w:rPr>
      </w:pPr>
    </w:p>
    <w:p w14:paraId="59EDD63C" w14:textId="232EECFF" w:rsidR="00C85393" w:rsidRPr="00B845AF" w:rsidRDefault="00C85393">
      <w:pPr>
        <w:pStyle w:val="SCtext"/>
        <w:rPr>
          <w:rFonts w:asciiTheme="minorHAnsi" w:hAnsiTheme="minorHAnsi" w:cstheme="minorHAnsi"/>
          <w:lang w:val="en-US"/>
        </w:rPr>
      </w:pPr>
      <w:r w:rsidRPr="00B845AF">
        <w:rPr>
          <w:rFonts w:asciiTheme="minorHAnsi" w:hAnsiTheme="minorHAnsi" w:cstheme="minorHAnsi"/>
          <w:lang w:val="en-US"/>
        </w:rPr>
        <w:t>Chinese Taipei asked about the substantial recent increase in bigeye catch from fisheries outside MP control (particularly in region 7), whether the reference OM</w:t>
      </w:r>
      <w:r w:rsidR="00C34C05" w:rsidRPr="00B845AF">
        <w:rPr>
          <w:rFonts w:asciiTheme="minorHAnsi" w:hAnsiTheme="minorHAnsi" w:cstheme="minorHAnsi"/>
          <w:lang w:val="en-US"/>
        </w:rPr>
        <w:t xml:space="preserve">, </w:t>
      </w:r>
      <w:r w:rsidRPr="00B845AF">
        <w:rPr>
          <w:rFonts w:asciiTheme="minorHAnsi" w:hAnsiTheme="minorHAnsi" w:cstheme="minorHAnsi"/>
          <w:lang w:val="en-US"/>
        </w:rPr>
        <w:t>based on 2016 to 2018 average catches</w:t>
      </w:r>
      <w:r w:rsidR="00C34C05" w:rsidRPr="00B845AF">
        <w:rPr>
          <w:rFonts w:asciiTheme="minorHAnsi" w:hAnsiTheme="minorHAnsi" w:cstheme="minorHAnsi"/>
          <w:lang w:val="en-US"/>
        </w:rPr>
        <w:t>,</w:t>
      </w:r>
      <w:r w:rsidRPr="00B845AF">
        <w:rPr>
          <w:rFonts w:asciiTheme="minorHAnsi" w:hAnsiTheme="minorHAnsi" w:cstheme="minorHAnsi"/>
          <w:lang w:val="en-US"/>
        </w:rPr>
        <w:t xml:space="preserve"> adequately represents the magnitude and composition of this recent increase, and whether the 15 candidate MPs had been evaluated under such scenarios. The SSP confirmed the data used is based on the 2023 assessment (through 2021), that three fisheries</w:t>
      </w:r>
      <w:r w:rsidR="00C34C05" w:rsidRPr="00B845AF">
        <w:rPr>
          <w:rFonts w:asciiTheme="minorHAnsi" w:hAnsiTheme="minorHAnsi" w:cstheme="minorHAnsi"/>
          <w:lang w:val="en-US"/>
        </w:rPr>
        <w:t>’</w:t>
      </w:r>
      <w:r w:rsidRPr="00B845AF">
        <w:rPr>
          <w:rFonts w:asciiTheme="minorHAnsi" w:hAnsiTheme="minorHAnsi" w:cstheme="minorHAnsi"/>
          <w:lang w:val="en-US"/>
        </w:rPr>
        <w:t xml:space="preserve"> catches were inflated to levels comparable to recent observations as part of OM conditioning, that model readjustment left headline depletion relatively unchanged, and that no evaluations have yet been run under sensitivity scenarios reflecting these increases, noting uncertainty as to whether the increases reflect improved reporting or genuine catch growth.</w:t>
      </w:r>
    </w:p>
    <w:p w14:paraId="5A46A6C9" w14:textId="77777777" w:rsidR="00C34C05" w:rsidRPr="00B845AF" w:rsidRDefault="00C34C05" w:rsidP="00C34C05">
      <w:pPr>
        <w:pStyle w:val="SCtext"/>
        <w:numPr>
          <w:ilvl w:val="0"/>
          <w:numId w:val="0"/>
        </w:numPr>
        <w:rPr>
          <w:rFonts w:asciiTheme="minorHAnsi" w:hAnsiTheme="minorHAnsi" w:cstheme="minorHAnsi"/>
          <w:lang w:val="en-US"/>
        </w:rPr>
      </w:pPr>
    </w:p>
    <w:p w14:paraId="62C10D7A" w14:textId="0FB58000" w:rsidR="00C34C05" w:rsidRPr="00B845AF" w:rsidRDefault="00C34C05">
      <w:pPr>
        <w:pStyle w:val="SCtext"/>
        <w:rPr>
          <w:rFonts w:asciiTheme="minorHAnsi" w:hAnsiTheme="minorHAnsi" w:cstheme="minorHAnsi"/>
          <w:lang w:val="en-US"/>
        </w:rPr>
      </w:pPr>
      <w:r w:rsidRPr="00B845AF">
        <w:rPr>
          <w:rFonts w:asciiTheme="minorHAnsi" w:hAnsiTheme="minorHAnsi" w:cstheme="minorHAnsi"/>
          <w:lang w:val="en-US"/>
        </w:rPr>
        <w:t>Australia, on behalf of the FFA members, recalled that SC21 had agreed the OM structure would be based on the 2023 assessment, stated that the 2026 assessment provides some reassurance, and supported using the expanded reference set as the basis for continued testing of candidate bigeye MPs, alongside continued refinement incorporating relevant uncertainties. Australia, on behalf of the FFA members, requested that SC reconvene to discuss this matter before the Commission meets in December.</w:t>
      </w:r>
    </w:p>
    <w:p w14:paraId="40FC2DDB" w14:textId="77777777" w:rsidR="004F263D" w:rsidRPr="00B845AF" w:rsidRDefault="004F263D" w:rsidP="004F263D">
      <w:pPr>
        <w:pStyle w:val="SCtext"/>
        <w:numPr>
          <w:ilvl w:val="0"/>
          <w:numId w:val="0"/>
        </w:numPr>
        <w:rPr>
          <w:rFonts w:asciiTheme="minorHAnsi" w:hAnsiTheme="minorHAnsi" w:cstheme="minorHAnsi"/>
          <w:lang w:val="en-US"/>
        </w:rPr>
      </w:pPr>
    </w:p>
    <w:p w14:paraId="69918C05" w14:textId="4A71E60C" w:rsidR="004F263D" w:rsidRPr="00B845AF" w:rsidRDefault="004F263D">
      <w:pPr>
        <w:pStyle w:val="SCtext"/>
        <w:rPr>
          <w:rFonts w:asciiTheme="minorHAnsi" w:hAnsiTheme="minorHAnsi" w:cstheme="minorHAnsi"/>
          <w:lang w:val="en-US"/>
        </w:rPr>
      </w:pPr>
      <w:r w:rsidRPr="00B845AF">
        <w:rPr>
          <w:rFonts w:asciiTheme="minorHAnsi" w:hAnsiTheme="minorHAnsi" w:cstheme="minorHAnsi"/>
          <w:lang w:val="en-US"/>
        </w:rPr>
        <w:t>The convener asked the Executive Director about the feasibility of reconvening SC. The Executive Director stated this was procedurally straightforward but would come at additional, currently unbudgeted cost, and that venue availability with the host had not yet been discussed; an extraordinary SC session was possible in principle, pending those details.</w:t>
      </w:r>
    </w:p>
    <w:p w14:paraId="0E933746" w14:textId="77777777" w:rsidR="004F263D" w:rsidRPr="00B845AF" w:rsidRDefault="004F263D" w:rsidP="004F263D">
      <w:pPr>
        <w:pStyle w:val="SCtext"/>
        <w:numPr>
          <w:ilvl w:val="0"/>
          <w:numId w:val="0"/>
        </w:numPr>
        <w:rPr>
          <w:rFonts w:asciiTheme="minorHAnsi" w:hAnsiTheme="minorHAnsi" w:cstheme="minorHAnsi"/>
          <w:lang w:val="en-US"/>
        </w:rPr>
      </w:pPr>
    </w:p>
    <w:p w14:paraId="1B669BC0" w14:textId="1B219040" w:rsidR="004F263D" w:rsidRPr="00B845AF" w:rsidRDefault="005839AB">
      <w:pPr>
        <w:pStyle w:val="SCtext"/>
        <w:rPr>
          <w:rFonts w:asciiTheme="minorHAnsi" w:hAnsiTheme="minorHAnsi" w:cstheme="minorHAnsi"/>
          <w:lang w:val="en-US"/>
        </w:rPr>
      </w:pPr>
      <w:r w:rsidRPr="00B845AF">
        <w:rPr>
          <w:rFonts w:asciiTheme="minorHAnsi" w:hAnsiTheme="minorHAnsi" w:cstheme="minorHAnsi"/>
          <w:lang w:val="en-US"/>
        </w:rPr>
        <w:t>The convener noted that the Committee had agreed at SC21 to use the current OM structure, but that new information should not preclude a different approach, characterizing the USA’s position as comparatively more far-reaching. The convener stated that the central decision remains whether to sign off on the OM, noted that the only clear statement of support for adoption (with some further work) came from the FFA members, and that other comments on whether to adopt the OM as-is were unclear. The convener reiterated that the entire bigeye MP evaluation depends on the OM.</w:t>
      </w:r>
    </w:p>
    <w:p w14:paraId="71A7B0AD" w14:textId="77777777" w:rsidR="005839AB" w:rsidRPr="00B845AF" w:rsidRDefault="005839AB" w:rsidP="005839AB">
      <w:pPr>
        <w:pStyle w:val="SCtext"/>
        <w:numPr>
          <w:ilvl w:val="0"/>
          <w:numId w:val="0"/>
        </w:numPr>
        <w:rPr>
          <w:rFonts w:asciiTheme="minorHAnsi" w:hAnsiTheme="minorHAnsi" w:cstheme="minorHAnsi"/>
          <w:lang w:val="en-US"/>
        </w:rPr>
      </w:pPr>
    </w:p>
    <w:p w14:paraId="368EB0CE" w14:textId="72BB958C" w:rsidR="005839AB" w:rsidRPr="00B845AF" w:rsidRDefault="005839AB">
      <w:pPr>
        <w:pStyle w:val="SCtext"/>
        <w:rPr>
          <w:rFonts w:asciiTheme="minorHAnsi" w:hAnsiTheme="minorHAnsi" w:cstheme="minorHAnsi"/>
          <w:lang w:val="en-US"/>
        </w:rPr>
      </w:pPr>
      <w:r w:rsidRPr="00B845AF">
        <w:rPr>
          <w:rFonts w:asciiTheme="minorHAnsi" w:hAnsiTheme="minorHAnsi" w:cstheme="minorHAnsi"/>
          <w:lang w:val="en-US"/>
        </w:rPr>
        <w:t xml:space="preserve">Pew stated that while the OM structure was agreed at SC21, new information from the current stock assessment (including a discrepancy in how tau had been reported versus coded) should be </w:t>
      </w:r>
      <w:r w:rsidR="008662C9" w:rsidRPr="00B845AF">
        <w:rPr>
          <w:rFonts w:asciiTheme="minorHAnsi" w:hAnsiTheme="minorHAnsi" w:cstheme="minorHAnsi"/>
          <w:lang w:val="en-US"/>
        </w:rPr>
        <w:t>incorporated and</w:t>
      </w:r>
      <w:r w:rsidRPr="00B845AF">
        <w:rPr>
          <w:rFonts w:asciiTheme="minorHAnsi" w:hAnsiTheme="minorHAnsi" w:cstheme="minorHAnsi"/>
          <w:lang w:val="en-US"/>
        </w:rPr>
        <w:t xml:space="preserve"> expressed the view that some elements of the OM should be updated.</w:t>
      </w:r>
    </w:p>
    <w:p w14:paraId="0717E0E6" w14:textId="77777777" w:rsidR="00657B06" w:rsidRPr="00B845AF" w:rsidRDefault="00657B06" w:rsidP="00657B06">
      <w:pPr>
        <w:pStyle w:val="SCtext"/>
        <w:numPr>
          <w:ilvl w:val="0"/>
          <w:numId w:val="0"/>
        </w:numPr>
        <w:rPr>
          <w:rFonts w:asciiTheme="minorHAnsi" w:hAnsiTheme="minorHAnsi" w:cstheme="minorHAnsi"/>
          <w:lang w:val="en-US"/>
        </w:rPr>
      </w:pPr>
    </w:p>
    <w:p w14:paraId="7C3B79B0" w14:textId="2DD5159C" w:rsidR="00657B06" w:rsidRPr="00B845AF" w:rsidRDefault="00657B06">
      <w:pPr>
        <w:pStyle w:val="SCtext"/>
        <w:rPr>
          <w:rFonts w:asciiTheme="minorHAnsi" w:hAnsiTheme="minorHAnsi" w:cstheme="minorHAnsi"/>
          <w:lang w:val="en-US"/>
        </w:rPr>
      </w:pPr>
      <w:r w:rsidRPr="00B845AF">
        <w:rPr>
          <w:rFonts w:asciiTheme="minorHAnsi" w:hAnsiTheme="minorHAnsi" w:cstheme="minorHAnsi"/>
          <w:lang w:val="en-US"/>
        </w:rPr>
        <w:t>The EU stated it shared some of the concerns raised by the USA and noted there appeared to be conflicting views among delegations, with time potentially insufficient for thorough analysis. The EU</w:t>
      </w:r>
      <w:r w:rsidR="006B6338" w:rsidRPr="00B845AF">
        <w:rPr>
          <w:rFonts w:asciiTheme="minorHAnsi" w:hAnsiTheme="minorHAnsi" w:cstheme="minorHAnsi"/>
          <w:lang w:val="en-US"/>
        </w:rPr>
        <w:t>’</w:t>
      </w:r>
      <w:r w:rsidRPr="00B845AF">
        <w:rPr>
          <w:rFonts w:asciiTheme="minorHAnsi" w:hAnsiTheme="minorHAnsi" w:cstheme="minorHAnsi"/>
          <w:lang w:val="en-US"/>
        </w:rPr>
        <w:t>s preference was to use, at minimum, an OM grid capturing the confidence intervals of the latest stock assessment, noting that the combined OM grid did not appear to capture the lower end of the stock assessment; the EU indicated the USA</w:t>
      </w:r>
      <w:r w:rsidR="006B6338" w:rsidRPr="00B845AF">
        <w:rPr>
          <w:rFonts w:asciiTheme="minorHAnsi" w:hAnsiTheme="minorHAnsi" w:cstheme="minorHAnsi"/>
          <w:lang w:val="en-US"/>
        </w:rPr>
        <w:t>’</w:t>
      </w:r>
      <w:r w:rsidRPr="00B845AF">
        <w:rPr>
          <w:rFonts w:asciiTheme="minorHAnsi" w:hAnsiTheme="minorHAnsi" w:cstheme="minorHAnsi"/>
          <w:lang w:val="en-US"/>
        </w:rPr>
        <w:t>s suggestion of exploring lower natural mortality values in the tau2 grid could be useful, and seconded Australia</w:t>
      </w:r>
      <w:r w:rsidR="006B6338" w:rsidRPr="00B845AF">
        <w:rPr>
          <w:rFonts w:asciiTheme="minorHAnsi" w:hAnsiTheme="minorHAnsi" w:cstheme="minorHAnsi"/>
          <w:lang w:val="en-US"/>
        </w:rPr>
        <w:t>’</w:t>
      </w:r>
      <w:r w:rsidRPr="00B845AF">
        <w:rPr>
          <w:rFonts w:asciiTheme="minorHAnsi" w:hAnsiTheme="minorHAnsi" w:cstheme="minorHAnsi"/>
          <w:lang w:val="en-US"/>
        </w:rPr>
        <w:t>s proposal to consider this matter further at an additional session of SC.</w:t>
      </w:r>
    </w:p>
    <w:p w14:paraId="62AAD7FD" w14:textId="77777777" w:rsidR="009622FC" w:rsidRPr="00B845AF" w:rsidRDefault="009622FC" w:rsidP="009622FC">
      <w:pPr>
        <w:pStyle w:val="SCtext"/>
        <w:numPr>
          <w:ilvl w:val="0"/>
          <w:numId w:val="0"/>
        </w:numPr>
        <w:rPr>
          <w:rFonts w:asciiTheme="minorHAnsi" w:hAnsiTheme="minorHAnsi" w:cstheme="minorHAnsi"/>
          <w:lang w:val="en-US"/>
        </w:rPr>
      </w:pPr>
    </w:p>
    <w:p w14:paraId="40879E6A" w14:textId="19CD2669" w:rsidR="009622FC" w:rsidRPr="00B845AF" w:rsidRDefault="00F528DF">
      <w:pPr>
        <w:pStyle w:val="SCtext"/>
        <w:rPr>
          <w:rFonts w:asciiTheme="minorHAnsi" w:hAnsiTheme="minorHAnsi" w:cstheme="minorHAnsi"/>
          <w:lang w:val="en-US"/>
        </w:rPr>
      </w:pPr>
      <w:r w:rsidRPr="00B845AF">
        <w:rPr>
          <w:rFonts w:asciiTheme="minorHAnsi" w:hAnsiTheme="minorHAnsi" w:cstheme="minorHAnsi"/>
          <w:lang w:val="en-US"/>
        </w:rPr>
        <w:t>T</w:t>
      </w:r>
      <w:r w:rsidR="003F28BC" w:rsidRPr="00B845AF">
        <w:rPr>
          <w:rFonts w:asciiTheme="minorHAnsi" w:hAnsiTheme="minorHAnsi" w:cstheme="minorHAnsi"/>
          <w:lang w:val="en-US"/>
        </w:rPr>
        <w:t>he convener called on Australia to clarify its proposal, which Australia (on behalf of the FFA members) explained as: treating the SSP</w:t>
      </w:r>
      <w:r w:rsidR="00CA07D4" w:rsidRPr="00B845AF">
        <w:rPr>
          <w:rFonts w:asciiTheme="minorHAnsi" w:hAnsiTheme="minorHAnsi" w:cstheme="minorHAnsi"/>
          <w:lang w:val="en-US"/>
        </w:rPr>
        <w:t>’</w:t>
      </w:r>
      <w:r w:rsidR="003F28BC" w:rsidRPr="00B845AF">
        <w:rPr>
          <w:rFonts w:asciiTheme="minorHAnsi" w:hAnsiTheme="minorHAnsi" w:cstheme="minorHAnsi"/>
          <w:lang w:val="en-US"/>
        </w:rPr>
        <w:t xml:space="preserve">s work as broadly appropriate, allowing further CCM input to be incorporated, using the resulting OMs to test MPs at BMW02, and then having SC reconvene ahead of the Commission meeting to formally adopt the OMs and provide MP advice. The USA sought confirmation </w:t>
      </w:r>
      <w:r w:rsidR="003F28BC" w:rsidRPr="00B845AF">
        <w:rPr>
          <w:rFonts w:asciiTheme="minorHAnsi" w:hAnsiTheme="minorHAnsi" w:cstheme="minorHAnsi"/>
          <w:lang w:val="en-US"/>
        </w:rPr>
        <w:lastRenderedPageBreak/>
        <w:t xml:space="preserve">that this meant OMs would not be adopted at SC22 and stated it did not agree with the term </w:t>
      </w:r>
      <w:r w:rsidR="00CA07D4" w:rsidRPr="00B845AF">
        <w:rPr>
          <w:rFonts w:asciiTheme="minorHAnsi" w:hAnsiTheme="minorHAnsi" w:cstheme="minorHAnsi"/>
          <w:lang w:val="en-US"/>
        </w:rPr>
        <w:t>“</w:t>
      </w:r>
      <w:r w:rsidR="003F28BC" w:rsidRPr="00B845AF">
        <w:rPr>
          <w:rFonts w:asciiTheme="minorHAnsi" w:hAnsiTheme="minorHAnsi" w:cstheme="minorHAnsi"/>
          <w:lang w:val="en-US"/>
        </w:rPr>
        <w:t>broadly appropriate,</w:t>
      </w:r>
      <w:r w:rsidR="00CA07D4" w:rsidRPr="00B845AF">
        <w:rPr>
          <w:rFonts w:asciiTheme="minorHAnsi" w:hAnsiTheme="minorHAnsi" w:cstheme="minorHAnsi"/>
          <w:lang w:val="en-US"/>
        </w:rPr>
        <w:t>”</w:t>
      </w:r>
      <w:r w:rsidR="003F28BC" w:rsidRPr="00B845AF">
        <w:rPr>
          <w:rFonts w:asciiTheme="minorHAnsi" w:hAnsiTheme="minorHAnsi" w:cstheme="minorHAnsi"/>
          <w:lang w:val="en-US"/>
        </w:rPr>
        <w:t xml:space="preserve"> reiterating its concern that the OM grid does not adequately explore stock status below the </w:t>
      </w:r>
      <w:r w:rsidR="00CA07D4" w:rsidRPr="00B845AF">
        <w:rPr>
          <w:rFonts w:asciiTheme="minorHAnsi" w:hAnsiTheme="minorHAnsi" w:cstheme="minorHAnsi"/>
          <w:lang w:val="en-US"/>
        </w:rPr>
        <w:t>LRP</w:t>
      </w:r>
      <w:r w:rsidR="003F28BC" w:rsidRPr="00B845AF">
        <w:rPr>
          <w:rFonts w:asciiTheme="minorHAnsi" w:hAnsiTheme="minorHAnsi" w:cstheme="minorHAnsi"/>
          <w:lang w:val="en-US"/>
        </w:rPr>
        <w:t>.</w:t>
      </w:r>
    </w:p>
    <w:p w14:paraId="59322963" w14:textId="77777777" w:rsidR="009622FC" w:rsidRPr="00B845AF" w:rsidRDefault="009622FC" w:rsidP="009622FC">
      <w:pPr>
        <w:pStyle w:val="SCtext"/>
        <w:numPr>
          <w:ilvl w:val="0"/>
          <w:numId w:val="0"/>
        </w:numPr>
        <w:rPr>
          <w:rFonts w:asciiTheme="minorHAnsi" w:hAnsiTheme="minorHAnsi" w:cstheme="minorHAnsi"/>
          <w:lang w:val="en-US"/>
        </w:rPr>
      </w:pPr>
    </w:p>
    <w:p w14:paraId="771CA0C7" w14:textId="4D217588" w:rsidR="009622FC" w:rsidRPr="00B845AF" w:rsidRDefault="00CA07D4">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convener noted that expanding the current OM grid would still be based on the current OM structure with additional </w:t>
      </w:r>
      <w:r w:rsidR="008662C9" w:rsidRPr="00B845AF">
        <w:rPr>
          <w:rFonts w:asciiTheme="minorHAnsi" w:eastAsia="MS Mincho" w:hAnsiTheme="minorHAnsi" w:cstheme="minorHAnsi"/>
          <w:lang w:val="en-US" w:eastAsia="ja-JP"/>
        </w:rPr>
        <w:t>parameters and</w:t>
      </w:r>
      <w:r w:rsidRPr="00B845AF">
        <w:rPr>
          <w:rFonts w:asciiTheme="minorHAnsi" w:eastAsia="MS Mincho" w:hAnsiTheme="minorHAnsi" w:cstheme="minorHAnsi"/>
          <w:lang w:val="en-US" w:eastAsia="ja-JP"/>
        </w:rPr>
        <w:t xml:space="preserve"> cautioned that even a larger grid would not guarantee coverage of lower stock status, whereas a fundamental restructuring could take longer than is feasible before the Commission meeting. Australia acknowledged the difficulty of confronting a new assessment and OM revision </w:t>
      </w:r>
      <w:r w:rsidR="008662C9" w:rsidRPr="00B845AF">
        <w:rPr>
          <w:rFonts w:asciiTheme="minorHAnsi" w:eastAsia="MS Mincho" w:hAnsiTheme="minorHAnsi" w:cstheme="minorHAnsi"/>
          <w:lang w:val="en-US" w:eastAsia="ja-JP"/>
        </w:rPr>
        <w:t>concurrently but</w:t>
      </w:r>
      <w:r w:rsidRPr="00B845AF">
        <w:rPr>
          <w:rFonts w:asciiTheme="minorHAnsi" w:eastAsia="MS Mincho" w:hAnsiTheme="minorHAnsi" w:cstheme="minorHAnsi"/>
          <w:lang w:val="en-US" w:eastAsia="ja-JP"/>
        </w:rPr>
        <w:t xml:space="preserve"> maintained that the SSP’s work provided broadly appropriate coverage to answer the question the OMs are meant to address, provided coverage is sufficiently broad.</w:t>
      </w:r>
    </w:p>
    <w:p w14:paraId="591AAB86" w14:textId="77777777" w:rsidR="009622FC" w:rsidRPr="00B845AF" w:rsidRDefault="009622FC" w:rsidP="009622FC">
      <w:pPr>
        <w:pStyle w:val="SCtext"/>
        <w:numPr>
          <w:ilvl w:val="0"/>
          <w:numId w:val="0"/>
        </w:numPr>
        <w:rPr>
          <w:rFonts w:asciiTheme="minorHAnsi" w:hAnsiTheme="minorHAnsi" w:cstheme="minorHAnsi"/>
          <w:lang w:val="en-US"/>
        </w:rPr>
      </w:pPr>
    </w:p>
    <w:p w14:paraId="08886F7C" w14:textId="71EF95CC" w:rsidR="009622FC" w:rsidRPr="00B845AF" w:rsidRDefault="00CA07D4">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convener asked the SSP whether MPs could be simulation-tested directly against the latest (2026) stock assessment; the SSP confirmed this was not possible. The convener noted that in relative terms (scaled to target reference levels) there may not be a large difference between the current and latest </w:t>
      </w:r>
      <w:r w:rsidR="008662C9" w:rsidRPr="00B845AF">
        <w:rPr>
          <w:rFonts w:asciiTheme="minorHAnsi" w:eastAsia="MS Mincho" w:hAnsiTheme="minorHAnsi" w:cstheme="minorHAnsi"/>
          <w:lang w:val="en-US" w:eastAsia="ja-JP"/>
        </w:rPr>
        <w:t>assessments but</w:t>
      </w:r>
      <w:r w:rsidRPr="00B845AF">
        <w:rPr>
          <w:rFonts w:asciiTheme="minorHAnsi" w:eastAsia="MS Mincho" w:hAnsiTheme="minorHAnsi" w:cstheme="minorHAnsi"/>
          <w:lang w:val="en-US" w:eastAsia="ja-JP"/>
        </w:rPr>
        <w:t xml:space="preserve"> acknowledged the USA’s point that the latest assessment implies higher risk of the stock falling below the LRP.</w:t>
      </w:r>
    </w:p>
    <w:p w14:paraId="0D3568E6" w14:textId="77777777" w:rsidR="009622FC" w:rsidRPr="00B845AF" w:rsidRDefault="009622FC" w:rsidP="009622FC">
      <w:pPr>
        <w:pStyle w:val="SCtext"/>
        <w:numPr>
          <w:ilvl w:val="0"/>
          <w:numId w:val="0"/>
        </w:numPr>
        <w:rPr>
          <w:rFonts w:asciiTheme="minorHAnsi" w:hAnsiTheme="minorHAnsi" w:cstheme="minorHAnsi"/>
          <w:lang w:val="en-US"/>
        </w:rPr>
      </w:pPr>
    </w:p>
    <w:p w14:paraId="6664C5C5" w14:textId="753D2BF6" w:rsidR="009622FC" w:rsidRPr="00B845AF" w:rsidRDefault="00CA07D4">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Australia suggested, as a way forward, that evaluation results be presented according to the request SC made last year, to avoid the Committee having to pass judgment now. The convener was doubtful this would resolve the underlying issue but noted it might allow </w:t>
      </w:r>
      <w:proofErr w:type="gramStart"/>
      <w:r w:rsidRPr="00B845AF">
        <w:rPr>
          <w:rFonts w:asciiTheme="minorHAnsi" w:eastAsia="MS Mincho" w:hAnsiTheme="minorHAnsi" w:cstheme="minorHAnsi"/>
          <w:lang w:val="en-US" w:eastAsia="ja-JP"/>
        </w:rPr>
        <w:t>progress, and</w:t>
      </w:r>
      <w:proofErr w:type="gramEnd"/>
      <w:r w:rsidRPr="00B845AF">
        <w:rPr>
          <w:rFonts w:asciiTheme="minorHAnsi" w:eastAsia="MS Mincho" w:hAnsiTheme="minorHAnsi" w:cstheme="minorHAnsi"/>
          <w:lang w:val="en-US" w:eastAsia="ja-JP"/>
        </w:rPr>
        <w:t xml:space="preserve"> floated referring the matter to an extraordinary SC session, asking the floor’s view.</w:t>
      </w:r>
    </w:p>
    <w:p w14:paraId="639E6C7E" w14:textId="77777777" w:rsidR="009622FC" w:rsidRPr="00B845AF" w:rsidRDefault="009622FC" w:rsidP="009622FC">
      <w:pPr>
        <w:pStyle w:val="SCtext"/>
        <w:numPr>
          <w:ilvl w:val="0"/>
          <w:numId w:val="0"/>
        </w:numPr>
        <w:rPr>
          <w:rFonts w:asciiTheme="minorHAnsi" w:hAnsiTheme="minorHAnsi" w:cstheme="minorHAnsi"/>
          <w:lang w:val="en-US"/>
        </w:rPr>
      </w:pPr>
    </w:p>
    <w:p w14:paraId="7A7E2A53" w14:textId="462D50FE" w:rsidR="009622FC" w:rsidRPr="00B845AF" w:rsidRDefault="00CA07D4">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EU stated it partly shared the concerns raised, noting the exceptional circumstance that MP evaluation results may fall outside the range of tested scenarios, and stated that, at minimum, the OMs need to be confirmed as encompassing the uncertainty observed in the latest assessment. The convener noted the SSP could not confirm this could be done at this </w:t>
      </w:r>
      <w:proofErr w:type="gramStart"/>
      <w:r w:rsidRPr="00B845AF">
        <w:rPr>
          <w:rFonts w:asciiTheme="minorHAnsi" w:eastAsia="MS Mincho" w:hAnsiTheme="minorHAnsi" w:cstheme="minorHAnsi"/>
          <w:lang w:val="en-US" w:eastAsia="ja-JP"/>
        </w:rPr>
        <w:t>time, and</w:t>
      </w:r>
      <w:proofErr w:type="gramEnd"/>
      <w:r w:rsidRPr="00B845AF">
        <w:rPr>
          <w:rFonts w:asciiTheme="minorHAnsi" w:eastAsia="MS Mincho" w:hAnsiTheme="minorHAnsi" w:cstheme="minorHAnsi"/>
          <w:lang w:val="en-US" w:eastAsia="ja-JP"/>
        </w:rPr>
        <w:t xml:space="preserve"> reiterated that OMs cannot be signed off at this meeting and further SSP work must be requested ahead of BMW02.</w:t>
      </w:r>
    </w:p>
    <w:p w14:paraId="5388E7D4" w14:textId="77777777" w:rsidR="00CA07D4" w:rsidRPr="00B845AF" w:rsidRDefault="00CA07D4" w:rsidP="00CA07D4">
      <w:pPr>
        <w:pStyle w:val="SCtext"/>
        <w:numPr>
          <w:ilvl w:val="0"/>
          <w:numId w:val="0"/>
        </w:numPr>
        <w:rPr>
          <w:rFonts w:asciiTheme="minorHAnsi" w:hAnsiTheme="minorHAnsi" w:cstheme="minorHAnsi"/>
          <w:lang w:val="en-US"/>
        </w:rPr>
      </w:pPr>
    </w:p>
    <w:p w14:paraId="7CEDB45D" w14:textId="63468365" w:rsidR="00CA07D4" w:rsidRPr="00B845AF" w:rsidRDefault="00CA07D4">
      <w:pPr>
        <w:pStyle w:val="SCtext"/>
        <w:rPr>
          <w:rFonts w:asciiTheme="minorHAnsi" w:hAnsiTheme="minorHAnsi" w:cstheme="minorHAnsi"/>
          <w:lang w:val="en-US"/>
        </w:rPr>
      </w:pPr>
      <w:r w:rsidRPr="00B845AF">
        <w:rPr>
          <w:rFonts w:asciiTheme="minorHAnsi" w:hAnsiTheme="minorHAnsi" w:cstheme="minorHAnsi"/>
          <w:lang w:val="en-US"/>
        </w:rPr>
        <w:t xml:space="preserve">The USA stated it agreed to review the extended OM at BMW02 but would reserve its decision until the extraordinary SC session. The convener raised a procedural question about what role BMW02 would play in reviewing unevaluated results. Australia clarified that its intent was precisely to have OMs reviewed and brought close to final ahead of BMW02, so that MP discussions there could occur </w:t>
      </w:r>
      <w:proofErr w:type="gramStart"/>
      <w:r w:rsidRPr="00B845AF">
        <w:rPr>
          <w:rFonts w:asciiTheme="minorHAnsi" w:hAnsiTheme="minorHAnsi" w:cstheme="minorHAnsi"/>
          <w:lang w:val="en-US"/>
        </w:rPr>
        <w:t>in light of</w:t>
      </w:r>
      <w:proofErr w:type="gramEnd"/>
      <w:r w:rsidRPr="00B845AF">
        <w:rPr>
          <w:rFonts w:asciiTheme="minorHAnsi" w:hAnsiTheme="minorHAnsi" w:cstheme="minorHAnsi"/>
          <w:lang w:val="en-US"/>
        </w:rPr>
        <w:t xml:space="preserve"> the Committee</w:t>
      </w:r>
      <w:r w:rsidR="00D304B2" w:rsidRPr="00B845AF">
        <w:rPr>
          <w:rFonts w:asciiTheme="minorHAnsi" w:hAnsiTheme="minorHAnsi" w:cstheme="minorHAnsi"/>
          <w:lang w:val="en-US"/>
        </w:rPr>
        <w:t>’</w:t>
      </w:r>
      <w:r w:rsidRPr="00B845AF">
        <w:rPr>
          <w:rFonts w:asciiTheme="minorHAnsi" w:hAnsiTheme="minorHAnsi" w:cstheme="minorHAnsi"/>
          <w:lang w:val="en-US"/>
        </w:rPr>
        <w:t>s conclusions, rather than leaving that judgment to BMW02 itself.</w:t>
      </w:r>
    </w:p>
    <w:p w14:paraId="141C11BF" w14:textId="77777777" w:rsidR="00D304B2" w:rsidRPr="00B845AF" w:rsidRDefault="00D304B2" w:rsidP="00D304B2">
      <w:pPr>
        <w:pStyle w:val="SCtext"/>
        <w:numPr>
          <w:ilvl w:val="0"/>
          <w:numId w:val="0"/>
        </w:numPr>
        <w:rPr>
          <w:rFonts w:asciiTheme="minorHAnsi" w:hAnsiTheme="minorHAnsi" w:cstheme="minorHAnsi"/>
          <w:lang w:val="en-US"/>
        </w:rPr>
      </w:pPr>
    </w:p>
    <w:p w14:paraId="00F05C2B" w14:textId="7A87261C" w:rsidR="00D304B2" w:rsidRPr="00B845AF" w:rsidRDefault="00D304B2">
      <w:pPr>
        <w:pStyle w:val="SCtext"/>
        <w:rPr>
          <w:rFonts w:asciiTheme="minorHAnsi" w:hAnsiTheme="minorHAnsi" w:cstheme="minorHAnsi"/>
          <w:lang w:val="en-US"/>
        </w:rPr>
      </w:pPr>
      <w:r w:rsidRPr="00B845AF">
        <w:rPr>
          <w:rFonts w:asciiTheme="minorHAnsi" w:hAnsiTheme="minorHAnsi" w:cstheme="minorHAnsi"/>
          <w:lang w:val="en-US"/>
        </w:rPr>
        <w:t xml:space="preserve">The convener asked whether SC should also recommend timing for the extraordinary session. The Executive Director noted that scheduling would need to go out to CCMs via circular for agreement or objection, but confirmed a special session could occur before the Commission meeting. The convener suggested holding it adjacent to the Commission meeting (potentially in Vanuatu), and Australia indicated a preference for the week before the Commission meeting, subject to venue availability, offering to work with the Secretariat directly. On duration, Australia suggested one to two days depending on the scope of items requiring attention, and the convener proposed two days. The USA asked whether the session could be held virtually; the convener suggested a hybrid format instead, given that many delegations would already be traveling to the Commission meeting </w:t>
      </w:r>
      <w:r w:rsidR="004E2763" w:rsidRPr="00B845AF">
        <w:rPr>
          <w:rFonts w:asciiTheme="minorHAnsi" w:hAnsiTheme="minorHAnsi" w:cstheme="minorHAnsi"/>
          <w:lang w:val="en-US"/>
        </w:rPr>
        <w:t>location and</w:t>
      </w:r>
      <w:r w:rsidRPr="00B845AF">
        <w:rPr>
          <w:rFonts w:asciiTheme="minorHAnsi" w:hAnsiTheme="minorHAnsi" w:cstheme="minorHAnsi"/>
          <w:lang w:val="en-US"/>
        </w:rPr>
        <w:t xml:space="preserve"> proposed a full day in hybrid form. The convener asked delegations to work with the SSP to compile a feasible list of items for further evaluation ahead of BMW02.</w:t>
      </w:r>
    </w:p>
    <w:p w14:paraId="56A7A8D9" w14:textId="79057B33" w:rsidR="00950454" w:rsidRPr="00B845AF" w:rsidRDefault="00950454" w:rsidP="00950454">
      <w:pPr>
        <w:pStyle w:val="SCtext"/>
        <w:numPr>
          <w:ilvl w:val="0"/>
          <w:numId w:val="0"/>
        </w:numPr>
        <w:rPr>
          <w:rFonts w:asciiTheme="minorHAnsi" w:hAnsiTheme="minorHAnsi" w:cstheme="minorHAnsi"/>
          <w:lang w:val="en-US"/>
        </w:rPr>
      </w:pPr>
    </w:p>
    <w:p w14:paraId="55907BF6" w14:textId="7D33AF9D" w:rsidR="00950454" w:rsidRPr="00B845AF" w:rsidRDefault="00950454" w:rsidP="00950454">
      <w:pPr>
        <w:pStyle w:val="SCDR"/>
        <w:rPr>
          <w:rFonts w:asciiTheme="minorHAnsi" w:hAnsiTheme="minorHAnsi" w:cstheme="minorHAnsi"/>
        </w:rPr>
      </w:pPr>
      <w:r w:rsidRPr="00B845AF">
        <w:rPr>
          <w:rFonts w:asciiTheme="minorHAnsi" w:hAnsiTheme="minorHAnsi" w:cstheme="minorHAnsi"/>
        </w:rPr>
        <w:lastRenderedPageBreak/>
        <w:t>Outcomes</w:t>
      </w:r>
    </w:p>
    <w:p w14:paraId="625442B8" w14:textId="7CD3E0E2" w:rsidR="00950454" w:rsidRPr="00B845AF" w:rsidRDefault="00950454">
      <w:pPr>
        <w:pStyle w:val="SCtext"/>
        <w:rPr>
          <w:rFonts w:asciiTheme="minorHAnsi" w:hAnsiTheme="minorHAnsi" w:cstheme="minorHAnsi"/>
          <w:lang w:val="en-US"/>
        </w:rPr>
      </w:pPr>
      <w:r w:rsidRPr="00B845AF">
        <w:rPr>
          <w:rFonts w:asciiTheme="minorHAnsi" w:hAnsiTheme="minorHAnsi" w:cstheme="minorHAnsi"/>
          <w:lang w:val="en-US"/>
        </w:rPr>
        <w:t xml:space="preserve"> </w:t>
      </w:r>
      <w:r w:rsidR="004A3154" w:rsidRPr="00B845AF">
        <w:rPr>
          <w:rFonts w:asciiTheme="minorHAnsi" w:hAnsiTheme="minorHAnsi" w:cstheme="minorHAnsi"/>
          <w:lang w:val="en-US"/>
        </w:rPr>
        <w:t>SC22 noted that SC21 supported the use of the initial OM set for BET MSE, which is based on the 2023 assessment, while requesting further revisions. SC22 further acknowledged with gratitude to SSP that the revised BET OM presented to SC22 was substantially updated to address wider uncertainties responding to the SC21 requests.</w:t>
      </w:r>
    </w:p>
    <w:p w14:paraId="4413827B" w14:textId="77777777" w:rsidR="002E3E6D" w:rsidRPr="00B845AF" w:rsidRDefault="002E3E6D" w:rsidP="002E3E6D">
      <w:pPr>
        <w:pStyle w:val="SCtext"/>
        <w:numPr>
          <w:ilvl w:val="0"/>
          <w:numId w:val="0"/>
        </w:numPr>
        <w:rPr>
          <w:rFonts w:asciiTheme="minorHAnsi" w:hAnsiTheme="minorHAnsi" w:cstheme="minorHAnsi"/>
          <w:lang w:val="en-US"/>
        </w:rPr>
      </w:pPr>
    </w:p>
    <w:p w14:paraId="03EA7F16" w14:textId="2DCDEC38" w:rsidR="002E3E6D" w:rsidRPr="00B845AF" w:rsidRDefault="00360B50">
      <w:pPr>
        <w:pStyle w:val="SCtext"/>
        <w:rPr>
          <w:rFonts w:asciiTheme="minorHAnsi" w:hAnsiTheme="minorHAnsi" w:cstheme="minorHAnsi"/>
          <w:lang w:val="en-US"/>
        </w:rPr>
      </w:pPr>
      <w:r w:rsidRPr="00B845AF">
        <w:rPr>
          <w:rFonts w:asciiTheme="minorHAnsi" w:hAnsiTheme="minorHAnsi" w:cstheme="minorHAnsi"/>
          <w:lang w:val="en-US"/>
        </w:rPr>
        <w:t>However, SC22 noted that the 2026 BET stock assessment</w:t>
      </w:r>
      <w:r w:rsidR="004E2763" w:rsidRPr="00B845AF">
        <w:rPr>
          <w:rFonts w:asciiTheme="minorHAnsi" w:hAnsiTheme="minorHAnsi" w:cstheme="minorHAnsi"/>
          <w:lang w:val="en-US"/>
        </w:rPr>
        <w:t>, which was also available to SC22,</w:t>
      </w:r>
      <w:r w:rsidRPr="00B845AF">
        <w:rPr>
          <w:rFonts w:asciiTheme="minorHAnsi" w:hAnsiTheme="minorHAnsi" w:cstheme="minorHAnsi"/>
          <w:lang w:val="en-US"/>
        </w:rPr>
        <w:t xml:space="preserve"> showed differences from the revised OM set even after additional work by SSP to expand the distribution of OM. Most notably, the new stock assessment suggested, while the overall trajectory and status relative to the 2012-2015 target is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those in the OMs, a more depleted stock status than currently captured within the OM set, with a greater risk of the stock being below the LRP.</w:t>
      </w:r>
    </w:p>
    <w:p w14:paraId="4BE5C7B9" w14:textId="77777777" w:rsidR="002E3E6D" w:rsidRPr="00B845AF" w:rsidRDefault="002E3E6D" w:rsidP="002E3E6D">
      <w:pPr>
        <w:pStyle w:val="SCtext"/>
        <w:numPr>
          <w:ilvl w:val="0"/>
          <w:numId w:val="0"/>
        </w:numPr>
        <w:rPr>
          <w:rFonts w:asciiTheme="minorHAnsi" w:hAnsiTheme="minorHAnsi" w:cstheme="minorHAnsi"/>
          <w:lang w:val="en-US"/>
        </w:rPr>
      </w:pPr>
    </w:p>
    <w:p w14:paraId="6EEEE8EF" w14:textId="4FEBF77C" w:rsidR="002E3E6D" w:rsidRPr="00B845AF" w:rsidRDefault="00062B9B">
      <w:pPr>
        <w:pStyle w:val="SCtext"/>
        <w:rPr>
          <w:rFonts w:asciiTheme="minorHAnsi" w:hAnsiTheme="minorHAnsi" w:cstheme="minorHAnsi"/>
          <w:lang w:val="en-US"/>
        </w:rPr>
      </w:pPr>
      <w:r w:rsidRPr="00B845AF">
        <w:rPr>
          <w:rFonts w:asciiTheme="minorHAnsi" w:hAnsiTheme="minorHAnsi" w:cstheme="minorHAnsi"/>
          <w:lang w:val="en-US"/>
        </w:rPr>
        <w:t xml:space="preserve">Although SC22 </w:t>
      </w:r>
      <w:proofErr w:type="gramStart"/>
      <w:r w:rsidRPr="00B845AF">
        <w:rPr>
          <w:rFonts w:asciiTheme="minorHAnsi" w:hAnsiTheme="minorHAnsi" w:cstheme="minorHAnsi"/>
          <w:lang w:val="en-US"/>
        </w:rPr>
        <w:t>was not able to</w:t>
      </w:r>
      <w:proofErr w:type="gramEnd"/>
      <w:r w:rsidRPr="00B845AF">
        <w:rPr>
          <w:rFonts w:asciiTheme="minorHAnsi" w:hAnsiTheme="minorHAnsi" w:cstheme="minorHAnsi"/>
          <w:lang w:val="en-US"/>
        </w:rPr>
        <w:t xml:space="preserve"> achieve a consensus on the acceptance of the 2026 stock assessment</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SC22 considered that the performance of MPs needs to be MSE tested using an OM grid that spans the range of plausible low-depletion scenarios informed by the 2026 assessment analyses. This is particularly important given that the probability of breaching LRP is one of the performance metrics used to evaluate candidate MPs in the BET MSE.</w:t>
      </w:r>
    </w:p>
    <w:p w14:paraId="7B79CE64" w14:textId="77777777" w:rsidR="002E3E6D" w:rsidRPr="00B845AF" w:rsidRDefault="002E3E6D" w:rsidP="002E3E6D">
      <w:pPr>
        <w:pStyle w:val="SCtext"/>
        <w:numPr>
          <w:ilvl w:val="0"/>
          <w:numId w:val="0"/>
        </w:numPr>
        <w:rPr>
          <w:rFonts w:asciiTheme="minorHAnsi" w:hAnsiTheme="minorHAnsi" w:cstheme="minorHAnsi"/>
          <w:b/>
          <w:bCs/>
          <w:lang w:val="en-US"/>
        </w:rPr>
      </w:pPr>
    </w:p>
    <w:p w14:paraId="6E12E3C4" w14:textId="2A823367" w:rsidR="002E3E6D" w:rsidRPr="00B845AF" w:rsidRDefault="00062B9B">
      <w:pPr>
        <w:pStyle w:val="SCtext"/>
        <w:rPr>
          <w:rFonts w:asciiTheme="minorHAnsi" w:hAnsiTheme="minorHAnsi" w:cstheme="minorHAnsi"/>
          <w:b/>
          <w:bCs/>
          <w:lang w:val="en-US"/>
        </w:rPr>
      </w:pPr>
      <w:r w:rsidRPr="00B845AF">
        <w:rPr>
          <w:rFonts w:asciiTheme="minorHAnsi" w:hAnsiTheme="minorHAnsi" w:cstheme="minorHAnsi"/>
          <w:b/>
          <w:bCs/>
          <w:lang w:val="en-US"/>
        </w:rPr>
        <w:t>Based on these observation</w:t>
      </w:r>
      <w:r w:rsidR="00CA5FE8" w:rsidRPr="00B845AF">
        <w:rPr>
          <w:rFonts w:asciiTheme="minorHAnsi" w:hAnsiTheme="minorHAnsi" w:cstheme="minorHAnsi"/>
          <w:b/>
          <w:bCs/>
          <w:lang w:val="en-US"/>
        </w:rPr>
        <w:t>s</w:t>
      </w:r>
      <w:r w:rsidRPr="00B845AF">
        <w:rPr>
          <w:rFonts w:asciiTheme="minorHAnsi" w:hAnsiTheme="minorHAnsi" w:cstheme="minorHAnsi"/>
          <w:b/>
          <w:bCs/>
          <w:lang w:val="en-US"/>
        </w:rPr>
        <w:t xml:space="preserve">, SC22 therefore, while supporting the overall BET MSE framework to proceed, requested SSP to further explore options to expand the uncertainty range of the OM grid, </w:t>
      </w:r>
      <w:proofErr w:type="gramStart"/>
      <w:r w:rsidRPr="00B845AF">
        <w:rPr>
          <w:rFonts w:asciiTheme="minorHAnsi" w:hAnsiTheme="minorHAnsi" w:cstheme="minorHAnsi"/>
          <w:b/>
          <w:bCs/>
          <w:lang w:val="en-US"/>
        </w:rPr>
        <w:t>in particular to</w:t>
      </w:r>
      <w:proofErr w:type="gramEnd"/>
      <w:r w:rsidRPr="00B845AF">
        <w:rPr>
          <w:rFonts w:asciiTheme="minorHAnsi" w:hAnsiTheme="minorHAnsi" w:cstheme="minorHAnsi"/>
          <w:b/>
          <w:bCs/>
          <w:lang w:val="en-US"/>
        </w:rPr>
        <w:t xml:space="preserve"> cover the lower depletion range as suggested by the 2026 BET stock assessment. SC22 requested the SSP to revise the OM grid accordingly and</w:t>
      </w:r>
      <w:r w:rsidR="004E2763" w:rsidRPr="00B845AF">
        <w:rPr>
          <w:rFonts w:asciiTheme="minorHAnsi" w:hAnsiTheme="minorHAnsi" w:cstheme="minorHAnsi"/>
          <w:b/>
          <w:bCs/>
          <w:lang w:val="en-US"/>
        </w:rPr>
        <w:t>,</w:t>
      </w:r>
      <w:r w:rsidRPr="00B845AF">
        <w:rPr>
          <w:rFonts w:asciiTheme="minorHAnsi" w:hAnsiTheme="minorHAnsi" w:cstheme="minorHAnsi"/>
          <w:b/>
          <w:bCs/>
          <w:lang w:val="en-US"/>
        </w:rPr>
        <w:t xml:space="preserve"> where feasible</w:t>
      </w:r>
      <w:r w:rsidR="004E2763" w:rsidRPr="00B845AF">
        <w:rPr>
          <w:rFonts w:asciiTheme="minorHAnsi" w:hAnsiTheme="minorHAnsi" w:cstheme="minorHAnsi"/>
          <w:b/>
          <w:bCs/>
          <w:lang w:val="en-US"/>
        </w:rPr>
        <w:t>,</w:t>
      </w:r>
      <w:r w:rsidRPr="00B845AF">
        <w:rPr>
          <w:rFonts w:asciiTheme="minorHAnsi" w:hAnsiTheme="minorHAnsi" w:cstheme="minorHAnsi"/>
          <w:b/>
          <w:bCs/>
          <w:lang w:val="en-US"/>
        </w:rPr>
        <w:t xml:space="preserve"> use this revision for work to be provided to the BMW02 (and definitely prior to WCPFC23).</w:t>
      </w:r>
    </w:p>
    <w:p w14:paraId="0B8CAFDF" w14:textId="77777777" w:rsidR="00CA5FE8" w:rsidRPr="00B845AF" w:rsidRDefault="00CA5FE8" w:rsidP="00CA5FE8">
      <w:pPr>
        <w:pStyle w:val="SCtext"/>
        <w:numPr>
          <w:ilvl w:val="0"/>
          <w:numId w:val="0"/>
        </w:numPr>
        <w:rPr>
          <w:rFonts w:asciiTheme="minorHAnsi" w:hAnsiTheme="minorHAnsi" w:cstheme="minorHAnsi"/>
          <w:b/>
          <w:bCs/>
          <w:lang w:val="en-US"/>
        </w:rPr>
      </w:pPr>
    </w:p>
    <w:p w14:paraId="61F9E68D" w14:textId="0071CB96" w:rsidR="00CA5FE8" w:rsidRPr="00B845AF" w:rsidRDefault="00CA5FE8">
      <w:pPr>
        <w:pStyle w:val="SCtext"/>
        <w:rPr>
          <w:rFonts w:asciiTheme="minorHAnsi" w:hAnsiTheme="minorHAnsi" w:cstheme="minorHAnsi"/>
          <w:b/>
          <w:bCs/>
          <w:lang w:val="en-US"/>
        </w:rPr>
      </w:pPr>
      <w:r w:rsidRPr="00B845AF">
        <w:rPr>
          <w:rFonts w:asciiTheme="minorHAnsi" w:hAnsiTheme="minorHAnsi" w:cstheme="minorHAnsi"/>
          <w:b/>
          <w:bCs/>
          <w:lang w:val="en-US"/>
        </w:rPr>
        <w:t>SC22 advised BMW</w:t>
      </w:r>
      <w:r w:rsidR="003068BB" w:rsidRPr="00B845AF">
        <w:rPr>
          <w:rFonts w:asciiTheme="minorHAnsi" w:hAnsiTheme="minorHAnsi" w:cstheme="minorHAnsi"/>
          <w:b/>
          <w:bCs/>
          <w:lang w:val="en-US"/>
        </w:rPr>
        <w:t>0</w:t>
      </w:r>
      <w:r w:rsidRPr="00B845AF">
        <w:rPr>
          <w:rFonts w:asciiTheme="minorHAnsi" w:hAnsiTheme="minorHAnsi" w:cstheme="minorHAnsi"/>
          <w:b/>
          <w:bCs/>
          <w:lang w:val="en-US"/>
        </w:rPr>
        <w:t>2 to provide feedback on the revised OM for final approval by SC. Mindful of the WCPFC Harvest Strategy Workplan, SC22 advised convening of a two-day special SC session (in hybrid format) for further review and formal approval of the BET OM grid by the SC, taking place adjacent to the WCPFC23 in Port Vila, Vanuatu, subject to intersessional confirmation.</w:t>
      </w:r>
    </w:p>
    <w:p w14:paraId="63CBD46E" w14:textId="77777777" w:rsidR="00C415BB" w:rsidRPr="00B845AF" w:rsidRDefault="00C415BB" w:rsidP="00C415BB">
      <w:pPr>
        <w:pStyle w:val="SCtext"/>
        <w:numPr>
          <w:ilvl w:val="0"/>
          <w:numId w:val="0"/>
        </w:numPr>
        <w:rPr>
          <w:rFonts w:asciiTheme="minorHAnsi" w:hAnsiTheme="minorHAnsi" w:cstheme="minorHAnsi"/>
          <w:lang w:val="en-US"/>
        </w:rPr>
      </w:pPr>
    </w:p>
    <w:p w14:paraId="1C84A6BA" w14:textId="04EA9ED8" w:rsidR="003A2857" w:rsidRPr="00B845AF" w:rsidRDefault="00657ACB" w:rsidP="00444F4B">
      <w:pPr>
        <w:widowControl w:val="0"/>
        <w:kinsoku w:val="0"/>
        <w:overflowPunct w:val="0"/>
        <w:autoSpaceDE w:val="0"/>
        <w:autoSpaceDN w:val="0"/>
        <w:adjustRightInd w:val="0"/>
        <w:snapToGrid w:val="0"/>
        <w:jc w:val="both"/>
        <w:rPr>
          <w:rFonts w:asciiTheme="minorHAnsi" w:eastAsia="Batang" w:hAnsiTheme="minorHAnsi" w:cstheme="minorHAnsi"/>
          <w:b/>
          <w:bCs/>
          <w:iCs/>
          <w:szCs w:val="22"/>
          <w:lang w:eastAsia="ko-KR" w:bidi="mn-Mong-CN"/>
        </w:rPr>
      </w:pPr>
      <w:r w:rsidRPr="00B845AF">
        <w:rPr>
          <w:rFonts w:asciiTheme="minorHAnsi" w:eastAsiaTheme="minorEastAsia" w:hAnsiTheme="minorHAnsi" w:cstheme="minorHAnsi"/>
          <w:b/>
          <w:bCs/>
          <w:iCs/>
          <w:szCs w:val="22"/>
          <w:lang w:eastAsia="ko-KR"/>
        </w:rPr>
        <w:t>5.1.1.2</w:t>
      </w:r>
      <w:r w:rsidRPr="00B845AF">
        <w:rPr>
          <w:rFonts w:asciiTheme="minorHAnsi" w:eastAsiaTheme="minorEastAsia" w:hAnsiTheme="minorHAnsi" w:cstheme="minorHAnsi"/>
          <w:b/>
          <w:bCs/>
          <w:iCs/>
          <w:szCs w:val="22"/>
          <w:lang w:eastAsia="ko-KR"/>
        </w:rPr>
        <w:tab/>
      </w:r>
      <w:r w:rsidR="00B65F99" w:rsidRPr="00B845AF">
        <w:rPr>
          <w:rFonts w:asciiTheme="minorHAnsi" w:eastAsiaTheme="minorEastAsia" w:hAnsiTheme="minorHAnsi" w:cstheme="minorHAnsi"/>
          <w:b/>
          <w:bCs/>
          <w:iCs/>
          <w:szCs w:val="22"/>
          <w:lang w:eastAsia="ko-KR"/>
        </w:rPr>
        <w:t>Bigeye estimation method</w:t>
      </w:r>
    </w:p>
    <w:p w14:paraId="27FCDE93" w14:textId="77777777" w:rsidR="003A2857" w:rsidRPr="00B845AF" w:rsidRDefault="003A2857" w:rsidP="003A2857">
      <w:pPr>
        <w:autoSpaceDE w:val="0"/>
        <w:autoSpaceDN w:val="0"/>
        <w:adjustRightInd w:val="0"/>
        <w:snapToGrid w:val="0"/>
        <w:ind w:left="1440"/>
        <w:jc w:val="both"/>
        <w:rPr>
          <w:rFonts w:asciiTheme="minorHAnsi" w:hAnsiTheme="minorHAnsi" w:cstheme="minorHAnsi"/>
          <w:szCs w:val="22"/>
        </w:rPr>
      </w:pPr>
    </w:p>
    <w:p w14:paraId="0EE366FD" w14:textId="77777777" w:rsidR="00DC0E85" w:rsidRPr="00B845AF" w:rsidRDefault="00DC0E85">
      <w:pPr>
        <w:pStyle w:val="SCtext"/>
        <w:rPr>
          <w:rFonts w:asciiTheme="minorHAnsi" w:hAnsiTheme="minorHAnsi" w:cstheme="minorHAnsi"/>
          <w:lang w:val="en-US"/>
        </w:rPr>
      </w:pPr>
      <w:r w:rsidRPr="00B845AF">
        <w:rPr>
          <w:rFonts w:asciiTheme="minorHAnsi" w:hAnsiTheme="minorHAnsi" w:cstheme="minorHAnsi"/>
          <w:lang w:val="en-US"/>
        </w:rPr>
        <w:t xml:space="preserve">The SSP presented </w:t>
      </w:r>
      <w:hyperlink r:id="rId68" w:history="1">
        <w:r w:rsidRPr="00B845AF">
          <w:rPr>
            <w:rStyle w:val="Hyperlink"/>
            <w:rFonts w:asciiTheme="minorHAnsi" w:hAnsiTheme="minorHAnsi" w:cstheme="minorHAnsi"/>
            <w:lang w:val="en-US"/>
          </w:rPr>
          <w:t>WCPFC-SC22-2026-MI-WP02</w:t>
        </w:r>
      </w:hyperlink>
      <w:r w:rsidRPr="00B845AF">
        <w:rPr>
          <w:rFonts w:asciiTheme="minorHAnsi" w:hAnsiTheme="minorHAnsi" w:cstheme="minorHAnsi"/>
          <w:lang w:val="en-US"/>
        </w:rPr>
        <w:t xml:space="preserve"> on updates to the bigeye estimation method (EM) for the bigeye tuna management procedure, describing refinements made in response to SC21’s technical suggestions, including updated operating models (per Scott et al. 2026, MI-WP01), stronger support for the CV of CPUE indices, increased recruitment deviation variation (</w:t>
      </w:r>
      <w:proofErr w:type="spellStart"/>
      <w:r w:rsidRPr="00B845AF">
        <w:rPr>
          <w:rFonts w:asciiTheme="minorHAnsi" w:hAnsiTheme="minorHAnsi" w:cstheme="minorHAnsi"/>
          <w:lang w:val="en-US"/>
        </w:rPr>
        <w:t>σR</w:t>
      </w:r>
      <w:proofErr w:type="spellEnd"/>
      <w:r w:rsidRPr="00B845AF">
        <w:rPr>
          <w:rFonts w:asciiTheme="minorHAnsi" w:hAnsiTheme="minorHAnsi" w:cstheme="minorHAnsi"/>
          <w:lang w:val="en-US"/>
        </w:rPr>
        <w:t xml:space="preserve"> = 0.6), normal priors on natural mortality and steepness, and selectivity patterns estimated with a single-region model. </w:t>
      </w:r>
    </w:p>
    <w:p w14:paraId="2FCD824C" w14:textId="77777777" w:rsidR="00DC0E85" w:rsidRPr="00B845AF" w:rsidRDefault="00DC0E85" w:rsidP="00DC0E85">
      <w:pPr>
        <w:pStyle w:val="SCtext"/>
        <w:numPr>
          <w:ilvl w:val="0"/>
          <w:numId w:val="0"/>
        </w:numPr>
        <w:rPr>
          <w:rFonts w:asciiTheme="minorHAnsi" w:hAnsiTheme="minorHAnsi" w:cstheme="minorHAnsi"/>
          <w:lang w:val="en-US"/>
        </w:rPr>
      </w:pPr>
    </w:p>
    <w:p w14:paraId="6D935309" w14:textId="006DA43E" w:rsidR="0090241E" w:rsidRPr="00B845AF" w:rsidRDefault="00DC0E85" w:rsidP="00DC0E85">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updates produced a higher convergence rate (less than 0.1% of models finished with </w:t>
      </w:r>
      <w:proofErr w:type="spellStart"/>
      <w:r w:rsidRPr="00B845AF">
        <w:rPr>
          <w:rFonts w:asciiTheme="minorHAnsi" w:hAnsiTheme="minorHAnsi" w:cstheme="minorHAnsi"/>
          <w:lang w:val="en-US"/>
        </w:rPr>
        <w:t>mgc</w:t>
      </w:r>
      <w:proofErr w:type="spellEnd"/>
      <w:r w:rsidRPr="00B845AF">
        <w:rPr>
          <w:rFonts w:asciiTheme="minorHAnsi" w:hAnsiTheme="minorHAnsi" w:cstheme="minorHAnsi"/>
          <w:lang w:val="en-US"/>
        </w:rPr>
        <w:t xml:space="preserve"> greater than 0.001), reduced sensitivity to initial conditions, improved accuracy of recovered stock status across a wider range of terminal depletions, and less bias, with the model able to detect biomass changes even at or below the limit reference point; the proposed EM metric (SB/SB2012-2015) had an R² of 0.76 against the true stock status metric. The SSP noted that the WCPFC harvest strategy work plan schedules adoption of the bigeye tuna MP by the end of 2026 and the MP run in 2027, that the EM requires annual catch data for all fisheries and operational data for longline CPUE indices, and that further EM development will proceed through the monitoring strategy. SC22 was invited to consider the results, noting the improvements over those presented to SC21, </w:t>
      </w:r>
      <w:r w:rsidRPr="00B845AF">
        <w:rPr>
          <w:rFonts w:asciiTheme="minorHAnsi" w:hAnsiTheme="minorHAnsi" w:cstheme="minorHAnsi"/>
          <w:lang w:val="en-US"/>
        </w:rPr>
        <w:lastRenderedPageBreak/>
        <w:t>and to endorse use of the proposed EM within the bigeye tuna management strategy evaluation design and testing.</w:t>
      </w:r>
    </w:p>
    <w:p w14:paraId="59538FD3" w14:textId="77777777" w:rsidR="00D678A5" w:rsidRPr="00B845AF" w:rsidRDefault="00D678A5" w:rsidP="00D678A5">
      <w:pPr>
        <w:pStyle w:val="SCtext"/>
        <w:numPr>
          <w:ilvl w:val="0"/>
          <w:numId w:val="0"/>
        </w:numPr>
        <w:rPr>
          <w:rFonts w:asciiTheme="minorHAnsi" w:hAnsiTheme="minorHAnsi" w:cstheme="minorHAnsi"/>
          <w:lang w:val="en-US"/>
        </w:rPr>
      </w:pPr>
    </w:p>
    <w:p w14:paraId="5FD7E728" w14:textId="40571A09" w:rsidR="00E81202" w:rsidRPr="00B845AF" w:rsidRDefault="00E81202" w:rsidP="00E81202">
      <w:pPr>
        <w:pStyle w:val="SCDR"/>
        <w:rPr>
          <w:rFonts w:asciiTheme="minorHAnsi" w:hAnsiTheme="minorHAnsi" w:cstheme="minorHAnsi"/>
        </w:rPr>
      </w:pPr>
      <w:r w:rsidRPr="00B845AF">
        <w:rPr>
          <w:rFonts w:asciiTheme="minorHAnsi" w:hAnsiTheme="minorHAnsi" w:cstheme="minorHAnsi"/>
        </w:rPr>
        <w:t>Discussion</w:t>
      </w:r>
    </w:p>
    <w:p w14:paraId="27E16455" w14:textId="7522E122" w:rsidR="00FE1590" w:rsidRPr="00B845AF" w:rsidRDefault="00907ED7">
      <w:pPr>
        <w:pStyle w:val="SCtext"/>
        <w:rPr>
          <w:rFonts w:asciiTheme="minorHAnsi" w:hAnsiTheme="minorHAnsi" w:cstheme="minorHAnsi"/>
          <w:lang w:val="en-US"/>
        </w:rPr>
      </w:pPr>
      <w:r w:rsidRPr="00B845AF">
        <w:rPr>
          <w:rFonts w:asciiTheme="minorHAnsi" w:hAnsiTheme="minorHAnsi" w:cstheme="minorHAnsi"/>
          <w:lang w:val="en-US"/>
        </w:rPr>
        <w:t>Japan thanked the SSP for the substantial effort made to improve the estimation method, noting that the paper described reduced bias variance and a reasonably predictive performance with an R² of 0.76, but observed that the EM may still tend to overestimate biomass. In response, the SSP stated that any overestimation bias in the estimation method is adjusted for within the harvest control rule, with the two working together to ensure the stock is directed toward the target reference point.</w:t>
      </w:r>
    </w:p>
    <w:p w14:paraId="0F7589B2" w14:textId="77777777" w:rsidR="00FE1590" w:rsidRPr="00B845AF" w:rsidRDefault="00FE1590" w:rsidP="00FE1590">
      <w:pPr>
        <w:pStyle w:val="SCtext"/>
        <w:numPr>
          <w:ilvl w:val="0"/>
          <w:numId w:val="0"/>
        </w:numPr>
        <w:rPr>
          <w:rFonts w:asciiTheme="minorHAnsi" w:hAnsiTheme="minorHAnsi" w:cstheme="minorHAnsi"/>
          <w:lang w:val="en-US"/>
        </w:rPr>
      </w:pPr>
    </w:p>
    <w:p w14:paraId="60856C28" w14:textId="3A025102" w:rsidR="00D948C9" w:rsidRPr="00B845AF" w:rsidRDefault="00C46964">
      <w:pPr>
        <w:pStyle w:val="SCtext"/>
        <w:rPr>
          <w:rFonts w:asciiTheme="minorHAnsi" w:hAnsiTheme="minorHAnsi" w:cstheme="minorHAnsi"/>
          <w:lang w:val="en-US"/>
        </w:rPr>
      </w:pPr>
      <w:r w:rsidRPr="00B845AF">
        <w:rPr>
          <w:rFonts w:asciiTheme="minorHAnsi" w:hAnsiTheme="minorHAnsi" w:cstheme="minorHAnsi"/>
          <w:lang w:val="en-US"/>
        </w:rPr>
        <w:t>Fiji, on behalf of the FFA members, stated that the SSP had substantively addressed SC21’s technical requests and that the updated EM showed markedly improved convergence and robust stock status estimation, and supported endorsing the proposed SS3 EM using SB/SB2012-2015 for the bigeye MSE design and testing, subject to confirming its performance against the final agreed OM reference set.</w:t>
      </w:r>
    </w:p>
    <w:p w14:paraId="05EA8AE1" w14:textId="11DE825A" w:rsidR="006D45BA" w:rsidRPr="00B845AF" w:rsidRDefault="006D45BA" w:rsidP="006D45BA">
      <w:pPr>
        <w:pStyle w:val="SCtext"/>
        <w:numPr>
          <w:ilvl w:val="0"/>
          <w:numId w:val="0"/>
        </w:numPr>
        <w:rPr>
          <w:rFonts w:asciiTheme="minorHAnsi" w:hAnsiTheme="minorHAnsi" w:cstheme="minorHAnsi"/>
          <w:lang w:val="en-US"/>
        </w:rPr>
      </w:pPr>
    </w:p>
    <w:p w14:paraId="203B7B68" w14:textId="33CFE342" w:rsidR="006D45BA" w:rsidRPr="00B845AF" w:rsidRDefault="006D45BA" w:rsidP="006D45BA">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51BBCA50" w14:textId="040AF7C5" w:rsidR="00B65F99" w:rsidRPr="00B845AF" w:rsidRDefault="00B16B58">
      <w:pPr>
        <w:pStyle w:val="SCtext"/>
        <w:rPr>
          <w:rFonts w:asciiTheme="minorHAnsi" w:hAnsiTheme="minorHAnsi" w:cstheme="minorHAnsi"/>
          <w:b/>
          <w:bCs/>
          <w:lang w:val="en-US"/>
        </w:rPr>
      </w:pPr>
      <w:r w:rsidRPr="00B845AF">
        <w:rPr>
          <w:rFonts w:asciiTheme="minorHAnsi" w:hAnsiTheme="minorHAnsi" w:cstheme="minorHAnsi"/>
          <w:lang w:val="en-US"/>
        </w:rPr>
        <w:t xml:space="preserve">SC22 acknowledged that the EM submitted to SC22 had been revised in response to the SC21 requests and that its performance was improved as intended. </w:t>
      </w:r>
      <w:r w:rsidRPr="00B845AF">
        <w:rPr>
          <w:rFonts w:asciiTheme="minorHAnsi" w:hAnsiTheme="minorHAnsi" w:cstheme="minorHAnsi"/>
          <w:b/>
          <w:bCs/>
          <w:lang w:val="en-US"/>
        </w:rPr>
        <w:t>SC22 supported the use of the revised EM for the BET MSE in principle, while noting that its performance needs to be re-evaluated once the OM grid is revised as suggested above.</w:t>
      </w:r>
    </w:p>
    <w:p w14:paraId="548AC230" w14:textId="77777777" w:rsidR="006D45BA" w:rsidRPr="00B845AF" w:rsidRDefault="006D45BA" w:rsidP="00B65F99">
      <w:pPr>
        <w:pStyle w:val="SCtext"/>
        <w:numPr>
          <w:ilvl w:val="0"/>
          <w:numId w:val="0"/>
        </w:numPr>
        <w:rPr>
          <w:rFonts w:asciiTheme="minorHAnsi" w:hAnsiTheme="minorHAnsi" w:cstheme="minorHAnsi"/>
          <w:lang w:val="en-US"/>
        </w:rPr>
      </w:pPr>
    </w:p>
    <w:p w14:paraId="204E3865" w14:textId="2D829106" w:rsidR="00B65F99" w:rsidRPr="00B845AF" w:rsidRDefault="00B65F99" w:rsidP="00B65F99">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r w:rsidRPr="00B845AF">
        <w:rPr>
          <w:rFonts w:asciiTheme="minorHAnsi" w:eastAsiaTheme="minorEastAsia" w:hAnsiTheme="minorHAnsi" w:cstheme="minorHAnsi"/>
          <w:b/>
          <w:bCs/>
          <w:iCs/>
          <w:szCs w:val="22"/>
          <w:lang w:eastAsia="ko-KR"/>
        </w:rPr>
        <w:t>5.1.1.3</w:t>
      </w:r>
      <w:r w:rsidRPr="00B845AF">
        <w:rPr>
          <w:rFonts w:asciiTheme="minorHAnsi" w:eastAsiaTheme="minorEastAsia" w:hAnsiTheme="minorHAnsi" w:cstheme="minorHAnsi"/>
          <w:b/>
          <w:bCs/>
          <w:iCs/>
          <w:szCs w:val="22"/>
          <w:lang w:eastAsia="ko-KR"/>
        </w:rPr>
        <w:tab/>
        <w:t>Bigeye management procedure - design and implementation considerations</w:t>
      </w:r>
    </w:p>
    <w:p w14:paraId="05026F45" w14:textId="4973669C" w:rsidR="00015A7B" w:rsidRPr="00B845AF" w:rsidRDefault="00015A7B" w:rsidP="00B65F99">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p>
    <w:p w14:paraId="08206472" w14:textId="56844787" w:rsidR="0021149D" w:rsidRPr="00B845AF" w:rsidRDefault="00A51467">
      <w:pPr>
        <w:pStyle w:val="SCtext"/>
        <w:rPr>
          <w:rFonts w:asciiTheme="minorHAnsi" w:hAnsiTheme="minorHAnsi" w:cstheme="minorHAnsi"/>
          <w:lang w:val="en-US"/>
        </w:rPr>
      </w:pPr>
      <w:r w:rsidRPr="00B845AF">
        <w:rPr>
          <w:rFonts w:asciiTheme="minorHAnsi" w:hAnsiTheme="minorHAnsi" w:cstheme="minorHAnsi"/>
          <w:lang w:val="en-US"/>
        </w:rPr>
        <w:t>F. Scott (SPC-OFP)</w:t>
      </w:r>
      <w:r w:rsidR="0021149D" w:rsidRPr="00B845AF">
        <w:rPr>
          <w:rFonts w:asciiTheme="minorHAnsi" w:hAnsiTheme="minorHAnsi" w:cstheme="minorHAnsi"/>
          <w:lang w:val="en-US"/>
        </w:rPr>
        <w:t xml:space="preserve"> gave a presentation on </w:t>
      </w:r>
      <w:hyperlink r:id="rId69" w:history="1">
        <w:r w:rsidR="0021149D" w:rsidRPr="00B845AF">
          <w:rPr>
            <w:rStyle w:val="Hyperlink"/>
            <w:rFonts w:asciiTheme="minorHAnsi" w:hAnsiTheme="minorHAnsi" w:cstheme="minorHAnsi"/>
            <w:lang w:val="en-US"/>
          </w:rPr>
          <w:t>WCPFC-SC22-2026-MI-WP03</w:t>
        </w:r>
      </w:hyperlink>
      <w:r w:rsidR="0021149D" w:rsidRPr="00B845AF">
        <w:rPr>
          <w:rFonts w:asciiTheme="minorHAnsi" w:hAnsiTheme="minorHAnsi" w:cstheme="minorHAnsi"/>
          <w:lang w:val="en-US"/>
        </w:rPr>
        <w:t xml:space="preserve">, an approach to designing the bigeye tuna MP. </w:t>
      </w:r>
    </w:p>
    <w:p w14:paraId="48F2FCFD" w14:textId="77777777" w:rsidR="0021149D" w:rsidRPr="00B845AF" w:rsidRDefault="0021149D" w:rsidP="0021149D">
      <w:pPr>
        <w:pStyle w:val="SCtext"/>
        <w:numPr>
          <w:ilvl w:val="0"/>
          <w:numId w:val="0"/>
        </w:numPr>
        <w:rPr>
          <w:rFonts w:asciiTheme="minorHAnsi" w:hAnsiTheme="minorHAnsi" w:cstheme="minorHAnsi"/>
          <w:lang w:val="en-US"/>
        </w:rPr>
      </w:pPr>
    </w:p>
    <w:p w14:paraId="303F2F28" w14:textId="5FFACAB6" w:rsidR="00A51467" w:rsidRPr="00B845AF" w:rsidRDefault="00A51467" w:rsidP="00A51467">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Following discussions at WCPFC22 and BMW01, the proposed bigeye MP comprises a continuum of pairs of HCRs: one that sets the fishing opportunities of the longline fishery, and one for the </w:t>
      </w:r>
      <w:r w:rsidR="004E2763" w:rsidRPr="00B845AF">
        <w:rPr>
          <w:rFonts w:asciiTheme="minorHAnsi" w:hAnsiTheme="minorHAnsi" w:cstheme="minorHAnsi"/>
          <w:lang w:val="en-US"/>
        </w:rPr>
        <w:t>FAD-associated</w:t>
      </w:r>
      <w:r w:rsidRPr="00B845AF">
        <w:rPr>
          <w:rFonts w:asciiTheme="minorHAnsi" w:hAnsiTheme="minorHAnsi" w:cstheme="minorHAnsi"/>
          <w:lang w:val="en-US"/>
        </w:rPr>
        <w:t xml:space="preserve"> purse seine fishery. Each pair of HCRs aims to achieve the same outcomes in terms of long-term bigeye stock status, but under an alternative FAD closure scenario. Some pairs of HCRs would allow for </w:t>
      </w:r>
      <w:proofErr w:type="gramStart"/>
      <w:r w:rsidRPr="00B845AF">
        <w:rPr>
          <w:rFonts w:asciiTheme="minorHAnsi" w:hAnsiTheme="minorHAnsi" w:cstheme="minorHAnsi"/>
          <w:lang w:val="en-US"/>
        </w:rPr>
        <w:t>more or less longline</w:t>
      </w:r>
      <w:proofErr w:type="gramEnd"/>
      <w:r w:rsidRPr="00B845AF">
        <w:rPr>
          <w:rFonts w:asciiTheme="minorHAnsi" w:hAnsiTheme="minorHAnsi" w:cstheme="minorHAnsi"/>
          <w:lang w:val="en-US"/>
        </w:rPr>
        <w:t xml:space="preserve"> fishing depending on the associated FAD closure period, i.e. the longer the FAD closure period, the higher the longline catch of bigeye to achieve the same long-term outcome.</w:t>
      </w:r>
      <w:r w:rsidRPr="00B845AF">
        <w:rPr>
          <w:rFonts w:asciiTheme="minorHAnsi" w:eastAsia="MS Mincho" w:hAnsiTheme="minorHAnsi" w:cstheme="minorHAnsi"/>
          <w:lang w:val="en-US" w:eastAsia="ja-JP"/>
        </w:rPr>
        <w:t xml:space="preserve"> </w:t>
      </w:r>
      <w:r w:rsidRPr="00B845AF">
        <w:rPr>
          <w:rFonts w:asciiTheme="minorHAnsi" w:hAnsiTheme="minorHAnsi" w:cstheme="minorHAnsi"/>
          <w:lang w:val="en-US"/>
        </w:rPr>
        <w:t>Three scenarios for the spatial range of longline fisheries managed through the bigeye MP were proposed at BMW01 for evaluation:</w:t>
      </w:r>
    </w:p>
    <w:p w14:paraId="0300D3D9" w14:textId="77777777" w:rsidR="00A51467" w:rsidRPr="00B845AF" w:rsidRDefault="00A51467" w:rsidP="00D47778">
      <w:pPr>
        <w:pStyle w:val="SCtext"/>
        <w:numPr>
          <w:ilvl w:val="0"/>
          <w:numId w:val="25"/>
        </w:numPr>
        <w:rPr>
          <w:rFonts w:asciiTheme="minorHAnsi" w:hAnsiTheme="minorHAnsi" w:cstheme="minorHAnsi"/>
          <w:lang w:val="en-US"/>
        </w:rPr>
      </w:pPr>
      <w:r w:rsidRPr="00B845AF">
        <w:rPr>
          <w:rFonts w:asciiTheme="minorHAnsi" w:hAnsiTheme="minorHAnsi" w:cstheme="minorHAnsi"/>
          <w:lang w:val="en-US"/>
        </w:rPr>
        <w:t>Tropical longline fisheries (operating between 20°N and 10°S) including the Hawaiian longline fleet operating south of 20°N;</w:t>
      </w:r>
    </w:p>
    <w:p w14:paraId="51CBD5CB" w14:textId="77777777" w:rsidR="00A51467" w:rsidRPr="00B845AF" w:rsidRDefault="00A51467" w:rsidP="00D47778">
      <w:pPr>
        <w:pStyle w:val="SCtext"/>
        <w:numPr>
          <w:ilvl w:val="0"/>
          <w:numId w:val="25"/>
        </w:numPr>
        <w:rPr>
          <w:rFonts w:asciiTheme="minorHAnsi" w:hAnsiTheme="minorHAnsi" w:cstheme="minorHAnsi"/>
          <w:lang w:val="en-US"/>
        </w:rPr>
      </w:pPr>
      <w:r w:rsidRPr="00B845AF">
        <w:rPr>
          <w:rFonts w:asciiTheme="minorHAnsi" w:hAnsiTheme="minorHAnsi" w:cstheme="minorHAnsi"/>
          <w:lang w:val="en-US"/>
        </w:rPr>
        <w:t>Tropical longline fisheries excluding the Hawaiian longline fleet operating south of 20°N;</w:t>
      </w:r>
    </w:p>
    <w:p w14:paraId="13D59BCD" w14:textId="77777777" w:rsidR="00A51467" w:rsidRPr="00B845AF" w:rsidRDefault="00A51467" w:rsidP="00D47778">
      <w:pPr>
        <w:pStyle w:val="SCtext"/>
        <w:numPr>
          <w:ilvl w:val="0"/>
          <w:numId w:val="25"/>
        </w:numPr>
        <w:rPr>
          <w:rFonts w:asciiTheme="minorHAnsi" w:hAnsiTheme="minorHAnsi" w:cstheme="minorHAnsi"/>
          <w:lang w:val="en-US"/>
        </w:rPr>
      </w:pPr>
      <w:r w:rsidRPr="00B845AF">
        <w:rPr>
          <w:rFonts w:asciiTheme="minorHAnsi" w:hAnsiTheme="minorHAnsi" w:cstheme="minorHAnsi"/>
          <w:lang w:val="en-US"/>
        </w:rPr>
        <w:t>All longline fisheries operating within the WCPO.</w:t>
      </w:r>
    </w:p>
    <w:p w14:paraId="4E75AAC8" w14:textId="333F8F38" w:rsidR="00015A7B" w:rsidRPr="00B845AF" w:rsidRDefault="00A51467" w:rsidP="0017601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design of the HCR pairs is derived from running long-term projections at different levels of future longline catch and different FAD closure periods,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those performed for the Tropical Tuna Measure evaluations, known as nuclear grids. To run the </w:t>
      </w:r>
      <w:r w:rsidR="004E2763" w:rsidRPr="00B845AF">
        <w:rPr>
          <w:rFonts w:asciiTheme="minorHAnsi" w:hAnsiTheme="minorHAnsi" w:cstheme="minorHAnsi"/>
          <w:lang w:val="en-US"/>
        </w:rPr>
        <w:t>projections,</w:t>
      </w:r>
      <w:r w:rsidRPr="00B845AF">
        <w:rPr>
          <w:rFonts w:asciiTheme="minorHAnsi" w:hAnsiTheme="minorHAnsi" w:cstheme="minorHAnsi"/>
          <w:lang w:val="en-US"/>
        </w:rPr>
        <w:t xml:space="preserve"> it is necessary to make assumptions on the future bigeye catch or effort of the fisheries not managed through the bigeye MP. Where relevant, these assumptions are consistent with adopted interim MPs for skipjack and south Pacific albacore</w:t>
      </w:r>
      <w:r w:rsidR="0021149D" w:rsidRPr="00B845AF">
        <w:rPr>
          <w:rFonts w:asciiTheme="minorHAnsi" w:hAnsiTheme="minorHAnsi" w:cstheme="minorHAnsi"/>
          <w:lang w:val="en-US"/>
        </w:rPr>
        <w:t>.</w:t>
      </w:r>
    </w:p>
    <w:p w14:paraId="658E0431" w14:textId="2760E3B6" w:rsidR="00015A7B" w:rsidRPr="00B845AF" w:rsidRDefault="00015A7B" w:rsidP="00015A7B">
      <w:pPr>
        <w:pStyle w:val="SCtext"/>
        <w:numPr>
          <w:ilvl w:val="0"/>
          <w:numId w:val="0"/>
        </w:numPr>
        <w:rPr>
          <w:rFonts w:asciiTheme="minorHAnsi" w:hAnsiTheme="minorHAnsi" w:cstheme="minorHAnsi"/>
          <w:lang w:val="en-US"/>
        </w:rPr>
      </w:pPr>
    </w:p>
    <w:p w14:paraId="4B0C777C" w14:textId="2217013A" w:rsidR="00015A7B" w:rsidRPr="00B845AF" w:rsidRDefault="00015A7B" w:rsidP="00015A7B">
      <w:pPr>
        <w:pStyle w:val="SCDR"/>
        <w:rPr>
          <w:rFonts w:asciiTheme="minorHAnsi" w:hAnsiTheme="minorHAnsi" w:cstheme="minorHAnsi"/>
        </w:rPr>
      </w:pPr>
      <w:r w:rsidRPr="00B845AF">
        <w:rPr>
          <w:rFonts w:asciiTheme="minorHAnsi" w:hAnsiTheme="minorHAnsi" w:cstheme="minorHAnsi"/>
        </w:rPr>
        <w:lastRenderedPageBreak/>
        <w:t>Discussion</w:t>
      </w:r>
    </w:p>
    <w:p w14:paraId="24B68DEB" w14:textId="758BD20F" w:rsidR="00015A7B" w:rsidRPr="00B845AF" w:rsidRDefault="00015A7B">
      <w:pPr>
        <w:pStyle w:val="SCtext"/>
        <w:rPr>
          <w:rFonts w:asciiTheme="minorHAnsi" w:hAnsiTheme="minorHAnsi" w:cstheme="minorHAnsi"/>
          <w:lang w:val="en-US"/>
        </w:rPr>
      </w:pPr>
      <w:r w:rsidRPr="00B845AF">
        <w:rPr>
          <w:rFonts w:asciiTheme="minorHAnsi" w:eastAsia="MS Mincho" w:hAnsiTheme="minorHAnsi" w:cstheme="minorHAnsi"/>
          <w:lang w:val="en-US" w:eastAsia="ja-JP"/>
        </w:rPr>
        <w:t>T</w:t>
      </w:r>
      <w:r w:rsidR="00C509A2" w:rsidRPr="00B845AF">
        <w:rPr>
          <w:rFonts w:asciiTheme="minorHAnsi" w:eastAsia="MS Mincho" w:hAnsiTheme="minorHAnsi" w:cstheme="minorHAnsi"/>
          <w:lang w:val="en-US" w:eastAsia="ja-JP"/>
        </w:rPr>
        <w:t>he theme convener opened by noting that BMW01 had provided only the target level and spatial application, leaving the SSP to exercise judgment in developing specific HCRs, since testing requires a defined list of candidate MPs. He stressed that the priority for BMW02 was to ensure the list of HCRs to be tested included at least one option acceptable to each delegation, since only tested options could ultimately be selected, and invited the floor to consider whether the current structure adequately covered CCMs’ objectives.</w:t>
      </w:r>
    </w:p>
    <w:p w14:paraId="3E01B82A" w14:textId="77777777" w:rsidR="00C509A2" w:rsidRPr="00B845AF" w:rsidRDefault="00C509A2" w:rsidP="00C509A2">
      <w:pPr>
        <w:pStyle w:val="SCtext"/>
        <w:numPr>
          <w:ilvl w:val="0"/>
          <w:numId w:val="0"/>
        </w:numPr>
        <w:rPr>
          <w:rFonts w:asciiTheme="minorHAnsi" w:hAnsiTheme="minorHAnsi" w:cstheme="minorHAnsi"/>
          <w:lang w:val="en-US"/>
        </w:rPr>
      </w:pPr>
    </w:p>
    <w:p w14:paraId="4C45DDE1" w14:textId="4AD94736" w:rsidR="00C509A2" w:rsidRPr="00B845AF" w:rsidRDefault="00C509A2">
      <w:pPr>
        <w:pStyle w:val="SCtext"/>
        <w:rPr>
          <w:rFonts w:asciiTheme="minorHAnsi" w:hAnsiTheme="minorHAnsi" w:cstheme="minorHAnsi"/>
          <w:lang w:val="en-US"/>
        </w:rPr>
      </w:pPr>
      <w:r w:rsidRPr="00B845AF">
        <w:rPr>
          <w:rFonts w:asciiTheme="minorHAnsi" w:hAnsiTheme="minorHAnsi" w:cstheme="minorHAnsi"/>
          <w:lang w:val="en-US"/>
        </w:rPr>
        <w:t>Japan noted that at BMW01 the SSP had been asked to show how longline catch is translated into an absolute catch limit, as described in IP07, and observed that while WP03 and WP04 now presented outputs by FAD closure period, the conversion process itself had not been explained; Japan asked the SSP to present this at BMW02, including how the conversion compared with 2024 data showing a 12% drop in FAD sets. Japan separately asked why the longline catch baseline had changed from the 2022-2024 period used at BMW01 to 2019-2021 in WP03 and WP04. The SSP responded that 2019-2021 was used as the baseline for longline catches, but that the baseline period was not material since the approach involves applying whatever scaler is needed to project overall catch forward.</w:t>
      </w:r>
    </w:p>
    <w:p w14:paraId="0C8DAEF9" w14:textId="77777777" w:rsidR="00C509A2" w:rsidRPr="00B845AF" w:rsidRDefault="00C509A2" w:rsidP="00C509A2">
      <w:pPr>
        <w:pStyle w:val="SCtext"/>
        <w:numPr>
          <w:ilvl w:val="0"/>
          <w:numId w:val="0"/>
        </w:numPr>
        <w:rPr>
          <w:rFonts w:asciiTheme="minorHAnsi" w:hAnsiTheme="minorHAnsi" w:cstheme="minorHAnsi"/>
          <w:lang w:val="en-US"/>
        </w:rPr>
      </w:pPr>
    </w:p>
    <w:p w14:paraId="65ECDCA3" w14:textId="4390CEAA" w:rsidR="00C509A2" w:rsidRPr="00B845AF" w:rsidRDefault="00C509A2">
      <w:pPr>
        <w:pStyle w:val="SCtext"/>
        <w:rPr>
          <w:rFonts w:asciiTheme="minorHAnsi" w:hAnsiTheme="minorHAnsi" w:cstheme="minorHAnsi"/>
          <w:lang w:val="en-US"/>
        </w:rPr>
      </w:pPr>
      <w:r w:rsidRPr="00B845AF">
        <w:rPr>
          <w:rFonts w:asciiTheme="minorHAnsi" w:hAnsiTheme="minorHAnsi" w:cstheme="minorHAnsi"/>
          <w:lang w:val="en-US"/>
        </w:rPr>
        <w:t>The RMI, on behalf of the PNA and Vanuatu, thanked the SSP for the quality of WP03 but stated that the analysis was incomplete because it did not include a WCPO-wide spatial option linking the MP to existing arrangements, including discrete longline bigeye catch limits held outside the TAC and special arrangements for SIDS. The PNA and Vanuatu considered the MP design in WP03 not appropriate for meeting BMW01’s request for candidate MPs, while noting agreement with the general approach and reserving further HCR concerns for separate discussion, and looked forward to WCPO-wide candidate MPs being provided.</w:t>
      </w:r>
    </w:p>
    <w:p w14:paraId="2555391C" w14:textId="77777777" w:rsidR="00C509A2" w:rsidRPr="00B845AF" w:rsidRDefault="00C509A2" w:rsidP="00C509A2">
      <w:pPr>
        <w:pStyle w:val="SCtext"/>
        <w:numPr>
          <w:ilvl w:val="0"/>
          <w:numId w:val="0"/>
        </w:numPr>
        <w:rPr>
          <w:rFonts w:asciiTheme="minorHAnsi" w:hAnsiTheme="minorHAnsi" w:cstheme="minorHAnsi"/>
          <w:lang w:val="en-US"/>
        </w:rPr>
      </w:pPr>
    </w:p>
    <w:p w14:paraId="50F1D454" w14:textId="71A907C9" w:rsidR="00C509A2" w:rsidRPr="00B845AF" w:rsidRDefault="00AF29AA">
      <w:pPr>
        <w:pStyle w:val="SCtext"/>
        <w:rPr>
          <w:rFonts w:asciiTheme="minorHAnsi" w:hAnsiTheme="minorHAnsi" w:cstheme="minorHAnsi"/>
          <w:lang w:val="en-US"/>
        </w:rPr>
      </w:pPr>
      <w:r w:rsidRPr="00B845AF">
        <w:rPr>
          <w:rFonts w:asciiTheme="minorHAnsi" w:hAnsiTheme="minorHAnsi" w:cstheme="minorHAnsi"/>
          <w:lang w:val="en-US"/>
        </w:rPr>
        <w:t>The convener responded that MSE must proceed step by step, with each stage agreed before advancing, and that the current candidate MP list reflected only what had been agreed at BMW01 regarding target levels and spatial definitions; he noted the difficulty of proceeding if delegations rejected the candidate options developed and proposed recommending that the SSP incorporate CCM comments as far as possible ahead of BMW02, given the roughly six-week window before that meeting.</w:t>
      </w:r>
    </w:p>
    <w:p w14:paraId="7C9CB05D" w14:textId="77777777" w:rsidR="00AF29AA" w:rsidRPr="00B845AF" w:rsidRDefault="00AF29AA" w:rsidP="00AF29AA">
      <w:pPr>
        <w:pStyle w:val="SCtext"/>
        <w:numPr>
          <w:ilvl w:val="0"/>
          <w:numId w:val="0"/>
        </w:numPr>
        <w:rPr>
          <w:rFonts w:asciiTheme="minorHAnsi" w:hAnsiTheme="minorHAnsi" w:cstheme="minorHAnsi"/>
          <w:lang w:val="en-US"/>
        </w:rPr>
      </w:pPr>
    </w:p>
    <w:p w14:paraId="7BD691EC" w14:textId="0570A229" w:rsidR="00AF29AA" w:rsidRPr="00B845AF" w:rsidRDefault="00AF29AA">
      <w:pPr>
        <w:pStyle w:val="SCtext"/>
        <w:rPr>
          <w:rFonts w:asciiTheme="minorHAnsi" w:hAnsiTheme="minorHAnsi" w:cstheme="minorHAnsi"/>
          <w:lang w:val="en-US"/>
        </w:rPr>
      </w:pPr>
      <w:r w:rsidRPr="00B845AF">
        <w:rPr>
          <w:rFonts w:asciiTheme="minorHAnsi" w:hAnsiTheme="minorHAnsi" w:cstheme="minorHAnsi"/>
          <w:lang w:val="en-US"/>
        </w:rPr>
        <w:t>Cook Islands, on behalf of the FFA members, thanked the SSP for the presented work and expressed support for the proposed continuum of HCRs as an important component of bigeye MP design, providing a range of options across tropical longline catch and FAD closure combinations, and looked forward to further clarifications from SC22 informing continued development of the final HCRs.</w:t>
      </w:r>
    </w:p>
    <w:p w14:paraId="4D09ABA0" w14:textId="77777777" w:rsidR="001B745F" w:rsidRPr="00B845AF" w:rsidRDefault="001B745F" w:rsidP="001B745F">
      <w:pPr>
        <w:pStyle w:val="SCtext"/>
        <w:numPr>
          <w:ilvl w:val="0"/>
          <w:numId w:val="0"/>
        </w:numPr>
        <w:rPr>
          <w:rFonts w:asciiTheme="minorHAnsi" w:hAnsiTheme="minorHAnsi" w:cstheme="minorHAnsi"/>
          <w:lang w:val="en-US"/>
        </w:rPr>
      </w:pPr>
    </w:p>
    <w:p w14:paraId="63BA8441" w14:textId="1F912165" w:rsidR="001B745F" w:rsidRPr="00B845AF" w:rsidRDefault="00B912EF">
      <w:pPr>
        <w:pStyle w:val="SCtext"/>
        <w:rPr>
          <w:rFonts w:asciiTheme="minorHAnsi" w:hAnsiTheme="minorHAnsi" w:cstheme="minorHAnsi"/>
          <w:lang w:val="en-US"/>
        </w:rPr>
      </w:pPr>
      <w:r w:rsidRPr="00B845AF">
        <w:rPr>
          <w:rFonts w:asciiTheme="minorHAnsi" w:hAnsiTheme="minorHAnsi" w:cstheme="minorHAnsi"/>
          <w:lang w:val="en-US"/>
        </w:rPr>
        <w:t>French Polynesia asked for clarification on the geographical scope and future implementation of the bigeye MP, noting the apparent inconsistency between fisheries in the WCPFC–IATTC overlap area being outside direct MP control and the MP being implemented through a Tropical Tuna CMM covering the overlap area, and asked whether bigeye longline catches could be presented by flag and by EEZ versus high seas. The SSP responded that the overlap area question remained unresolved and might be addressed at BMW02, and that the model could not disaggregate catch by flag and EEZ versus high seas; a follow-up comment noted that SA-IP12 provides bigeye catch by longline fleet and area, but that dividing aggregated catch data into EEZ and high seas components remained a challenge</w:t>
      </w:r>
      <w:r w:rsidR="001B745F" w:rsidRPr="00B845AF">
        <w:rPr>
          <w:rFonts w:asciiTheme="minorHAnsi" w:hAnsiTheme="minorHAnsi" w:cstheme="minorHAnsi"/>
          <w:lang w:val="en-US"/>
        </w:rPr>
        <w:t>.</w:t>
      </w:r>
    </w:p>
    <w:p w14:paraId="7E48D756" w14:textId="77777777" w:rsidR="001B745F" w:rsidRPr="00B845AF" w:rsidRDefault="001B745F" w:rsidP="001B745F">
      <w:pPr>
        <w:pStyle w:val="SCtext"/>
        <w:numPr>
          <w:ilvl w:val="0"/>
          <w:numId w:val="0"/>
        </w:numPr>
        <w:rPr>
          <w:rFonts w:asciiTheme="minorHAnsi" w:hAnsiTheme="minorHAnsi" w:cstheme="minorHAnsi"/>
          <w:lang w:val="en-US"/>
        </w:rPr>
      </w:pPr>
    </w:p>
    <w:p w14:paraId="21414528" w14:textId="0F910AF3" w:rsidR="001B745F" w:rsidRPr="00B845AF" w:rsidRDefault="001B745F">
      <w:pPr>
        <w:pStyle w:val="SCtext"/>
        <w:rPr>
          <w:rFonts w:asciiTheme="minorHAnsi" w:hAnsiTheme="minorHAnsi" w:cstheme="minorHAnsi"/>
          <w:lang w:val="en-US"/>
        </w:rPr>
      </w:pPr>
      <w:r w:rsidRPr="00B845AF">
        <w:rPr>
          <w:rFonts w:asciiTheme="minorHAnsi" w:hAnsiTheme="minorHAnsi" w:cstheme="minorHAnsi"/>
          <w:lang w:val="en-US"/>
        </w:rPr>
        <w:t xml:space="preserve">PNG, on behalf of the PNA and Vanuatu, asked the SSP to elaborate on how the HCRs illustrated in Figure 1 were derived, observing that an HCR input of 1 would hold the FAD closure period at its current </w:t>
      </w:r>
      <w:r w:rsidRPr="00B845AF">
        <w:rPr>
          <w:rFonts w:asciiTheme="minorHAnsi" w:hAnsiTheme="minorHAnsi" w:cstheme="minorHAnsi"/>
          <w:lang w:val="en-US"/>
        </w:rPr>
        <w:lastRenderedPageBreak/>
        <w:t>level of 10.5 months while allowing longline catch to increase by around 25% above recent levels, which PNG considered would not be acceptable, and suggested the HCRs needed to be rebalanced. The convener noted that the shape of specific HCRs had not previously been discussed or agreed, only the spatial application at BMW01, and that specific HCR selection would normally follow from management advice. The SSP explained that the 25% figure was an outcome of the nuclear grid projections rather than a deliberate design choice: projecting the operating model grid forward under a range of FAD closure scenarios showed that achieving the required long-term TRP under the given FAD closure level required longline catch approximately 25% above baseline, and that this relationship would differ under other TRP or spatial scenarios, with the same FAD closure generally requiring lower longline catch under a lower TRP.</w:t>
      </w:r>
    </w:p>
    <w:p w14:paraId="4A5DB45D" w14:textId="77777777" w:rsidR="001B745F" w:rsidRPr="00B845AF" w:rsidRDefault="001B745F" w:rsidP="001B745F">
      <w:pPr>
        <w:pStyle w:val="SCtext"/>
        <w:numPr>
          <w:ilvl w:val="0"/>
          <w:numId w:val="0"/>
        </w:numPr>
        <w:rPr>
          <w:rFonts w:asciiTheme="minorHAnsi" w:hAnsiTheme="minorHAnsi" w:cstheme="minorHAnsi"/>
          <w:lang w:val="en-US"/>
        </w:rPr>
      </w:pPr>
    </w:p>
    <w:p w14:paraId="7F6CE4C3" w14:textId="2528E2A9" w:rsidR="001B745F" w:rsidRPr="00B845AF" w:rsidRDefault="00013B3D">
      <w:pPr>
        <w:pStyle w:val="SCtext"/>
        <w:rPr>
          <w:rFonts w:asciiTheme="minorHAnsi" w:hAnsiTheme="minorHAnsi" w:cstheme="minorHAnsi"/>
          <w:lang w:val="en-US"/>
        </w:rPr>
      </w:pPr>
      <w:r w:rsidRPr="00B845AF">
        <w:rPr>
          <w:rFonts w:asciiTheme="minorHAnsi" w:hAnsiTheme="minorHAnsi" w:cstheme="minorHAnsi"/>
          <w:lang w:val="en-US"/>
        </w:rPr>
        <w:t>The EU thanked the SSP for its work and expressed support for the convener’s proposed approach, including capturing any additional work recommended by SC22 for BMW02.</w:t>
      </w:r>
    </w:p>
    <w:p w14:paraId="2C8C2A63" w14:textId="77777777" w:rsidR="00013B3D" w:rsidRPr="00B845AF" w:rsidRDefault="00013B3D" w:rsidP="00013B3D">
      <w:pPr>
        <w:pStyle w:val="SCtext"/>
        <w:numPr>
          <w:ilvl w:val="0"/>
          <w:numId w:val="0"/>
        </w:numPr>
        <w:rPr>
          <w:rFonts w:asciiTheme="minorHAnsi" w:hAnsiTheme="minorHAnsi" w:cstheme="minorHAnsi"/>
          <w:lang w:val="en-US"/>
        </w:rPr>
      </w:pPr>
    </w:p>
    <w:p w14:paraId="402F837B" w14:textId="34F58B75" w:rsidR="00013B3D" w:rsidRPr="00B845AF" w:rsidRDefault="00013B3D">
      <w:pPr>
        <w:pStyle w:val="SCtext"/>
        <w:rPr>
          <w:rFonts w:asciiTheme="minorHAnsi" w:hAnsiTheme="minorHAnsi" w:cstheme="minorHAnsi"/>
          <w:lang w:val="en-US"/>
        </w:rPr>
      </w:pPr>
      <w:r w:rsidRPr="00B845AF">
        <w:rPr>
          <w:rFonts w:asciiTheme="minorHAnsi" w:hAnsiTheme="minorHAnsi" w:cstheme="minorHAnsi"/>
          <w:lang w:val="en-US"/>
        </w:rPr>
        <w:t>Indonesia raised concern that the operating models had not yet fully integrated stock structure considerations, noting that the current five-area regional stock assessment had not reached a final decision and asking whether the OM would refer to the 2023 or the more recent 2026 assessment. Indonesia also asked whether climate impacts, which the OM does not currently incorporate, would be addressed in future work, and asked about testing of spatial scenarios relevant to the WPEA area, including handline fisheries. The SSP responded that discussions on the OM’s stock structure basis were still ongoing and would depend on how the recommendation and discussion played out, that climate scenarios were planned as future work under sensitivity and robustness testing on a smaller subset of candidate MPs but had not yet been conducted, and that further testing was planned to address existing data uncertainties.</w:t>
      </w:r>
    </w:p>
    <w:p w14:paraId="4AF3D880" w14:textId="77777777" w:rsidR="00013B3D" w:rsidRPr="00B845AF" w:rsidRDefault="00013B3D" w:rsidP="00013B3D">
      <w:pPr>
        <w:pStyle w:val="SCtext"/>
        <w:numPr>
          <w:ilvl w:val="0"/>
          <w:numId w:val="0"/>
        </w:numPr>
        <w:rPr>
          <w:rFonts w:asciiTheme="minorHAnsi" w:hAnsiTheme="minorHAnsi" w:cstheme="minorHAnsi"/>
          <w:lang w:val="en-US"/>
        </w:rPr>
      </w:pPr>
    </w:p>
    <w:p w14:paraId="4DD65A9A" w14:textId="0BF7E7FB" w:rsidR="00013B3D" w:rsidRPr="00B845AF" w:rsidRDefault="00013B3D">
      <w:pPr>
        <w:pStyle w:val="SCtext"/>
        <w:rPr>
          <w:rFonts w:asciiTheme="minorHAnsi" w:hAnsiTheme="minorHAnsi" w:cstheme="minorHAnsi"/>
          <w:lang w:val="en-US"/>
        </w:rPr>
      </w:pPr>
      <w:r w:rsidRPr="00B845AF">
        <w:rPr>
          <w:rFonts w:asciiTheme="minorHAnsi" w:hAnsiTheme="minorHAnsi" w:cstheme="minorHAnsi"/>
          <w:lang w:val="en-US"/>
        </w:rPr>
        <w:t>The convener reiterated that the MSE process could not revisit the spatial and target level definitions already agreed at BMW01, given the sequential nature of MSE, and asked the SSP to confirm the plan of work: three spatial scenarios, four candidate TRPs, and HCRs for each. The SSP confirmed that a unique MP would be needed for each combination of spatial scenario and target, giving the most useful basis for BMW02 to determine which combinations to carry forward. The convener noted this yielded twelve combinations, and thirty-six results when FAD-favored, intermediate, and longline-favored HCR pairs were considered. On the PNA’s request for an additional fisheries application scenario, the SSP noted prior communication with the PNA on the issue and said the open question was whether such a scenario would replace or supplement an existing spatial scenario, which bears on prioritization of work; the convener stated he had no authority to alter what had been agreed at BMW01 and that any such addition would need to be additional work rather than a substitution.</w:t>
      </w:r>
    </w:p>
    <w:p w14:paraId="408B3E35" w14:textId="77777777" w:rsidR="00013B3D" w:rsidRPr="00B845AF" w:rsidRDefault="00013B3D" w:rsidP="00013B3D">
      <w:pPr>
        <w:pStyle w:val="SCtext"/>
        <w:numPr>
          <w:ilvl w:val="0"/>
          <w:numId w:val="0"/>
        </w:numPr>
        <w:rPr>
          <w:rFonts w:asciiTheme="minorHAnsi" w:hAnsiTheme="minorHAnsi" w:cstheme="minorHAnsi"/>
          <w:lang w:val="en-US"/>
        </w:rPr>
      </w:pPr>
    </w:p>
    <w:p w14:paraId="665953FC" w14:textId="06AD7DE4" w:rsidR="00013B3D" w:rsidRPr="00B845AF" w:rsidRDefault="00013B3D">
      <w:pPr>
        <w:pStyle w:val="SCtext"/>
        <w:rPr>
          <w:rFonts w:asciiTheme="minorHAnsi" w:hAnsiTheme="minorHAnsi" w:cstheme="minorHAnsi"/>
          <w:lang w:val="en-US"/>
        </w:rPr>
      </w:pPr>
      <w:r w:rsidRPr="00B845AF">
        <w:rPr>
          <w:rFonts w:asciiTheme="minorHAnsi" w:hAnsiTheme="minorHAnsi" w:cstheme="minorHAnsi"/>
          <w:lang w:val="en-US"/>
        </w:rPr>
        <w:t>Australia expressed support for the proposed additional MPs being provided in addition to, rather than in place of, existing options, and suggested the convener consider triaging which additional analyses could be delivered to enable work to continue between BMW02 and an extraordinary session of SC.</w:t>
      </w:r>
    </w:p>
    <w:p w14:paraId="48C34D99" w14:textId="77777777" w:rsidR="00986700" w:rsidRPr="00B845AF" w:rsidRDefault="00986700" w:rsidP="00986700">
      <w:pPr>
        <w:pStyle w:val="SCtext"/>
        <w:numPr>
          <w:ilvl w:val="0"/>
          <w:numId w:val="0"/>
        </w:numPr>
        <w:rPr>
          <w:rFonts w:asciiTheme="minorHAnsi" w:hAnsiTheme="minorHAnsi" w:cstheme="minorHAnsi"/>
          <w:lang w:val="en-US"/>
        </w:rPr>
      </w:pPr>
    </w:p>
    <w:p w14:paraId="4385FFA7" w14:textId="139638D3" w:rsidR="00986700" w:rsidRPr="00B845AF" w:rsidRDefault="00986700">
      <w:pPr>
        <w:pStyle w:val="SCtext"/>
        <w:rPr>
          <w:rFonts w:asciiTheme="minorHAnsi" w:hAnsiTheme="minorHAnsi" w:cstheme="minorHAnsi"/>
          <w:lang w:val="en-US"/>
        </w:rPr>
      </w:pPr>
      <w:r w:rsidRPr="00B845AF">
        <w:rPr>
          <w:rFonts w:asciiTheme="minorHAnsi" w:hAnsiTheme="minorHAnsi" w:cstheme="minorHAnsi"/>
          <w:lang w:val="en-US"/>
        </w:rPr>
        <w:t>RMI, on behalf of the PNA and Vanuatu, clarified that the PNA</w:t>
      </w:r>
      <w:r w:rsidR="00E07D38" w:rsidRPr="00B845AF">
        <w:rPr>
          <w:rFonts w:asciiTheme="minorHAnsi" w:hAnsiTheme="minorHAnsi" w:cstheme="minorHAnsi"/>
          <w:lang w:val="en-US"/>
        </w:rPr>
        <w:t>’</w:t>
      </w:r>
      <w:r w:rsidRPr="00B845AF">
        <w:rPr>
          <w:rFonts w:asciiTheme="minorHAnsi" w:hAnsiTheme="minorHAnsi" w:cstheme="minorHAnsi"/>
          <w:lang w:val="en-US"/>
        </w:rPr>
        <w:t>s proposal would retain the existing spatial scenarios but modify the HCRs, and should therefore be understood as additive rather than a replacement. The convener acknowledged this clarification, noting that testing all resulting combinations would substantially multiply the number of scenarios, and indicated that this work would fall outside the BMW01 instruction; he proposed requesting that the SSP undertake as much of this additional work as feasible and report back to BMW02 and the extraordinary session of SC.</w:t>
      </w:r>
    </w:p>
    <w:p w14:paraId="050EA2A4" w14:textId="1D821298" w:rsidR="00810A36" w:rsidRPr="00B845AF" w:rsidRDefault="00810A36" w:rsidP="00810A36">
      <w:pPr>
        <w:pStyle w:val="SCtext"/>
        <w:numPr>
          <w:ilvl w:val="0"/>
          <w:numId w:val="0"/>
        </w:numPr>
        <w:rPr>
          <w:rFonts w:asciiTheme="minorHAnsi" w:hAnsiTheme="minorHAnsi" w:cstheme="minorHAnsi"/>
          <w:lang w:val="en-US"/>
        </w:rPr>
      </w:pPr>
    </w:p>
    <w:p w14:paraId="221020B8" w14:textId="24485C9E" w:rsidR="00810A36" w:rsidRPr="00B845AF" w:rsidRDefault="00810A36" w:rsidP="00810A36">
      <w:pPr>
        <w:pStyle w:val="SCDR"/>
        <w:rPr>
          <w:rFonts w:asciiTheme="minorHAnsi" w:hAnsiTheme="minorHAnsi" w:cstheme="minorHAnsi"/>
          <w:lang w:eastAsia="ja-JP"/>
        </w:rPr>
      </w:pPr>
      <w:r w:rsidRPr="00B845AF">
        <w:rPr>
          <w:rFonts w:asciiTheme="minorHAnsi" w:hAnsiTheme="minorHAnsi" w:cstheme="minorHAnsi"/>
          <w:lang w:eastAsia="ja-JP"/>
        </w:rPr>
        <w:lastRenderedPageBreak/>
        <w:t>Outcomes</w:t>
      </w:r>
    </w:p>
    <w:p w14:paraId="0A8B0D9F" w14:textId="73611261" w:rsidR="00810A36" w:rsidRPr="00B845AF" w:rsidRDefault="00810A36">
      <w:pPr>
        <w:pStyle w:val="SCtext"/>
        <w:rPr>
          <w:rFonts w:asciiTheme="minorHAnsi" w:hAnsiTheme="minorHAnsi" w:cstheme="minorHAnsi"/>
          <w:lang w:val="en-US"/>
        </w:rPr>
      </w:pPr>
      <w:r w:rsidRPr="00B845AF">
        <w:rPr>
          <w:rFonts w:asciiTheme="minorHAnsi" w:hAnsiTheme="minorHAnsi" w:cstheme="minorHAnsi"/>
          <w:lang w:val="en-US"/>
        </w:rPr>
        <w:t>SC22 acknowledged that the SSP intended to develop a range of candidate MPs based on the instruction from BMW01. The critical aspect of the approach is the use of a “nuclear grid” which provides possible combinations of longline catch and FADs closure periods that achieve a certain level of long-term biomass depletion, i.e., the TRP. Although SSP provided “longline favored” and “purse-seine favored” MPs within the range of combinations defined by WCPFC22, it is possible to select any other combination using the grid to achieve the same target. SC22 noted that the specific shape of each HCR was not discussed at BMW01.</w:t>
      </w:r>
    </w:p>
    <w:p w14:paraId="6E0B10E4" w14:textId="77777777" w:rsidR="00810A36" w:rsidRPr="00B845AF" w:rsidRDefault="00810A36" w:rsidP="00810A36">
      <w:pPr>
        <w:pStyle w:val="SCtext"/>
        <w:numPr>
          <w:ilvl w:val="0"/>
          <w:numId w:val="0"/>
        </w:numPr>
        <w:rPr>
          <w:rFonts w:asciiTheme="minorHAnsi" w:hAnsiTheme="minorHAnsi" w:cstheme="minorHAnsi"/>
          <w:lang w:val="en-US"/>
        </w:rPr>
      </w:pPr>
    </w:p>
    <w:p w14:paraId="26C0CF55" w14:textId="48F92535" w:rsidR="00810A36" w:rsidRPr="00B845AF" w:rsidRDefault="00810A36">
      <w:pPr>
        <w:pStyle w:val="SCtext"/>
        <w:rPr>
          <w:rFonts w:asciiTheme="minorHAnsi" w:hAnsiTheme="minorHAnsi" w:cstheme="minorHAnsi"/>
          <w:lang w:val="en-US"/>
        </w:rPr>
      </w:pPr>
      <w:r w:rsidRPr="00B845AF">
        <w:rPr>
          <w:rFonts w:asciiTheme="minorHAnsi" w:hAnsiTheme="minorHAnsi" w:cstheme="minorHAnsi"/>
          <w:lang w:val="en-US"/>
        </w:rPr>
        <w:t>SC22 thanked the SSP and generally welcomed the development of the BET management procedure framework, while making many suggestions. Some CCMs</w:t>
      </w:r>
      <w:proofErr w:type="gramStart"/>
      <w:r w:rsidRPr="00B845AF">
        <w:rPr>
          <w:rFonts w:asciiTheme="minorHAnsi" w:hAnsiTheme="minorHAnsi" w:cstheme="minorHAnsi"/>
          <w:lang w:val="en-US"/>
        </w:rPr>
        <w:t>, in particular, noted</w:t>
      </w:r>
      <w:proofErr w:type="gramEnd"/>
      <w:r w:rsidRPr="00B845AF">
        <w:rPr>
          <w:rFonts w:asciiTheme="minorHAnsi" w:hAnsiTheme="minorHAnsi" w:cstheme="minorHAnsi"/>
          <w:lang w:val="en-US"/>
        </w:rPr>
        <w:t xml:space="preserve"> that the fisheries application in the candidate MPs is not in line with their understanding of the decision at BMW01, and therefore the evaluations were incomplete. In their understanding, the catch limit as well as </w:t>
      </w:r>
      <w:r w:rsidR="004E2763" w:rsidRPr="00B845AF">
        <w:rPr>
          <w:rFonts w:asciiTheme="minorHAnsi" w:hAnsiTheme="minorHAnsi" w:cstheme="minorHAnsi"/>
          <w:lang w:val="en-US"/>
        </w:rPr>
        <w:t xml:space="preserve">the </w:t>
      </w:r>
      <w:r w:rsidRPr="00B845AF">
        <w:rPr>
          <w:rFonts w:asciiTheme="minorHAnsi" w:hAnsiTheme="minorHAnsi" w:cstheme="minorHAnsi"/>
          <w:lang w:val="en-US"/>
        </w:rPr>
        <w:t xml:space="preserve">FADs closure period in the Convention-area-wide application option should be managed consistently with the Tropical Tuna CMM, </w:t>
      </w:r>
      <w:proofErr w:type="gramStart"/>
      <w:r w:rsidRPr="00B845AF">
        <w:rPr>
          <w:rFonts w:asciiTheme="minorHAnsi" w:hAnsiTheme="minorHAnsi" w:cstheme="minorHAnsi"/>
          <w:lang w:val="en-US"/>
        </w:rPr>
        <w:t>taking into account</w:t>
      </w:r>
      <w:proofErr w:type="gramEnd"/>
      <w:r w:rsidRPr="00B845AF">
        <w:rPr>
          <w:rFonts w:asciiTheme="minorHAnsi" w:hAnsiTheme="minorHAnsi" w:cstheme="minorHAnsi"/>
          <w:lang w:val="en-US"/>
        </w:rPr>
        <w:t xml:space="preserve"> the exemptions in place in CMM 2025-02.</w:t>
      </w:r>
    </w:p>
    <w:p w14:paraId="166F372D" w14:textId="77777777" w:rsidR="00810A36" w:rsidRPr="00B845AF" w:rsidRDefault="00810A36" w:rsidP="00810A36">
      <w:pPr>
        <w:pStyle w:val="SCtext"/>
        <w:numPr>
          <w:ilvl w:val="0"/>
          <w:numId w:val="0"/>
        </w:numPr>
        <w:rPr>
          <w:rFonts w:asciiTheme="minorHAnsi" w:hAnsiTheme="minorHAnsi" w:cstheme="minorHAnsi"/>
          <w:b/>
          <w:bCs/>
          <w:lang w:val="en-US"/>
        </w:rPr>
      </w:pPr>
    </w:p>
    <w:p w14:paraId="76DE1086" w14:textId="43A4857A" w:rsidR="00810A36" w:rsidRPr="00B845AF" w:rsidRDefault="00810A36">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requested the SSP to update MPs, </w:t>
      </w:r>
      <w:proofErr w:type="gramStart"/>
      <w:r w:rsidRPr="00B845AF">
        <w:rPr>
          <w:rFonts w:asciiTheme="minorHAnsi" w:hAnsiTheme="minorHAnsi" w:cstheme="minorHAnsi"/>
          <w:b/>
          <w:bCs/>
          <w:lang w:val="en-US"/>
        </w:rPr>
        <w:t>in particular the</w:t>
      </w:r>
      <w:proofErr w:type="gramEnd"/>
      <w:r w:rsidRPr="00B845AF">
        <w:rPr>
          <w:rFonts w:asciiTheme="minorHAnsi" w:hAnsiTheme="minorHAnsi" w:cstheme="minorHAnsi"/>
          <w:b/>
          <w:bCs/>
          <w:lang w:val="en-US"/>
        </w:rPr>
        <w:t xml:space="preserve"> “nuclear grid” and HCR designs, based on the revised OMs as the </w:t>
      </w:r>
      <w:proofErr w:type="gramStart"/>
      <w:r w:rsidRPr="00B845AF">
        <w:rPr>
          <w:rFonts w:asciiTheme="minorHAnsi" w:hAnsiTheme="minorHAnsi" w:cstheme="minorHAnsi"/>
          <w:b/>
          <w:bCs/>
          <w:lang w:val="en-US"/>
        </w:rPr>
        <w:t>first priority</w:t>
      </w:r>
      <w:proofErr w:type="gramEnd"/>
      <w:r w:rsidRPr="00B845AF">
        <w:rPr>
          <w:rFonts w:asciiTheme="minorHAnsi" w:hAnsiTheme="minorHAnsi" w:cstheme="minorHAnsi"/>
          <w:b/>
          <w:bCs/>
          <w:lang w:val="en-US"/>
        </w:rPr>
        <w:t>. In addition, while noting that providing specific advice on MP design is not SC’s role, SC22 advised SSP to evaluate requests by CCMs and to endeavor to address them to the extent practicable to be presented at BMW02 to facilitate the discussion on BET MSE, thereby facilitating consideration of all proposed options before a decision is taken by the Commission.</w:t>
      </w:r>
    </w:p>
    <w:p w14:paraId="6336D57F" w14:textId="49A95A0E" w:rsidR="00B65F99" w:rsidRPr="00B845AF" w:rsidRDefault="00B65F99" w:rsidP="00B65F99">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p>
    <w:p w14:paraId="296A1B7D" w14:textId="765676CC" w:rsidR="00B65F99" w:rsidRPr="00B845AF" w:rsidRDefault="00B65F99" w:rsidP="00B65F99">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r w:rsidRPr="00B845AF">
        <w:rPr>
          <w:rFonts w:asciiTheme="minorHAnsi" w:eastAsiaTheme="minorEastAsia" w:hAnsiTheme="minorHAnsi" w:cstheme="minorHAnsi"/>
          <w:b/>
          <w:bCs/>
          <w:iCs/>
          <w:szCs w:val="22"/>
          <w:lang w:eastAsia="ko-KR"/>
        </w:rPr>
        <w:t>5.1.1.4</w:t>
      </w:r>
      <w:r w:rsidRPr="00B845AF">
        <w:rPr>
          <w:rFonts w:asciiTheme="minorHAnsi" w:eastAsiaTheme="minorEastAsia" w:hAnsiTheme="minorHAnsi" w:cstheme="minorHAnsi"/>
          <w:b/>
          <w:bCs/>
          <w:iCs/>
          <w:szCs w:val="22"/>
          <w:lang w:eastAsia="ko-KR"/>
        </w:rPr>
        <w:tab/>
        <w:t xml:space="preserve">Bigeye management procedure </w:t>
      </w:r>
      <w:r w:rsidR="00015A7B" w:rsidRPr="00B845AF">
        <w:rPr>
          <w:rFonts w:asciiTheme="minorHAnsi" w:eastAsiaTheme="minorEastAsia" w:hAnsiTheme="minorHAnsi" w:cstheme="minorHAnsi"/>
          <w:b/>
          <w:bCs/>
          <w:iCs/>
          <w:szCs w:val="22"/>
          <w:lang w:eastAsia="ko-KR"/>
        </w:rPr>
        <w:t>–</w:t>
      </w:r>
      <w:r w:rsidRPr="00B845AF">
        <w:rPr>
          <w:rFonts w:asciiTheme="minorHAnsi" w:eastAsiaTheme="minorEastAsia" w:hAnsiTheme="minorHAnsi" w:cstheme="minorHAnsi"/>
          <w:b/>
          <w:bCs/>
          <w:iCs/>
          <w:szCs w:val="22"/>
          <w:lang w:eastAsia="ko-KR"/>
        </w:rPr>
        <w:t xml:space="preserve"> evaluations</w:t>
      </w:r>
    </w:p>
    <w:p w14:paraId="1E9FDD1E" w14:textId="6E18696A" w:rsidR="00015A7B" w:rsidRPr="00B845AF" w:rsidRDefault="00015A7B" w:rsidP="00B65F99">
      <w:pPr>
        <w:widowControl w:val="0"/>
        <w:kinsoku w:val="0"/>
        <w:overflowPunct w:val="0"/>
        <w:autoSpaceDE w:val="0"/>
        <w:autoSpaceDN w:val="0"/>
        <w:adjustRightInd w:val="0"/>
        <w:snapToGrid w:val="0"/>
        <w:jc w:val="both"/>
        <w:rPr>
          <w:rFonts w:asciiTheme="minorHAnsi" w:eastAsiaTheme="minorEastAsia" w:hAnsiTheme="minorHAnsi" w:cstheme="minorHAnsi"/>
          <w:b/>
          <w:bCs/>
          <w:iCs/>
          <w:szCs w:val="22"/>
          <w:lang w:eastAsia="ko-KR"/>
        </w:rPr>
      </w:pPr>
    </w:p>
    <w:p w14:paraId="0E23DB68" w14:textId="6C486AE3" w:rsidR="00231C85" w:rsidRPr="00B845AF" w:rsidRDefault="00CD6981">
      <w:pPr>
        <w:pStyle w:val="SCtext"/>
        <w:rPr>
          <w:rFonts w:asciiTheme="minorHAnsi" w:hAnsiTheme="minorHAnsi" w:cstheme="minorHAnsi"/>
          <w:lang w:val="en-US"/>
        </w:rPr>
      </w:pPr>
      <w:r w:rsidRPr="00B845AF">
        <w:rPr>
          <w:rFonts w:asciiTheme="minorHAnsi" w:hAnsiTheme="minorHAnsi" w:cstheme="minorHAnsi"/>
          <w:lang w:val="en-US"/>
        </w:rPr>
        <w:t>F. Scott (SPC-OFP)</w:t>
      </w:r>
      <w:r w:rsidR="00D12EC5" w:rsidRPr="00B845AF">
        <w:rPr>
          <w:rFonts w:asciiTheme="minorHAnsi" w:hAnsiTheme="minorHAnsi" w:cstheme="minorHAnsi"/>
          <w:lang w:val="en-US"/>
        </w:rPr>
        <w:t xml:space="preserve"> presented </w:t>
      </w:r>
      <w:hyperlink r:id="rId70" w:history="1">
        <w:r w:rsidR="00D12EC5" w:rsidRPr="00B845AF">
          <w:rPr>
            <w:rStyle w:val="Hyperlink"/>
            <w:rFonts w:asciiTheme="minorHAnsi" w:hAnsiTheme="minorHAnsi" w:cstheme="minorHAnsi"/>
            <w:lang w:val="en-US"/>
          </w:rPr>
          <w:t>WCPFC-SC22-2026-MI-WP04</w:t>
        </w:r>
      </w:hyperlink>
      <w:r w:rsidR="00D12EC5" w:rsidRPr="00B845AF">
        <w:rPr>
          <w:rFonts w:asciiTheme="minorHAnsi" w:hAnsiTheme="minorHAnsi" w:cstheme="minorHAnsi"/>
          <w:lang w:val="en-US"/>
        </w:rPr>
        <w:t xml:space="preserve"> on preliminary bigeye MP evaluation results</w:t>
      </w:r>
      <w:r w:rsidRPr="00B845AF">
        <w:rPr>
          <w:rFonts w:asciiTheme="minorHAnsi" w:hAnsiTheme="minorHAnsi" w:cstheme="minorHAnsi"/>
          <w:lang w:val="en-US"/>
        </w:rPr>
        <w:t>.</w:t>
      </w:r>
      <w:r w:rsidR="00D12EC5" w:rsidRPr="00B845AF">
        <w:rPr>
          <w:rFonts w:asciiTheme="minorHAnsi" w:hAnsiTheme="minorHAnsi" w:cstheme="minorHAnsi"/>
          <w:lang w:val="en-US"/>
        </w:rPr>
        <w:t xml:space="preserve"> </w:t>
      </w:r>
    </w:p>
    <w:p w14:paraId="2195B04B" w14:textId="77777777" w:rsidR="00231C85" w:rsidRPr="00B845AF" w:rsidRDefault="00231C85" w:rsidP="00231C85">
      <w:pPr>
        <w:pStyle w:val="SCtext"/>
        <w:numPr>
          <w:ilvl w:val="0"/>
          <w:numId w:val="0"/>
        </w:numPr>
        <w:rPr>
          <w:rFonts w:asciiTheme="minorHAnsi" w:hAnsiTheme="minorHAnsi" w:cstheme="minorHAnsi"/>
          <w:lang w:val="en-US"/>
        </w:rPr>
      </w:pPr>
    </w:p>
    <w:p w14:paraId="13EF4EBA" w14:textId="21CB8FFC" w:rsidR="00CD6981" w:rsidRPr="00B845AF" w:rsidRDefault="00CD6981" w:rsidP="00CD698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As requested by BMW01, three bigeye MP spatial scenarios are evaluated, each of which specifies different longline fisheries that would be managed through the bigeye MP. Given time constraints, BMW01 specified four different candidate Target Reference Points (TRPs) to be evaluated in the short-term. The MPs are therefore designed around the TRPs, based on long-term spawning biomass depletion being above the </w:t>
      </w:r>
      <w:r w:rsidR="00631A50" w:rsidRPr="00B845AF">
        <w:rPr>
          <w:rFonts w:asciiTheme="minorHAnsi" w:hAnsiTheme="minorHAnsi" w:cstheme="minorHAnsi"/>
          <w:lang w:val="en-US"/>
        </w:rPr>
        <w:t>“</w:t>
      </w:r>
      <w:r w:rsidRPr="00B845AF">
        <w:rPr>
          <w:rFonts w:asciiTheme="minorHAnsi" w:hAnsiTheme="minorHAnsi" w:cstheme="minorHAnsi"/>
          <w:lang w:val="en-US"/>
        </w:rPr>
        <w:t>lower</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TRP (0.94 x 2012-2015 average spawning biomass depletion) and </w:t>
      </w:r>
      <w:r w:rsidR="00631A50" w:rsidRPr="00B845AF">
        <w:rPr>
          <w:rFonts w:asciiTheme="minorHAnsi" w:hAnsiTheme="minorHAnsi" w:cstheme="minorHAnsi"/>
          <w:lang w:val="en-US"/>
        </w:rPr>
        <w:t>“</w:t>
      </w:r>
      <w:r w:rsidRPr="00B845AF">
        <w:rPr>
          <w:rFonts w:asciiTheme="minorHAnsi" w:hAnsiTheme="minorHAnsi" w:cstheme="minorHAnsi"/>
          <w:lang w:val="en-US"/>
        </w:rPr>
        <w:t>upper</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TRP (1.06 x 2012-2015 average spawning biomass depletion) with probabilities of 50% and 70%, with an additional probability of 60% for the lower TRP.</w:t>
      </w:r>
      <w:r w:rsidRPr="00B845AF">
        <w:rPr>
          <w:rFonts w:asciiTheme="minorHAnsi" w:eastAsia="MS Mincho" w:hAnsiTheme="minorHAnsi" w:cstheme="minorHAnsi"/>
          <w:lang w:val="en-US" w:eastAsia="ja-JP"/>
        </w:rPr>
        <w:t xml:space="preserve"> </w:t>
      </w:r>
      <w:r w:rsidRPr="00B845AF">
        <w:rPr>
          <w:rFonts w:asciiTheme="minorHAnsi" w:hAnsiTheme="minorHAnsi" w:cstheme="minorHAnsi"/>
          <w:lang w:val="en-US"/>
        </w:rPr>
        <w:t>As the outcomes of future MP negotiations are currently unknown</w:t>
      </w:r>
      <w:r w:rsidR="00116749" w:rsidRPr="00B845AF">
        <w:rPr>
          <w:rFonts w:asciiTheme="minorHAnsi" w:hAnsiTheme="minorHAnsi" w:cstheme="minorHAnsi"/>
          <w:lang w:val="en-US"/>
        </w:rPr>
        <w:t>,</w:t>
      </w:r>
      <w:r w:rsidRPr="00B845AF">
        <w:rPr>
          <w:rFonts w:asciiTheme="minorHAnsi" w:hAnsiTheme="minorHAnsi" w:cstheme="minorHAnsi"/>
          <w:lang w:val="en-US"/>
        </w:rPr>
        <w:t xml:space="preserve"> it is not possible to know which pairs of HCRs will </w:t>
      </w:r>
      <w:proofErr w:type="gramStart"/>
      <w:r w:rsidRPr="00B845AF">
        <w:rPr>
          <w:rFonts w:asciiTheme="minorHAnsi" w:hAnsiTheme="minorHAnsi" w:cstheme="minorHAnsi"/>
          <w:lang w:val="en-US"/>
        </w:rPr>
        <w:t>actually be</w:t>
      </w:r>
      <w:proofErr w:type="gramEnd"/>
      <w:r w:rsidRPr="00B845AF">
        <w:rPr>
          <w:rFonts w:asciiTheme="minorHAnsi" w:hAnsiTheme="minorHAnsi" w:cstheme="minorHAnsi"/>
          <w:lang w:val="en-US"/>
        </w:rPr>
        <w:t xml:space="preserve"> used in the future. Instead, to simulate the continuum of pairs of HCRs possible within the guidance provided by WCPFC22, three pairs of HCRs are designed within a single MP: </w:t>
      </w:r>
      <w:r w:rsidR="00631A50" w:rsidRPr="00B845AF">
        <w:rPr>
          <w:rFonts w:asciiTheme="minorHAnsi" w:hAnsiTheme="minorHAnsi" w:cstheme="minorHAnsi"/>
          <w:lang w:val="en-US"/>
        </w:rPr>
        <w:t>“</w:t>
      </w:r>
      <w:r w:rsidRPr="00B845AF">
        <w:rPr>
          <w:rFonts w:asciiTheme="minorHAnsi" w:hAnsiTheme="minorHAnsi" w:cstheme="minorHAnsi"/>
          <w:lang w:val="en-US"/>
        </w:rPr>
        <w:t>FAD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w:t>
      </w:r>
      <w:r w:rsidR="00631A50" w:rsidRPr="00B845AF">
        <w:rPr>
          <w:rFonts w:asciiTheme="minorHAnsi" w:hAnsiTheme="minorHAnsi" w:cstheme="minorHAnsi"/>
          <w:lang w:val="en-US"/>
        </w:rPr>
        <w:t>“</w:t>
      </w:r>
      <w:r w:rsidRPr="00B845AF">
        <w:rPr>
          <w:rFonts w:asciiTheme="minorHAnsi" w:hAnsiTheme="minorHAnsi" w:cstheme="minorHAnsi"/>
          <w:lang w:val="en-US"/>
        </w:rPr>
        <w:t>intermediate</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and </w:t>
      </w:r>
      <w:r w:rsidR="00631A50" w:rsidRPr="00B845AF">
        <w:rPr>
          <w:rFonts w:asciiTheme="minorHAnsi" w:hAnsiTheme="minorHAnsi" w:cstheme="minorHAnsi"/>
          <w:lang w:val="en-US"/>
        </w:rPr>
        <w:t>“</w:t>
      </w:r>
      <w:r w:rsidRPr="00B845AF">
        <w:rPr>
          <w:rFonts w:asciiTheme="minorHAnsi" w:hAnsiTheme="minorHAnsi" w:cstheme="minorHAnsi"/>
          <w:lang w:val="en-US"/>
        </w:rPr>
        <w:t>longline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where each </w:t>
      </w:r>
      <w:proofErr w:type="gramStart"/>
      <w:r w:rsidRPr="00B845AF">
        <w:rPr>
          <w:rFonts w:asciiTheme="minorHAnsi" w:hAnsiTheme="minorHAnsi" w:cstheme="minorHAnsi"/>
          <w:lang w:val="en-US"/>
        </w:rPr>
        <w:t>attempts</w:t>
      </w:r>
      <w:proofErr w:type="gramEnd"/>
      <w:r w:rsidRPr="00B845AF">
        <w:rPr>
          <w:rFonts w:asciiTheme="minorHAnsi" w:hAnsiTheme="minorHAnsi" w:cstheme="minorHAnsi"/>
          <w:lang w:val="en-US"/>
        </w:rPr>
        <w:t xml:space="preserve"> to achieve the same stock outcomes while distributing management responsibility differently between longline and purse seine fisheries.  Each candidate MP is then evaluated using three HCR pair selection scenarios:</w:t>
      </w:r>
    </w:p>
    <w:p w14:paraId="5EABF0E9" w14:textId="6A9CE1A9" w:rsidR="00CD6981" w:rsidRPr="00B845AF" w:rsidRDefault="00CD6981" w:rsidP="00D47778">
      <w:pPr>
        <w:pStyle w:val="SCtext"/>
        <w:numPr>
          <w:ilvl w:val="0"/>
          <w:numId w:val="26"/>
        </w:numPr>
        <w:rPr>
          <w:rFonts w:asciiTheme="minorHAnsi" w:hAnsiTheme="minorHAnsi" w:cstheme="minorHAnsi"/>
          <w:lang w:val="en-US"/>
        </w:rPr>
      </w:pPr>
      <w:r w:rsidRPr="00B845AF">
        <w:rPr>
          <w:rFonts w:asciiTheme="minorHAnsi" w:hAnsiTheme="minorHAnsi" w:cstheme="minorHAnsi"/>
          <w:lang w:val="en-US"/>
        </w:rPr>
        <w:t xml:space="preserve">Only using the </w:t>
      </w:r>
      <w:r w:rsidR="00631A50" w:rsidRPr="00B845AF">
        <w:rPr>
          <w:rFonts w:asciiTheme="minorHAnsi" w:hAnsiTheme="minorHAnsi" w:cstheme="minorHAnsi"/>
          <w:lang w:val="en-US"/>
        </w:rPr>
        <w:t>“</w:t>
      </w:r>
      <w:r w:rsidRPr="00B845AF">
        <w:rPr>
          <w:rFonts w:asciiTheme="minorHAnsi" w:hAnsiTheme="minorHAnsi" w:cstheme="minorHAnsi"/>
          <w:lang w:val="en-US"/>
        </w:rPr>
        <w:t>FAD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pair;</w:t>
      </w:r>
    </w:p>
    <w:p w14:paraId="05461575" w14:textId="363790AE" w:rsidR="00CD6981" w:rsidRPr="00B845AF" w:rsidRDefault="00CD6981" w:rsidP="00D47778">
      <w:pPr>
        <w:pStyle w:val="SCtext"/>
        <w:numPr>
          <w:ilvl w:val="0"/>
          <w:numId w:val="26"/>
        </w:numPr>
        <w:rPr>
          <w:rFonts w:asciiTheme="minorHAnsi" w:hAnsiTheme="minorHAnsi" w:cstheme="minorHAnsi"/>
          <w:lang w:val="en-US"/>
        </w:rPr>
      </w:pPr>
      <w:r w:rsidRPr="00B845AF">
        <w:rPr>
          <w:rFonts w:asciiTheme="minorHAnsi" w:hAnsiTheme="minorHAnsi" w:cstheme="minorHAnsi"/>
          <w:lang w:val="en-US"/>
        </w:rPr>
        <w:t xml:space="preserve">Only using the </w:t>
      </w:r>
      <w:r w:rsidR="00631A50" w:rsidRPr="00B845AF">
        <w:rPr>
          <w:rFonts w:asciiTheme="minorHAnsi" w:hAnsiTheme="minorHAnsi" w:cstheme="minorHAnsi"/>
          <w:lang w:val="en-US"/>
        </w:rPr>
        <w:t>“</w:t>
      </w:r>
      <w:r w:rsidRPr="00B845AF">
        <w:rPr>
          <w:rFonts w:asciiTheme="minorHAnsi" w:hAnsiTheme="minorHAnsi" w:cstheme="minorHAnsi"/>
          <w:lang w:val="en-US"/>
        </w:rPr>
        <w:t>longline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pair;</w:t>
      </w:r>
    </w:p>
    <w:p w14:paraId="6CB1D1D0" w14:textId="5952DAB1" w:rsidR="00CD6981" w:rsidRPr="00B845AF" w:rsidRDefault="00CD6981" w:rsidP="00D47778">
      <w:pPr>
        <w:pStyle w:val="SCtext"/>
        <w:numPr>
          <w:ilvl w:val="0"/>
          <w:numId w:val="26"/>
        </w:numPr>
        <w:rPr>
          <w:rFonts w:asciiTheme="minorHAnsi" w:hAnsiTheme="minorHAnsi" w:cstheme="minorHAnsi"/>
          <w:lang w:val="en-US"/>
        </w:rPr>
      </w:pPr>
      <w:r w:rsidRPr="00B845AF">
        <w:rPr>
          <w:rFonts w:asciiTheme="minorHAnsi" w:hAnsiTheme="minorHAnsi" w:cstheme="minorHAnsi"/>
          <w:lang w:val="en-US"/>
        </w:rPr>
        <w:t xml:space="preserve">Randomly selecting between the </w:t>
      </w:r>
      <w:r w:rsidR="00631A50" w:rsidRPr="00B845AF">
        <w:rPr>
          <w:rFonts w:asciiTheme="minorHAnsi" w:hAnsiTheme="minorHAnsi" w:cstheme="minorHAnsi"/>
          <w:lang w:val="en-US"/>
        </w:rPr>
        <w:t>“</w:t>
      </w:r>
      <w:r w:rsidRPr="00B845AF">
        <w:rPr>
          <w:rFonts w:asciiTheme="minorHAnsi" w:hAnsiTheme="minorHAnsi" w:cstheme="minorHAnsi"/>
          <w:lang w:val="en-US"/>
        </w:rPr>
        <w:t>FAD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w:t>
      </w:r>
      <w:r w:rsidR="00631A50" w:rsidRPr="00B845AF">
        <w:rPr>
          <w:rFonts w:asciiTheme="minorHAnsi" w:hAnsiTheme="minorHAnsi" w:cstheme="minorHAnsi"/>
          <w:lang w:val="en-US"/>
        </w:rPr>
        <w:t>“</w:t>
      </w:r>
      <w:r w:rsidRPr="00B845AF">
        <w:rPr>
          <w:rFonts w:asciiTheme="minorHAnsi" w:hAnsiTheme="minorHAnsi" w:cstheme="minorHAnsi"/>
          <w:lang w:val="en-US"/>
        </w:rPr>
        <w:t>intermediate</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or </w:t>
      </w:r>
      <w:r w:rsidR="00631A50" w:rsidRPr="00B845AF">
        <w:rPr>
          <w:rFonts w:asciiTheme="minorHAnsi" w:hAnsiTheme="minorHAnsi" w:cstheme="minorHAnsi"/>
          <w:lang w:val="en-US"/>
        </w:rPr>
        <w:t>“</w:t>
      </w:r>
      <w:r w:rsidRPr="00B845AF">
        <w:rPr>
          <w:rFonts w:asciiTheme="minorHAnsi" w:hAnsiTheme="minorHAnsi" w:cstheme="minorHAnsi"/>
          <w:lang w:val="en-US"/>
        </w:rPr>
        <w:t>longline favored</w:t>
      </w:r>
      <w:r w:rsidR="00631A50" w:rsidRPr="00B845AF">
        <w:rPr>
          <w:rFonts w:asciiTheme="minorHAnsi" w:hAnsiTheme="minorHAnsi" w:cstheme="minorHAnsi"/>
          <w:lang w:val="en-US"/>
        </w:rPr>
        <w:t>”</w:t>
      </w:r>
      <w:r w:rsidRPr="00B845AF">
        <w:rPr>
          <w:rFonts w:asciiTheme="minorHAnsi" w:hAnsiTheme="minorHAnsi" w:cstheme="minorHAnsi"/>
          <w:lang w:val="en-US"/>
        </w:rPr>
        <w:t xml:space="preserve"> pair each time the MP is evaluated.</w:t>
      </w:r>
    </w:p>
    <w:p w14:paraId="62E2128F" w14:textId="77777777" w:rsidR="00CD6981" w:rsidRPr="00B845AF" w:rsidRDefault="00CD6981" w:rsidP="00CD6981">
      <w:pPr>
        <w:pStyle w:val="SCtext"/>
        <w:numPr>
          <w:ilvl w:val="0"/>
          <w:numId w:val="0"/>
        </w:numPr>
        <w:ind w:left="720"/>
        <w:rPr>
          <w:rFonts w:asciiTheme="minorHAnsi" w:hAnsiTheme="minorHAnsi" w:cstheme="minorHAnsi"/>
          <w:lang w:val="en-US"/>
        </w:rPr>
      </w:pPr>
    </w:p>
    <w:p w14:paraId="25326445" w14:textId="25F8FE34" w:rsidR="00015A7B" w:rsidRPr="00B845AF" w:rsidRDefault="00CD6981" w:rsidP="00CD6981">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lastRenderedPageBreak/>
        <w:t xml:space="preserve">In practice, the HCR pair that is used in each management period will be a negotiated outcome and may include HCR pairs not evaluated </w:t>
      </w:r>
      <w:proofErr w:type="gramStart"/>
      <w:r w:rsidRPr="00B845AF">
        <w:rPr>
          <w:rFonts w:asciiTheme="minorHAnsi" w:hAnsiTheme="minorHAnsi" w:cstheme="minorHAnsi"/>
          <w:lang w:val="en-US"/>
        </w:rPr>
        <w:t>here, but</w:t>
      </w:r>
      <w:proofErr w:type="gramEnd"/>
      <w:r w:rsidRPr="00B845AF">
        <w:rPr>
          <w:rFonts w:asciiTheme="minorHAnsi" w:hAnsiTheme="minorHAnsi" w:cstheme="minorHAnsi"/>
          <w:lang w:val="en-US"/>
        </w:rPr>
        <w:t xml:space="preserve"> exist on the continuum of possible HCRs. As such, the expected results are illustrative only</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and the real results will ultimately depend on the HCR pairs that are selected.</w:t>
      </w:r>
      <w:r w:rsidRPr="00B845AF">
        <w:rPr>
          <w:rFonts w:asciiTheme="minorHAnsi" w:eastAsia="MS Mincho" w:hAnsiTheme="minorHAnsi" w:cstheme="minorHAnsi"/>
          <w:lang w:val="en-US" w:eastAsia="ja-JP"/>
        </w:rPr>
        <w:t xml:space="preserve"> </w:t>
      </w:r>
      <w:r w:rsidRPr="00B845AF">
        <w:rPr>
          <w:rFonts w:asciiTheme="minorHAnsi" w:hAnsiTheme="minorHAnsi" w:cstheme="minorHAnsi"/>
          <w:lang w:val="en-US"/>
        </w:rPr>
        <w:t xml:space="preserve">All three HCR pair selection scenarios achieve the same objective in terms of long-term stock status but have different fishery outcomes, </w:t>
      </w:r>
      <w:r w:rsidR="00631A50" w:rsidRPr="00B845AF">
        <w:rPr>
          <w:rFonts w:asciiTheme="minorHAnsi" w:hAnsiTheme="minorHAnsi" w:cstheme="minorHAnsi"/>
          <w:lang w:val="en-US"/>
        </w:rPr>
        <w:t>e.g.,</w:t>
      </w:r>
      <w:r w:rsidRPr="00B845AF">
        <w:rPr>
          <w:rFonts w:asciiTheme="minorHAnsi" w:hAnsiTheme="minorHAnsi" w:cstheme="minorHAnsi"/>
          <w:lang w:val="en-US"/>
        </w:rPr>
        <w:t xml:space="preserve"> the distribution of catches of bigeye between the longline and purse seine fisheries.</w:t>
      </w:r>
    </w:p>
    <w:p w14:paraId="2E72F21B" w14:textId="1C27CF18" w:rsidR="00015A7B" w:rsidRPr="00B845AF" w:rsidRDefault="00015A7B" w:rsidP="00015A7B">
      <w:pPr>
        <w:pStyle w:val="SCtext"/>
        <w:numPr>
          <w:ilvl w:val="0"/>
          <w:numId w:val="0"/>
        </w:numPr>
        <w:rPr>
          <w:rFonts w:asciiTheme="minorHAnsi" w:hAnsiTheme="minorHAnsi" w:cstheme="minorHAnsi"/>
          <w:lang w:val="en-US"/>
        </w:rPr>
      </w:pPr>
    </w:p>
    <w:p w14:paraId="2CB56D8F" w14:textId="6ED5C285" w:rsidR="00015A7B" w:rsidRPr="00B845AF" w:rsidRDefault="00015A7B" w:rsidP="00015A7B">
      <w:pPr>
        <w:pStyle w:val="SCDR"/>
        <w:rPr>
          <w:rFonts w:asciiTheme="minorHAnsi" w:hAnsiTheme="minorHAnsi" w:cstheme="minorHAnsi"/>
        </w:rPr>
      </w:pPr>
      <w:r w:rsidRPr="00B845AF">
        <w:rPr>
          <w:rFonts w:asciiTheme="minorHAnsi" w:hAnsiTheme="minorHAnsi" w:cstheme="minorHAnsi"/>
        </w:rPr>
        <w:t>Discussion</w:t>
      </w:r>
    </w:p>
    <w:p w14:paraId="6803CB3F" w14:textId="37A0E7BE" w:rsidR="00015A7B" w:rsidRPr="00B845AF" w:rsidRDefault="00475C46">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theme convener opened by noting that the combination of three spatial scenarios, five TRPs, and three HCR pair scenarios yielded 45 possible options, and cautioned that presenting results as if a given HCR pair scenario were the implemented outcome was potentially misleading, since the actual pair used in any management period would be a negotiated Commission decision; he suggested the report should more clearly distinguish simulation assumptions from reality and include trajectory plots. The SSP agreed the results were predicated on assumptions and explained that, since the HCR pair choice is a negotiated outcome, the evaluations aimed to bound the range of possible consequences by testing the extremes, FAD-favored and longline-favored, alongside a random-selection option, to give the Commission a sense of the full arc of outcomes.</w:t>
      </w:r>
    </w:p>
    <w:p w14:paraId="4651F5DE" w14:textId="77777777" w:rsidR="00231C85" w:rsidRPr="00B845AF" w:rsidRDefault="00231C85" w:rsidP="00231C85">
      <w:pPr>
        <w:pStyle w:val="SCtext"/>
        <w:numPr>
          <w:ilvl w:val="0"/>
          <w:numId w:val="0"/>
        </w:numPr>
        <w:rPr>
          <w:rFonts w:asciiTheme="minorHAnsi" w:hAnsiTheme="minorHAnsi" w:cstheme="minorHAnsi"/>
          <w:lang w:val="en-US"/>
        </w:rPr>
      </w:pPr>
    </w:p>
    <w:p w14:paraId="356A22EB" w14:textId="78B66752" w:rsidR="00231C85" w:rsidRPr="00B845AF" w:rsidRDefault="00475C46">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EU thanked the SSP for the presentation and asked whether it would be feasible and useful to interpolate performance indicators to test intermediate FAD closure scenarios beyond the three HCR pairs shown. The SSP responded that interpolation was likely feasible for catch-based indicators, with the FAD-favored and longline-favored scenarios serving as bounds, but that variability indicators would be more difficult to interpolate, and that further prioritization would be needed given workload.</w:t>
      </w:r>
    </w:p>
    <w:p w14:paraId="013E904E" w14:textId="77777777" w:rsidR="00231C85" w:rsidRPr="00B845AF" w:rsidRDefault="00231C85" w:rsidP="00231C85">
      <w:pPr>
        <w:pStyle w:val="SCtext"/>
        <w:numPr>
          <w:ilvl w:val="0"/>
          <w:numId w:val="0"/>
        </w:numPr>
        <w:rPr>
          <w:rFonts w:asciiTheme="minorHAnsi" w:hAnsiTheme="minorHAnsi" w:cstheme="minorHAnsi"/>
          <w:lang w:val="en-US"/>
        </w:rPr>
      </w:pPr>
    </w:p>
    <w:p w14:paraId="43803A0A" w14:textId="28662EC9" w:rsidR="00231C85" w:rsidRPr="00B845AF" w:rsidRDefault="00475C46">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Japan sought confirmation that the three-HCR-pair testing structure reflected the fact that the future negotiated outcome is not yet </w:t>
      </w:r>
      <w:r w:rsidR="004E2763" w:rsidRPr="00B845AF">
        <w:rPr>
          <w:rFonts w:asciiTheme="minorHAnsi" w:eastAsia="MS Mincho" w:hAnsiTheme="minorHAnsi" w:cstheme="minorHAnsi"/>
          <w:lang w:val="en-US" w:eastAsia="ja-JP"/>
        </w:rPr>
        <w:t>known and</w:t>
      </w:r>
      <w:r w:rsidRPr="00B845AF">
        <w:rPr>
          <w:rFonts w:asciiTheme="minorHAnsi" w:eastAsia="MS Mincho" w:hAnsiTheme="minorHAnsi" w:cstheme="minorHAnsi"/>
          <w:lang w:val="en-US" w:eastAsia="ja-JP"/>
        </w:rPr>
        <w:t xml:space="preserve"> asked whether the random selection between pairs assumed equal weighting. The SSP confirmed equal weighting was used, with no temporal correlation and no constraints, since none had been agreed at BMW01.</w:t>
      </w:r>
    </w:p>
    <w:p w14:paraId="0BBEA31E" w14:textId="77777777" w:rsidR="00231C85" w:rsidRPr="00B845AF" w:rsidRDefault="00231C85" w:rsidP="00231C85">
      <w:pPr>
        <w:pStyle w:val="SCtext"/>
        <w:numPr>
          <w:ilvl w:val="0"/>
          <w:numId w:val="0"/>
        </w:numPr>
        <w:rPr>
          <w:rFonts w:asciiTheme="minorHAnsi" w:hAnsiTheme="minorHAnsi" w:cstheme="minorHAnsi"/>
          <w:lang w:val="en-US"/>
        </w:rPr>
      </w:pPr>
    </w:p>
    <w:p w14:paraId="4C47EB97" w14:textId="6B08A15B" w:rsidR="00231C85" w:rsidRPr="00B845AF" w:rsidRDefault="00475C46">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USA noted that in Table 6, the HCR values specified for MP6, at 70% above the lower TRP, and MP7, the upper TRP, appeared identical, and asked whether one could be dropped to streamline the workload. The SSP confirmed the values were coincidentally very similar, since achieving one TRP happened to require nearly the same HCR as the other. The convener agreed this was an important point, noting that reducing near-duplicate TRP levels could ease the load for BMW02.</w:t>
      </w:r>
    </w:p>
    <w:p w14:paraId="07FC57CA" w14:textId="77777777" w:rsidR="00231C85" w:rsidRPr="00B845AF" w:rsidRDefault="00231C85" w:rsidP="00231C85">
      <w:pPr>
        <w:pStyle w:val="SCtext"/>
        <w:numPr>
          <w:ilvl w:val="0"/>
          <w:numId w:val="0"/>
        </w:numPr>
        <w:rPr>
          <w:rFonts w:asciiTheme="minorHAnsi" w:hAnsiTheme="minorHAnsi" w:cstheme="minorHAnsi"/>
          <w:lang w:val="en-US"/>
        </w:rPr>
      </w:pPr>
    </w:p>
    <w:p w14:paraId="6E6B0400" w14:textId="07723600" w:rsidR="00231C85" w:rsidRPr="00B845AF" w:rsidRDefault="00475C46">
      <w:pPr>
        <w:pStyle w:val="SCtext"/>
        <w:rPr>
          <w:rFonts w:asciiTheme="minorHAnsi" w:hAnsiTheme="minorHAnsi" w:cstheme="minorHAnsi"/>
          <w:lang w:val="en-US"/>
        </w:rPr>
      </w:pPr>
      <w:r w:rsidRPr="00B845AF">
        <w:rPr>
          <w:rFonts w:asciiTheme="minorHAnsi" w:eastAsia="MS Mincho" w:hAnsiTheme="minorHAnsi" w:cstheme="minorHAnsi"/>
          <w:lang w:val="en-US" w:eastAsia="ja-JP"/>
        </w:rPr>
        <w:t>Indonesia asked about the purse seine catch trends shown in Figure 5, noting that purse seine catch appeared relatively stable in the short and medium term across MPs but showed some difference in the long term, and asked how this related to the FAD closure assumptions and to the EEZ/high seas split. The SSP explained that under a fixed purse seine effort, achieving a higher TRP led to slightly higher purse seine catch over time as stock status improved, with longline catch compensating to achieve the desired target, and noted that longer FAD closure periods remain possible but would need to be agreed either at SC22 or BMW02.</w:t>
      </w:r>
    </w:p>
    <w:p w14:paraId="438E3F7E" w14:textId="77777777" w:rsidR="00665CE5" w:rsidRPr="00B845AF" w:rsidRDefault="00665CE5" w:rsidP="00665CE5">
      <w:pPr>
        <w:pStyle w:val="SCtext"/>
        <w:numPr>
          <w:ilvl w:val="0"/>
          <w:numId w:val="0"/>
        </w:numPr>
        <w:rPr>
          <w:rFonts w:asciiTheme="minorHAnsi" w:hAnsiTheme="minorHAnsi" w:cstheme="minorHAnsi"/>
          <w:lang w:val="en-US"/>
        </w:rPr>
      </w:pPr>
    </w:p>
    <w:p w14:paraId="6FED8E1F" w14:textId="6ABA55FC" w:rsidR="00665CE5" w:rsidRPr="00B845AF" w:rsidRDefault="00FF0FD9">
      <w:pPr>
        <w:pStyle w:val="SCtext"/>
        <w:rPr>
          <w:rFonts w:asciiTheme="minorHAnsi" w:hAnsiTheme="minorHAnsi" w:cstheme="minorHAnsi"/>
          <w:lang w:val="en-US"/>
        </w:rPr>
      </w:pPr>
      <w:r w:rsidRPr="00B845AF">
        <w:rPr>
          <w:rFonts w:asciiTheme="minorHAnsi" w:hAnsiTheme="minorHAnsi" w:cstheme="minorHAnsi"/>
          <w:lang w:val="en-US"/>
        </w:rPr>
        <w:t xml:space="preserve">RMI, on behalf of the PNA and Vanuatu, reiterated that the evaluation results were incomplete because the WCPO-wide MP options did not reflect their understanding of BMW01 outcomes, restated disagreement with the technical implementation of BMW01’s request, and stated the PNA and Vanuatu were not in a position to provide advice on the preliminary evaluations’ key outcomes. The RMI suggested </w:t>
      </w:r>
      <w:r w:rsidRPr="00B845AF">
        <w:rPr>
          <w:rFonts w:asciiTheme="minorHAnsi" w:hAnsiTheme="minorHAnsi" w:cstheme="minorHAnsi"/>
          <w:lang w:val="en-US"/>
        </w:rPr>
        <w:lastRenderedPageBreak/>
        <w:t>that removing some TRP thresholds could substantially reduce the volume of results, with priority instead given to including the PNA and Vanuatu’s candidate MPs.</w:t>
      </w:r>
    </w:p>
    <w:p w14:paraId="09819B16" w14:textId="77777777" w:rsidR="00FF0FD9" w:rsidRPr="00B845AF" w:rsidRDefault="00FF0FD9" w:rsidP="00FF0FD9">
      <w:pPr>
        <w:pStyle w:val="SCtext"/>
        <w:numPr>
          <w:ilvl w:val="0"/>
          <w:numId w:val="0"/>
        </w:numPr>
        <w:rPr>
          <w:rFonts w:asciiTheme="minorHAnsi" w:hAnsiTheme="minorHAnsi" w:cstheme="minorHAnsi"/>
          <w:lang w:val="en-US"/>
        </w:rPr>
      </w:pPr>
    </w:p>
    <w:p w14:paraId="3553CBB3" w14:textId="39A1FDD4" w:rsidR="00FF0FD9" w:rsidRPr="00B845AF" w:rsidRDefault="00FF0FD9">
      <w:pPr>
        <w:pStyle w:val="SCtext"/>
        <w:rPr>
          <w:rFonts w:asciiTheme="minorHAnsi" w:hAnsiTheme="minorHAnsi" w:cstheme="minorHAnsi"/>
          <w:lang w:val="en-US"/>
        </w:rPr>
      </w:pPr>
      <w:r w:rsidRPr="00B845AF">
        <w:rPr>
          <w:rFonts w:asciiTheme="minorHAnsi" w:hAnsiTheme="minorHAnsi" w:cstheme="minorHAnsi"/>
          <w:lang w:val="en-US"/>
        </w:rPr>
        <w:t>Australia indicated support for the USA</w:t>
      </w:r>
      <w:r w:rsidR="00A74FB5" w:rsidRPr="00B845AF">
        <w:rPr>
          <w:rFonts w:asciiTheme="minorHAnsi" w:hAnsiTheme="minorHAnsi" w:cstheme="minorHAnsi"/>
          <w:lang w:val="en-US"/>
        </w:rPr>
        <w:t>’</w:t>
      </w:r>
      <w:r w:rsidRPr="00B845AF">
        <w:rPr>
          <w:rFonts w:asciiTheme="minorHAnsi" w:hAnsiTheme="minorHAnsi" w:cstheme="minorHAnsi"/>
          <w:lang w:val="en-US"/>
        </w:rPr>
        <w:t xml:space="preserve">s suggestion of narrowing the MP set where results were effectively duplicated, while noting Australia was not yet in a position to make that recommendation formally and suggesting it be raised at BMW02; Australia also recalled that a difficult discussion had occurred the previous year when the SSP had refined the MP </w:t>
      </w:r>
      <w:proofErr w:type="gramStart"/>
      <w:r w:rsidRPr="00B845AF">
        <w:rPr>
          <w:rFonts w:asciiTheme="minorHAnsi" w:hAnsiTheme="minorHAnsi" w:cstheme="minorHAnsi"/>
          <w:lang w:val="en-US"/>
        </w:rPr>
        <w:t>set, and</w:t>
      </w:r>
      <w:proofErr w:type="gramEnd"/>
      <w:r w:rsidRPr="00B845AF">
        <w:rPr>
          <w:rFonts w:asciiTheme="minorHAnsi" w:hAnsiTheme="minorHAnsi" w:cstheme="minorHAnsi"/>
          <w:lang w:val="en-US"/>
        </w:rPr>
        <w:t xml:space="preserve"> cautioned against revisiting that issue further down the track.</w:t>
      </w:r>
    </w:p>
    <w:p w14:paraId="16937460" w14:textId="77777777" w:rsidR="00A74FB5" w:rsidRPr="00B845AF" w:rsidRDefault="00A74FB5" w:rsidP="00A74FB5">
      <w:pPr>
        <w:pStyle w:val="SCtext"/>
        <w:numPr>
          <w:ilvl w:val="0"/>
          <w:numId w:val="0"/>
        </w:numPr>
        <w:rPr>
          <w:rFonts w:asciiTheme="minorHAnsi" w:hAnsiTheme="minorHAnsi" w:cstheme="minorHAnsi"/>
          <w:lang w:val="en-US"/>
        </w:rPr>
      </w:pPr>
    </w:p>
    <w:p w14:paraId="6F6CBD2B" w14:textId="449DC8D1" w:rsidR="00A74FB5" w:rsidRPr="00B845AF" w:rsidRDefault="00A74FB5">
      <w:pPr>
        <w:pStyle w:val="SCtext"/>
        <w:rPr>
          <w:rFonts w:asciiTheme="minorHAnsi" w:hAnsiTheme="minorHAnsi" w:cstheme="minorHAnsi"/>
          <w:lang w:val="en-US"/>
        </w:rPr>
      </w:pPr>
      <w:r w:rsidRPr="00B845AF">
        <w:rPr>
          <w:rFonts w:asciiTheme="minorHAnsi" w:hAnsiTheme="minorHAnsi" w:cstheme="minorHAnsi"/>
          <w:lang w:val="en-US"/>
        </w:rPr>
        <w:t>Japan stated its appreciation for the modeling framework and considered the approach practical and reasonable given the complexity of running all MPs simultaneously, while recommending that the relationship between the various MP assumptions be clearly explained at BMW02. Japan also observed that presenting only HCRs expected to achieve the target in advance differed from the approach taken by other RFMOs, since guaranteeing the candidate TRP is achieved may reduce the scope for discussing tradeoffs, and suggested this point merited further discussion at BMW02.</w:t>
      </w:r>
    </w:p>
    <w:p w14:paraId="742DD7F5" w14:textId="77777777" w:rsidR="007502CA" w:rsidRPr="00B845AF" w:rsidRDefault="007502CA" w:rsidP="007502CA">
      <w:pPr>
        <w:pStyle w:val="SCtext"/>
        <w:numPr>
          <w:ilvl w:val="0"/>
          <w:numId w:val="0"/>
        </w:numPr>
        <w:rPr>
          <w:rFonts w:asciiTheme="minorHAnsi" w:hAnsiTheme="minorHAnsi" w:cstheme="minorHAnsi"/>
          <w:lang w:val="en-US"/>
        </w:rPr>
      </w:pPr>
    </w:p>
    <w:p w14:paraId="27C4D14A" w14:textId="1F7F97F2" w:rsidR="007502CA" w:rsidRPr="00B845AF" w:rsidRDefault="007502CA">
      <w:pPr>
        <w:pStyle w:val="SCtext"/>
        <w:rPr>
          <w:rFonts w:asciiTheme="minorHAnsi" w:hAnsiTheme="minorHAnsi" w:cstheme="minorHAnsi"/>
          <w:lang w:val="en-US"/>
        </w:rPr>
      </w:pPr>
      <w:r w:rsidRPr="00B845AF">
        <w:rPr>
          <w:rFonts w:asciiTheme="minorHAnsi" w:hAnsiTheme="minorHAnsi" w:cstheme="minorHAnsi"/>
          <w:lang w:val="en-US"/>
        </w:rPr>
        <w:t>Niue, on behalf of the FFA members, stated that the evaluation results provided a useful basis for assessing candidate MPs across the relevant performance indicators, but that the evaluations remained incomplete and further work was needed before final advice on candidate MPs could be given.</w:t>
      </w:r>
    </w:p>
    <w:p w14:paraId="7CF4DEF9" w14:textId="77777777" w:rsidR="00611AE3" w:rsidRPr="00B845AF" w:rsidRDefault="00611AE3" w:rsidP="00611AE3">
      <w:pPr>
        <w:pStyle w:val="SCtext"/>
        <w:numPr>
          <w:ilvl w:val="0"/>
          <w:numId w:val="0"/>
        </w:numPr>
        <w:rPr>
          <w:rFonts w:asciiTheme="minorHAnsi" w:hAnsiTheme="minorHAnsi" w:cstheme="minorHAnsi"/>
          <w:lang w:val="en-US"/>
        </w:rPr>
      </w:pPr>
    </w:p>
    <w:p w14:paraId="5F281377" w14:textId="7F05336A" w:rsidR="00611AE3" w:rsidRPr="00B845AF" w:rsidRDefault="00611AE3">
      <w:pPr>
        <w:pStyle w:val="SCtext"/>
        <w:rPr>
          <w:rFonts w:asciiTheme="minorHAnsi" w:hAnsiTheme="minorHAnsi" w:cstheme="minorHAnsi"/>
          <w:lang w:val="en-US"/>
        </w:rPr>
      </w:pPr>
      <w:r w:rsidRPr="00B845AF">
        <w:rPr>
          <w:rFonts w:asciiTheme="minorHAnsi" w:hAnsiTheme="minorHAnsi" w:cstheme="minorHAnsi"/>
          <w:lang w:val="en-US"/>
        </w:rPr>
        <w:t>The EU suggested that SC22 could note that current analysis indicates scope for narrowing the range of options, and that BMW02 should work toward narrowing them down, with the SSP requested to draft proposals to that effect.</w:t>
      </w:r>
    </w:p>
    <w:p w14:paraId="0592666B" w14:textId="5C6FC28E" w:rsidR="00056FD5" w:rsidRPr="00B845AF" w:rsidRDefault="00056FD5" w:rsidP="00056FD5">
      <w:pPr>
        <w:pStyle w:val="SCtext"/>
        <w:numPr>
          <w:ilvl w:val="0"/>
          <w:numId w:val="0"/>
        </w:numPr>
        <w:rPr>
          <w:rFonts w:asciiTheme="minorHAnsi" w:hAnsiTheme="minorHAnsi" w:cstheme="minorHAnsi"/>
          <w:lang w:val="en-US"/>
        </w:rPr>
      </w:pPr>
    </w:p>
    <w:p w14:paraId="46879774" w14:textId="6A1DF31F" w:rsidR="00056FD5" w:rsidRPr="00B845AF" w:rsidRDefault="00056FD5" w:rsidP="00056FD5">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7068C973" w14:textId="0D82F781" w:rsidR="00056FD5" w:rsidRPr="00B845AF" w:rsidRDefault="00056FD5">
      <w:pPr>
        <w:pStyle w:val="SCtext"/>
        <w:rPr>
          <w:rFonts w:asciiTheme="minorHAnsi" w:hAnsiTheme="minorHAnsi" w:cstheme="minorHAnsi"/>
          <w:b/>
          <w:bCs/>
          <w:lang w:val="en-US"/>
        </w:rPr>
      </w:pPr>
      <w:r w:rsidRPr="00B845AF">
        <w:rPr>
          <w:rFonts w:asciiTheme="minorHAnsi" w:hAnsiTheme="minorHAnsi" w:cstheme="minorHAnsi"/>
          <w:lang w:val="en-US"/>
        </w:rPr>
        <w:t xml:space="preserve">SC22 welcomed the presentation of the BET MSE results and made </w:t>
      </w:r>
      <w:proofErr w:type="gramStart"/>
      <w:r w:rsidRPr="00B845AF">
        <w:rPr>
          <w:rFonts w:asciiTheme="minorHAnsi" w:hAnsiTheme="minorHAnsi" w:cstheme="minorHAnsi"/>
          <w:lang w:val="en-US"/>
        </w:rPr>
        <w:t>a number of</w:t>
      </w:r>
      <w:proofErr w:type="gramEnd"/>
      <w:r w:rsidRPr="00B845AF">
        <w:rPr>
          <w:rFonts w:asciiTheme="minorHAnsi" w:hAnsiTheme="minorHAnsi" w:cstheme="minorHAnsi"/>
          <w:lang w:val="en-US"/>
        </w:rPr>
        <w:t xml:space="preserve"> suggestions for improvements. SC22 noted the large volume of results even with the current MP list. It was noted that the results need to be updated once the OM reference set is revised.</w:t>
      </w:r>
      <w:r w:rsidRPr="00B845AF">
        <w:rPr>
          <w:rFonts w:asciiTheme="minorHAnsi" w:hAnsiTheme="minorHAnsi" w:cstheme="minorHAnsi"/>
          <w:b/>
          <w:bCs/>
          <w:lang w:val="en-US"/>
        </w:rPr>
        <w:t xml:space="preserve"> SC22 requested that SSP further develop the MSE presentation </w:t>
      </w:r>
      <w:proofErr w:type="gramStart"/>
      <w:r w:rsidRPr="00B845AF">
        <w:rPr>
          <w:rFonts w:asciiTheme="minorHAnsi" w:hAnsiTheme="minorHAnsi" w:cstheme="minorHAnsi"/>
          <w:b/>
          <w:bCs/>
          <w:lang w:val="en-US"/>
        </w:rPr>
        <w:t>taking into account</w:t>
      </w:r>
      <w:proofErr w:type="gramEnd"/>
      <w:r w:rsidRPr="00B845AF">
        <w:rPr>
          <w:rFonts w:asciiTheme="minorHAnsi" w:hAnsiTheme="minorHAnsi" w:cstheme="minorHAnsi"/>
          <w:b/>
          <w:bCs/>
          <w:lang w:val="en-US"/>
        </w:rPr>
        <w:t xml:space="preserve"> the comments from SC22 and present it at BMW02.</w:t>
      </w:r>
    </w:p>
    <w:p w14:paraId="745DDB2A" w14:textId="77777777" w:rsidR="00056FD5" w:rsidRPr="00B845AF" w:rsidRDefault="00056FD5" w:rsidP="00056FD5">
      <w:pPr>
        <w:pStyle w:val="SCtext"/>
        <w:numPr>
          <w:ilvl w:val="0"/>
          <w:numId w:val="0"/>
        </w:numPr>
        <w:rPr>
          <w:rFonts w:asciiTheme="minorHAnsi" w:hAnsiTheme="minorHAnsi" w:cstheme="minorHAnsi"/>
          <w:b/>
          <w:bCs/>
          <w:lang w:val="en-US"/>
        </w:rPr>
      </w:pPr>
    </w:p>
    <w:p w14:paraId="0623265A" w14:textId="4ACBE31B" w:rsidR="00056FD5" w:rsidRPr="00B845AF" w:rsidRDefault="00056FD5">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noted the importance of keeping the number of candidate MPs manageable, both to minimize the workload for the SSP and to facilitate effective decision-making by the </w:t>
      </w:r>
      <w:r w:rsidR="00116749" w:rsidRPr="00B845AF">
        <w:rPr>
          <w:rFonts w:asciiTheme="minorHAnsi" w:hAnsiTheme="minorHAnsi" w:cstheme="minorHAnsi"/>
          <w:b/>
          <w:bCs/>
          <w:lang w:val="en-US"/>
        </w:rPr>
        <w:t>Commission and</w:t>
      </w:r>
      <w:r w:rsidRPr="00B845AF">
        <w:rPr>
          <w:rFonts w:asciiTheme="minorHAnsi" w:hAnsiTheme="minorHAnsi" w:cstheme="minorHAnsi"/>
          <w:b/>
          <w:bCs/>
          <w:lang w:val="en-US"/>
        </w:rPr>
        <w:t xml:space="preserve"> advised BMW02 </w:t>
      </w:r>
      <w:r w:rsidR="00116749" w:rsidRPr="00B845AF">
        <w:rPr>
          <w:rFonts w:asciiTheme="minorHAnsi" w:hAnsiTheme="minorHAnsi" w:cstheme="minorHAnsi"/>
          <w:b/>
          <w:bCs/>
          <w:lang w:val="en-US"/>
        </w:rPr>
        <w:t xml:space="preserve">to consider reducing the number of </w:t>
      </w:r>
      <w:r w:rsidRPr="00B845AF">
        <w:rPr>
          <w:rFonts w:asciiTheme="minorHAnsi" w:hAnsiTheme="minorHAnsi" w:cstheme="minorHAnsi"/>
          <w:b/>
          <w:bCs/>
          <w:lang w:val="en-US"/>
        </w:rPr>
        <w:t xml:space="preserve">candidate MPs. As one approach to reducing the number of candidate MPs, SC22 advised the SSP to consider excluding one of </w:t>
      </w:r>
      <w:r w:rsidR="00116749" w:rsidRPr="00B845AF">
        <w:rPr>
          <w:rFonts w:asciiTheme="minorHAnsi" w:hAnsiTheme="minorHAnsi" w:cstheme="minorHAnsi"/>
          <w:b/>
          <w:bCs/>
          <w:lang w:val="en-US"/>
        </w:rPr>
        <w:t xml:space="preserve">the </w:t>
      </w:r>
      <w:r w:rsidRPr="00B845AF">
        <w:rPr>
          <w:rFonts w:asciiTheme="minorHAnsi" w:hAnsiTheme="minorHAnsi" w:cstheme="minorHAnsi"/>
          <w:b/>
          <w:bCs/>
          <w:lang w:val="en-US"/>
        </w:rPr>
        <w:t>candidate MPs that perform similarly across indicators, while clearly documenting and reporting properly the rationale for their exclusion to BMW02 or the Commission.</w:t>
      </w:r>
    </w:p>
    <w:p w14:paraId="00F09AAA" w14:textId="77777777" w:rsidR="00B65F99" w:rsidRPr="00B845AF" w:rsidRDefault="00B65F99" w:rsidP="00B65F99">
      <w:pPr>
        <w:widowControl w:val="0"/>
        <w:kinsoku w:val="0"/>
        <w:overflowPunct w:val="0"/>
        <w:autoSpaceDE w:val="0"/>
        <w:autoSpaceDN w:val="0"/>
        <w:adjustRightInd w:val="0"/>
        <w:snapToGrid w:val="0"/>
        <w:jc w:val="both"/>
        <w:rPr>
          <w:rFonts w:asciiTheme="minorHAnsi" w:eastAsia="Batang" w:hAnsiTheme="minorHAnsi" w:cstheme="minorHAnsi"/>
          <w:b/>
          <w:bCs/>
          <w:iCs/>
          <w:szCs w:val="22"/>
          <w:lang w:eastAsia="ko-KR" w:bidi="mn-Mong-CN"/>
        </w:rPr>
      </w:pPr>
    </w:p>
    <w:p w14:paraId="2BE58C90" w14:textId="39F687AB" w:rsidR="00B65F99" w:rsidRPr="00B845AF" w:rsidRDefault="00B65F99" w:rsidP="00B65F99">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5.1.1.5 Bigeye tuna management workshop</w:t>
      </w:r>
    </w:p>
    <w:p w14:paraId="723E5A0A" w14:textId="77777777" w:rsidR="00FE1590" w:rsidRPr="00B845AF" w:rsidRDefault="00FE1590" w:rsidP="00FE1590">
      <w:pPr>
        <w:pStyle w:val="SCtext"/>
        <w:numPr>
          <w:ilvl w:val="0"/>
          <w:numId w:val="0"/>
        </w:numPr>
        <w:rPr>
          <w:rFonts w:asciiTheme="minorHAnsi" w:hAnsiTheme="minorHAnsi" w:cstheme="minorHAnsi"/>
          <w:lang w:val="en-US"/>
        </w:rPr>
      </w:pPr>
    </w:p>
    <w:p w14:paraId="211FFC02" w14:textId="3A1D3014" w:rsidR="00C15769" w:rsidRPr="00B845AF" w:rsidRDefault="00C15769">
      <w:pPr>
        <w:pStyle w:val="SCtext"/>
        <w:rPr>
          <w:rFonts w:asciiTheme="minorHAnsi" w:hAnsiTheme="minorHAnsi" w:cstheme="minorHAnsi"/>
          <w:lang w:val="en-US"/>
        </w:rPr>
      </w:pPr>
      <w:r w:rsidRPr="00B845AF">
        <w:rPr>
          <w:rFonts w:asciiTheme="minorHAnsi" w:hAnsiTheme="minorHAnsi" w:cstheme="minorHAnsi"/>
          <w:lang w:val="en-US"/>
        </w:rPr>
        <w:t xml:space="preserve">The SC Chair, as BMW Chair, presented </w:t>
      </w:r>
      <w:hyperlink r:id="rId71" w:history="1">
        <w:r w:rsidRPr="00B845AF">
          <w:rPr>
            <w:rStyle w:val="Hyperlink"/>
            <w:rFonts w:asciiTheme="minorHAnsi" w:hAnsiTheme="minorHAnsi" w:cstheme="minorHAnsi"/>
            <w:lang w:val="en-US"/>
          </w:rPr>
          <w:t>WCPFC-SC22-2026-MI-IP07</w:t>
        </w:r>
      </w:hyperlink>
      <w:r w:rsidRPr="00B845AF">
        <w:rPr>
          <w:rFonts w:asciiTheme="minorHAnsi" w:hAnsiTheme="minorHAnsi" w:cstheme="minorHAnsi"/>
          <w:lang w:val="en-US"/>
        </w:rPr>
        <w:t xml:space="preserve">, the summary report of the first Bigeye Management Workshop (BMW01), held 19-20 May 2026. </w:t>
      </w:r>
    </w:p>
    <w:p w14:paraId="0188E676" w14:textId="77777777" w:rsidR="00C15769" w:rsidRPr="00B845AF" w:rsidRDefault="00C15769" w:rsidP="00C15769">
      <w:pPr>
        <w:pStyle w:val="SCtext"/>
        <w:numPr>
          <w:ilvl w:val="0"/>
          <w:numId w:val="0"/>
        </w:numPr>
        <w:rPr>
          <w:rFonts w:asciiTheme="minorHAnsi" w:hAnsiTheme="minorHAnsi" w:cstheme="minorHAnsi"/>
          <w:lang w:val="en-US"/>
        </w:rPr>
      </w:pPr>
    </w:p>
    <w:p w14:paraId="17AB2265" w14:textId="231318A7" w:rsidR="00C86C9E" w:rsidRPr="00B845AF" w:rsidRDefault="00C15769" w:rsidP="00231C85">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WCPFC22 had agreed to host a series of Bigeye Management Workshops in 2026, chaired by the SC Chair, to progress the bigeye tuna harvest strategy work plan toward adoption of a new stock assessment, a bigeye tuna MP, and associated TRP, and had provided guidance on MP development including use of a three-year management period with a two-year data lag, evaluation of a range of harvest control rules (HCRs) across FAD closure lengths from 0 to 3 </w:t>
      </w:r>
      <w:r w:rsidRPr="00B845AF">
        <w:rPr>
          <w:rFonts w:asciiTheme="minorHAnsi" w:hAnsiTheme="minorHAnsi" w:cstheme="minorHAnsi"/>
          <w:lang w:val="en-US"/>
        </w:rPr>
        <w:lastRenderedPageBreak/>
        <w:t>months and tropical longline catch and/or effort settings tuned to a common TRP, evaluation of HCRs with and without between-period constraints, fixed assumptions on catch outside MP control, and sensitivity analyses addressing uncertainties in Indonesian, Philippine, and Vietnamese archipelagic fisheries. BMW01’s objective was to provide feedback to the SSP to inform analyses presented at SC22, covering the spatial range and fisheries managed through the bigeye MP, the general shape and operation of the HCR, the management period duration and assumed future catch levels outside that range, candidate performance indicators, output controls, the desired increment of change, and meta-rules for constraining changes in fishing pressure between periods.</w:t>
      </w:r>
    </w:p>
    <w:p w14:paraId="62A8F264" w14:textId="77777777" w:rsidR="00FE1590" w:rsidRPr="00B845AF" w:rsidRDefault="00FE1590" w:rsidP="00FE1590">
      <w:pPr>
        <w:pStyle w:val="SCtext"/>
        <w:numPr>
          <w:ilvl w:val="0"/>
          <w:numId w:val="0"/>
        </w:numPr>
        <w:rPr>
          <w:rFonts w:asciiTheme="minorHAnsi" w:hAnsiTheme="minorHAnsi" w:cstheme="minorHAnsi"/>
          <w:lang w:val="en-US"/>
        </w:rPr>
      </w:pPr>
    </w:p>
    <w:p w14:paraId="63E6F6B6" w14:textId="3A20C0CC" w:rsidR="00C86C9E" w:rsidRPr="00B845AF" w:rsidRDefault="00620251" w:rsidP="004D66BA">
      <w:pPr>
        <w:pStyle w:val="SCDR"/>
        <w:rPr>
          <w:rFonts w:asciiTheme="minorHAnsi" w:hAnsiTheme="minorHAnsi" w:cstheme="minorHAnsi"/>
        </w:rPr>
      </w:pPr>
      <w:r w:rsidRPr="00B845AF">
        <w:rPr>
          <w:rFonts w:asciiTheme="minorHAnsi" w:hAnsiTheme="minorHAnsi" w:cstheme="minorHAnsi"/>
        </w:rPr>
        <w:t>Discussion</w:t>
      </w:r>
    </w:p>
    <w:p w14:paraId="34CA1542" w14:textId="1B4D13EE" w:rsidR="004D66BA" w:rsidRPr="00B845AF" w:rsidRDefault="00620251">
      <w:pPr>
        <w:pStyle w:val="SCtext"/>
        <w:rPr>
          <w:rFonts w:asciiTheme="minorHAnsi" w:hAnsiTheme="minorHAnsi" w:cstheme="minorHAnsi"/>
          <w:lang w:val="en-US"/>
        </w:rPr>
      </w:pPr>
      <w:r w:rsidRPr="00B845AF">
        <w:rPr>
          <w:rFonts w:asciiTheme="minorHAnsi" w:hAnsiTheme="minorHAnsi" w:cstheme="minorHAnsi"/>
          <w:lang w:val="en-US"/>
        </w:rPr>
        <w:t>The theme convener asked the BMW Chair whether yellowfin results were included in the BMW02 plan, noting that an SPC paper suggested SPC intended to provide information on yellowfin as well as bigeye to the workshop.</w:t>
      </w:r>
    </w:p>
    <w:p w14:paraId="770248AE" w14:textId="77777777" w:rsidR="00620251" w:rsidRPr="00B845AF" w:rsidRDefault="00620251" w:rsidP="00620251">
      <w:pPr>
        <w:pStyle w:val="SCtext"/>
        <w:numPr>
          <w:ilvl w:val="0"/>
          <w:numId w:val="0"/>
        </w:numPr>
        <w:rPr>
          <w:rFonts w:asciiTheme="minorHAnsi" w:hAnsiTheme="minorHAnsi" w:cstheme="minorHAnsi"/>
          <w:lang w:val="en-US"/>
        </w:rPr>
      </w:pPr>
    </w:p>
    <w:p w14:paraId="35FF397C" w14:textId="5357531C" w:rsidR="00620251" w:rsidRPr="00B845AF" w:rsidRDefault="00620251">
      <w:pPr>
        <w:pStyle w:val="SCtext"/>
        <w:rPr>
          <w:rFonts w:asciiTheme="minorHAnsi" w:hAnsiTheme="minorHAnsi" w:cstheme="minorHAnsi"/>
          <w:lang w:val="en-US"/>
        </w:rPr>
      </w:pPr>
      <w:r w:rsidRPr="00B845AF">
        <w:rPr>
          <w:rFonts w:asciiTheme="minorHAnsi" w:hAnsiTheme="minorHAnsi" w:cstheme="minorHAnsi"/>
          <w:lang w:val="en-US"/>
        </w:rPr>
        <w:t xml:space="preserve">The BMW Chair stated that this had not been included in the agenda developed so far, but that arrangements remained flexible at this stage of the meeting, and that </w:t>
      </w:r>
      <w:proofErr w:type="gramStart"/>
      <w:r w:rsidRPr="00B845AF">
        <w:rPr>
          <w:rFonts w:asciiTheme="minorHAnsi" w:hAnsiTheme="minorHAnsi" w:cstheme="minorHAnsi"/>
          <w:lang w:val="en-US"/>
        </w:rPr>
        <w:t>accommodations</w:t>
      </w:r>
      <w:proofErr w:type="gramEnd"/>
      <w:r w:rsidRPr="00B845AF">
        <w:rPr>
          <w:rFonts w:asciiTheme="minorHAnsi" w:hAnsiTheme="minorHAnsi" w:cstheme="minorHAnsi"/>
          <w:lang w:val="en-US"/>
        </w:rPr>
        <w:t xml:space="preserve"> could be </w:t>
      </w:r>
      <w:proofErr w:type="gramStart"/>
      <w:r w:rsidRPr="00B845AF">
        <w:rPr>
          <w:rFonts w:asciiTheme="minorHAnsi" w:hAnsiTheme="minorHAnsi" w:cstheme="minorHAnsi"/>
          <w:lang w:val="en-US"/>
        </w:rPr>
        <w:t>made</w:t>
      </w:r>
      <w:proofErr w:type="gramEnd"/>
      <w:r w:rsidRPr="00B845AF">
        <w:rPr>
          <w:rFonts w:asciiTheme="minorHAnsi" w:hAnsiTheme="minorHAnsi" w:cstheme="minorHAnsi"/>
          <w:lang w:val="en-US"/>
        </w:rPr>
        <w:t xml:space="preserve"> if CCMs decided this would be valuable to discuss at the next workshop.</w:t>
      </w:r>
    </w:p>
    <w:p w14:paraId="581C4764" w14:textId="77777777" w:rsidR="00620251" w:rsidRPr="00B845AF" w:rsidRDefault="00620251" w:rsidP="00620251">
      <w:pPr>
        <w:pStyle w:val="SCtext"/>
        <w:numPr>
          <w:ilvl w:val="0"/>
          <w:numId w:val="0"/>
        </w:numPr>
        <w:rPr>
          <w:rFonts w:asciiTheme="minorHAnsi" w:hAnsiTheme="minorHAnsi" w:cstheme="minorHAnsi"/>
          <w:lang w:val="en-US"/>
        </w:rPr>
      </w:pPr>
    </w:p>
    <w:p w14:paraId="740733B3" w14:textId="2214F59B" w:rsidR="00620251" w:rsidRPr="00B845AF" w:rsidRDefault="00620251">
      <w:pPr>
        <w:pStyle w:val="SCtext"/>
        <w:rPr>
          <w:rFonts w:asciiTheme="minorHAnsi" w:hAnsiTheme="minorHAnsi" w:cstheme="minorHAnsi"/>
          <w:lang w:val="en-US"/>
        </w:rPr>
      </w:pPr>
      <w:r w:rsidRPr="00B845AF">
        <w:rPr>
          <w:rFonts w:asciiTheme="minorHAnsi" w:hAnsiTheme="minorHAnsi" w:cstheme="minorHAnsi"/>
          <w:lang w:val="en-US"/>
        </w:rPr>
        <w:t>The theme convener thanked the BMW Chair for the clarification, noting that yellowfin has implications for bigeye and vice versa, and that this interaction, and potentially skipjack as well, needs to be considered together as a feature of mixed-fisheries MSE.</w:t>
      </w:r>
    </w:p>
    <w:p w14:paraId="191EF096" w14:textId="53006396" w:rsidR="00CC383C" w:rsidRPr="00B845AF" w:rsidRDefault="00CC383C" w:rsidP="00CC383C">
      <w:pPr>
        <w:pStyle w:val="SCtext"/>
        <w:numPr>
          <w:ilvl w:val="0"/>
          <w:numId w:val="0"/>
        </w:numPr>
        <w:rPr>
          <w:rFonts w:asciiTheme="minorHAnsi" w:hAnsiTheme="minorHAnsi" w:cstheme="minorHAnsi"/>
          <w:lang w:val="en-US"/>
        </w:rPr>
      </w:pPr>
    </w:p>
    <w:p w14:paraId="50F95B11" w14:textId="289FBFDE" w:rsidR="00CC383C" w:rsidRPr="00B845AF" w:rsidRDefault="00CC383C" w:rsidP="00CC383C">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7BBD23D7" w14:textId="13906FF5" w:rsidR="00CC383C" w:rsidRPr="00B845AF" w:rsidRDefault="00426BAC">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BMW02 consider the results of the revised BET OM evaluation and provide feedback to the SC and the Commission. SC22 also advised BMW02 review the results of BET as well as YFT MSE and provide feedback to the SC and the Commission.</w:t>
      </w:r>
    </w:p>
    <w:p w14:paraId="6CC10140" w14:textId="77777777" w:rsidR="00C86C9E" w:rsidRPr="00B845AF" w:rsidRDefault="00C86C9E" w:rsidP="007B3E95">
      <w:pPr>
        <w:pStyle w:val="SCtext"/>
        <w:numPr>
          <w:ilvl w:val="0"/>
          <w:numId w:val="0"/>
        </w:numPr>
        <w:rPr>
          <w:rFonts w:asciiTheme="minorHAnsi" w:hAnsiTheme="minorHAnsi" w:cstheme="minorHAnsi"/>
          <w:lang w:val="en-US"/>
        </w:rPr>
      </w:pPr>
    </w:p>
    <w:p w14:paraId="05CDA8D3" w14:textId="7D4FFC89" w:rsidR="003A2857" w:rsidRPr="00B845AF" w:rsidRDefault="00B65F99">
      <w:pPr>
        <w:pStyle w:val="SC3"/>
        <w:rPr>
          <w:rFonts w:asciiTheme="minorHAnsi" w:hAnsiTheme="minorHAnsi" w:cstheme="minorHAnsi"/>
        </w:rPr>
      </w:pPr>
      <w:r w:rsidRPr="00B845AF">
        <w:rPr>
          <w:rFonts w:asciiTheme="minorHAnsi" w:hAnsiTheme="minorHAnsi" w:cstheme="minorHAnsi"/>
        </w:rPr>
        <w:t>Yellowfin tuna harvest strategy</w:t>
      </w:r>
    </w:p>
    <w:p w14:paraId="4CB294D0" w14:textId="560FBFE4" w:rsidR="003A2857" w:rsidRPr="00B845AF" w:rsidRDefault="00657ACB" w:rsidP="00657ACB">
      <w:pPr>
        <w:widowControl w:val="0"/>
        <w:kinsoku w:val="0"/>
        <w:overflowPunct w:val="0"/>
        <w:autoSpaceDE w:val="0"/>
        <w:autoSpaceDN w:val="0"/>
        <w:adjustRightInd w:val="0"/>
        <w:snapToGrid w:val="0"/>
        <w:jc w:val="both"/>
        <w:rPr>
          <w:rFonts w:asciiTheme="minorHAnsi" w:hAnsiTheme="minorHAnsi" w:cstheme="minorHAnsi"/>
          <w:b/>
          <w:bCs/>
          <w:szCs w:val="22"/>
        </w:rPr>
      </w:pPr>
      <w:r w:rsidRPr="00B845AF">
        <w:rPr>
          <w:rFonts w:asciiTheme="minorHAnsi" w:hAnsiTheme="minorHAnsi" w:cstheme="minorHAnsi"/>
          <w:b/>
          <w:bCs/>
          <w:szCs w:val="22"/>
        </w:rPr>
        <w:t>5.1.2.1</w:t>
      </w:r>
      <w:r w:rsidRPr="00B845AF">
        <w:rPr>
          <w:rFonts w:asciiTheme="minorHAnsi" w:hAnsiTheme="minorHAnsi" w:cstheme="minorHAnsi"/>
          <w:b/>
          <w:bCs/>
          <w:szCs w:val="22"/>
        </w:rPr>
        <w:tab/>
      </w:r>
      <w:r w:rsidR="00B65F99" w:rsidRPr="00B845AF">
        <w:rPr>
          <w:rFonts w:asciiTheme="minorHAnsi" w:hAnsiTheme="minorHAnsi" w:cstheme="minorHAnsi"/>
          <w:b/>
          <w:bCs/>
          <w:szCs w:val="22"/>
        </w:rPr>
        <w:t>Yellowfin operating models</w:t>
      </w:r>
    </w:p>
    <w:p w14:paraId="7A03BE02" w14:textId="77777777" w:rsidR="003A2857" w:rsidRPr="00B845AF" w:rsidRDefault="003A2857" w:rsidP="003A2857">
      <w:pPr>
        <w:pStyle w:val="Default"/>
        <w:snapToGrid w:val="0"/>
        <w:ind w:left="1440"/>
        <w:jc w:val="both"/>
        <w:rPr>
          <w:rFonts w:asciiTheme="minorHAnsi" w:hAnsiTheme="minorHAnsi" w:cstheme="minorHAnsi"/>
          <w:snapToGrid w:val="0"/>
          <w:color w:val="auto"/>
          <w:sz w:val="22"/>
          <w:szCs w:val="22"/>
        </w:rPr>
      </w:pPr>
    </w:p>
    <w:p w14:paraId="78570322" w14:textId="77777777" w:rsidR="00030689" w:rsidRPr="00B845AF" w:rsidRDefault="00030689">
      <w:pPr>
        <w:pStyle w:val="SCtext"/>
        <w:rPr>
          <w:rFonts w:asciiTheme="minorHAnsi" w:hAnsiTheme="minorHAnsi" w:cstheme="minorHAnsi"/>
          <w:lang w:val="en-US"/>
        </w:rPr>
      </w:pPr>
      <w:r w:rsidRPr="00B845AF">
        <w:rPr>
          <w:rFonts w:asciiTheme="minorHAnsi" w:hAnsiTheme="minorHAnsi" w:cstheme="minorHAnsi"/>
          <w:lang w:val="en-US"/>
        </w:rPr>
        <w:t xml:space="preserve">The SSP presented </w:t>
      </w:r>
      <w:hyperlink r:id="rId72" w:history="1">
        <w:r w:rsidRPr="00B845AF">
          <w:rPr>
            <w:rStyle w:val="Hyperlink"/>
            <w:rFonts w:asciiTheme="minorHAnsi" w:hAnsiTheme="minorHAnsi" w:cstheme="minorHAnsi"/>
            <w:lang w:val="en-US"/>
          </w:rPr>
          <w:t>WCPFC-SC22-2026-MI-WP05</w:t>
        </w:r>
      </w:hyperlink>
      <w:r w:rsidRPr="00B845AF">
        <w:rPr>
          <w:rFonts w:asciiTheme="minorHAnsi" w:hAnsiTheme="minorHAnsi" w:cstheme="minorHAnsi"/>
          <w:lang w:val="en-US"/>
        </w:rPr>
        <w:t xml:space="preserve"> on OMs for WCPO yellowfin tuna, building on SC21's recommendation that the OMs be constructed around the 2023 stock assessment grid and expanded for additional uncertainties. </w:t>
      </w:r>
    </w:p>
    <w:p w14:paraId="142F6A8B" w14:textId="77777777" w:rsidR="00030689" w:rsidRPr="00B845AF" w:rsidRDefault="00030689" w:rsidP="00030689">
      <w:pPr>
        <w:pStyle w:val="SCtext"/>
        <w:numPr>
          <w:ilvl w:val="0"/>
          <w:numId w:val="0"/>
        </w:numPr>
        <w:rPr>
          <w:rFonts w:asciiTheme="minorHAnsi" w:hAnsiTheme="minorHAnsi" w:cstheme="minorHAnsi"/>
          <w:lang w:val="en-US"/>
        </w:rPr>
      </w:pPr>
    </w:p>
    <w:p w14:paraId="2C04C8C4" w14:textId="3D201E19" w:rsidR="007F4D65" w:rsidRPr="00B845AF" w:rsidRDefault="00030689" w:rsidP="00030689">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resulting reference set of 36 OMs retained steepness and tag mixing period as the most influential uncertainties, fixed growth using two alternative models, and varied natural mortality (0.173, 0.2, 0.25) and recruitment variability. The OM set produced a 2021 depletion range of 34.8% to 54.3%, compared to 36.2% to 49.8% for the 2023 assessment grid, with fits to length, weight, CPUE, and tagging data presented alongside likelihood profiles showing unresolved data conflicts in some OMs. Four sensitivity scenarios showed little impact on stock-wide depletion, though longer tag mixing generally produced less depleted outcomes. Further work areas were identified (alternative spatial structures, recruitment distribution, reproductive biology, climate change scenarios), and the SSP invited SC22 to note the reference set reflects key uncertainties, agree it as the basis for evaluating yellowfin outcomes under the harvest strategy framework, </w:t>
      </w:r>
      <w:r w:rsidRPr="00B845AF">
        <w:rPr>
          <w:rFonts w:asciiTheme="minorHAnsi" w:hAnsiTheme="minorHAnsi" w:cstheme="minorHAnsi"/>
          <w:lang w:val="en-US"/>
        </w:rPr>
        <w:lastRenderedPageBreak/>
        <w:t>provide guidance on further robustness and sensitivity testing, and note continued OM development via an agreed monitoring strategy.</w:t>
      </w:r>
    </w:p>
    <w:p w14:paraId="791C1AA4" w14:textId="77777777" w:rsidR="007F4D65" w:rsidRPr="00B845AF" w:rsidRDefault="007F4D65" w:rsidP="007F4D65">
      <w:pPr>
        <w:pStyle w:val="SCtext"/>
        <w:numPr>
          <w:ilvl w:val="0"/>
          <w:numId w:val="0"/>
        </w:numPr>
        <w:rPr>
          <w:rFonts w:asciiTheme="minorHAnsi" w:hAnsiTheme="minorHAnsi" w:cstheme="minorHAnsi"/>
          <w:lang w:val="en-US"/>
        </w:rPr>
      </w:pPr>
    </w:p>
    <w:p w14:paraId="493ADFD1" w14:textId="48250471" w:rsidR="002A3074" w:rsidRPr="00B845AF" w:rsidRDefault="002A3074" w:rsidP="002A3074">
      <w:pPr>
        <w:pStyle w:val="SCDR"/>
        <w:rPr>
          <w:rFonts w:asciiTheme="minorHAnsi" w:hAnsiTheme="minorHAnsi" w:cstheme="minorHAnsi"/>
        </w:rPr>
      </w:pPr>
      <w:r w:rsidRPr="00B845AF">
        <w:rPr>
          <w:rFonts w:asciiTheme="minorHAnsi" w:hAnsiTheme="minorHAnsi" w:cstheme="minorHAnsi"/>
        </w:rPr>
        <w:t>Discussion</w:t>
      </w:r>
    </w:p>
    <w:p w14:paraId="012793FC" w14:textId="0AD45323" w:rsidR="00C766C0" w:rsidRPr="00B845AF" w:rsidRDefault="00EE7605">
      <w:pPr>
        <w:pStyle w:val="SCtext"/>
        <w:rPr>
          <w:rFonts w:asciiTheme="minorHAnsi" w:hAnsiTheme="minorHAnsi" w:cstheme="minorHAnsi"/>
          <w:lang w:val="en-US"/>
        </w:rPr>
      </w:pPr>
      <w:r w:rsidRPr="00B845AF">
        <w:rPr>
          <w:rFonts w:asciiTheme="minorHAnsi" w:hAnsiTheme="minorHAnsi" w:cstheme="minorHAnsi"/>
          <w:lang w:val="en-US"/>
        </w:rPr>
        <w:t>The</w:t>
      </w:r>
      <w:r w:rsidR="005A2796" w:rsidRPr="00B845AF">
        <w:rPr>
          <w:rFonts w:asciiTheme="minorHAnsi" w:hAnsiTheme="minorHAnsi" w:cstheme="minorHAnsi"/>
          <w:lang w:val="en-US"/>
        </w:rPr>
        <w:t xml:space="preserve"> theme convener asked the SSP to compare the yellowfin OM set (based on the 2023 assessment) with the new 2026 stock assessment, noting SC22 had not reviewed or approved the latter. The SSP replied that the 2026 results came in too late for thorough </w:t>
      </w:r>
      <w:r w:rsidR="004E2763" w:rsidRPr="00B845AF">
        <w:rPr>
          <w:rFonts w:asciiTheme="minorHAnsi" w:hAnsiTheme="minorHAnsi" w:cstheme="minorHAnsi"/>
          <w:lang w:val="en-US"/>
        </w:rPr>
        <w:t>review but</w:t>
      </w:r>
      <w:r w:rsidR="005A2796" w:rsidRPr="00B845AF">
        <w:rPr>
          <w:rFonts w:asciiTheme="minorHAnsi" w:hAnsiTheme="minorHAnsi" w:cstheme="minorHAnsi"/>
          <w:lang w:val="en-US"/>
        </w:rPr>
        <w:t xml:space="preserve"> presented an additional slide comparing depletion trajectories. The convener observed the two were broadly similar, with the new assessment somewhat more pessimistic but still covered by the current OM set.</w:t>
      </w:r>
    </w:p>
    <w:p w14:paraId="737CE63E" w14:textId="77777777" w:rsidR="00C766C0" w:rsidRPr="00B845AF" w:rsidRDefault="00C766C0" w:rsidP="00C766C0">
      <w:pPr>
        <w:pStyle w:val="SCtext"/>
        <w:numPr>
          <w:ilvl w:val="0"/>
          <w:numId w:val="0"/>
        </w:numPr>
        <w:rPr>
          <w:rFonts w:asciiTheme="minorHAnsi" w:hAnsiTheme="minorHAnsi" w:cstheme="minorHAnsi"/>
          <w:lang w:val="en-US"/>
        </w:rPr>
      </w:pPr>
    </w:p>
    <w:p w14:paraId="61CB21B5" w14:textId="39A59C0D" w:rsidR="001171EB" w:rsidRPr="00B845AF" w:rsidRDefault="005A2796">
      <w:pPr>
        <w:pStyle w:val="SCtext"/>
        <w:rPr>
          <w:rFonts w:asciiTheme="minorHAnsi" w:hAnsiTheme="minorHAnsi" w:cstheme="minorHAnsi"/>
          <w:lang w:val="en-US"/>
        </w:rPr>
      </w:pPr>
      <w:r w:rsidRPr="00B845AF">
        <w:rPr>
          <w:rFonts w:asciiTheme="minorHAnsi" w:hAnsiTheme="minorHAnsi" w:cstheme="minorHAnsi"/>
          <w:lang w:val="en-US"/>
        </w:rPr>
        <w:t xml:space="preserve">Japan stated that the paper’s concern about Japanese samples biasing the growth model toward the northern region was not supported by the results, since including the data did not substantially change the growth curve, and both curves fell within the range of the two models already used. Japan encouraged SSP to properly include and analyze the Japanese data rather than exclude it. The SSP clarified that it had not fitted a growth model on Japanese data </w:t>
      </w:r>
      <w:proofErr w:type="gramStart"/>
      <w:r w:rsidRPr="00B845AF">
        <w:rPr>
          <w:rFonts w:asciiTheme="minorHAnsi" w:hAnsiTheme="minorHAnsi" w:cstheme="minorHAnsi"/>
          <w:lang w:val="en-US"/>
        </w:rPr>
        <w:t>alone, but</w:t>
      </w:r>
      <w:proofErr w:type="gramEnd"/>
      <w:r w:rsidRPr="00B845AF">
        <w:rPr>
          <w:rFonts w:asciiTheme="minorHAnsi" w:hAnsiTheme="minorHAnsi" w:cstheme="minorHAnsi"/>
          <w:lang w:val="en-US"/>
        </w:rPr>
        <w:t xml:space="preserve"> had considered a combined SPC-Japan model (the yellow line), and chose the two most contrasting models for the OM grid since that combined model fell between them and the conditioning model could not accommodate spatially varying growth. After a brief follow-up from Japan on overparameterization, the MI theme co-convener suggested the matter be pursued in the margins.</w:t>
      </w:r>
    </w:p>
    <w:p w14:paraId="4925181C" w14:textId="77777777" w:rsidR="001171EB" w:rsidRPr="00B845AF" w:rsidRDefault="001171EB" w:rsidP="001171EB">
      <w:pPr>
        <w:pStyle w:val="SCtext"/>
        <w:numPr>
          <w:ilvl w:val="0"/>
          <w:numId w:val="0"/>
        </w:numPr>
        <w:rPr>
          <w:rFonts w:asciiTheme="minorHAnsi" w:hAnsiTheme="minorHAnsi" w:cstheme="minorHAnsi"/>
          <w:lang w:val="en-US"/>
        </w:rPr>
      </w:pPr>
    </w:p>
    <w:p w14:paraId="7F6BC343" w14:textId="62C2DB06" w:rsidR="00336978" w:rsidRPr="00B845AF" w:rsidRDefault="005A2796">
      <w:pPr>
        <w:pStyle w:val="SCtext"/>
        <w:rPr>
          <w:rFonts w:asciiTheme="minorHAnsi" w:hAnsiTheme="minorHAnsi" w:cstheme="minorHAnsi"/>
          <w:lang w:val="en-US"/>
        </w:rPr>
      </w:pPr>
      <w:r w:rsidRPr="00B845AF">
        <w:rPr>
          <w:rFonts w:asciiTheme="minorHAnsi" w:hAnsiTheme="minorHAnsi" w:cstheme="minorHAnsi"/>
          <w:lang w:val="en-US"/>
        </w:rPr>
        <w:t>The EU asked whether the OM results assumed a reporting rate of one during the pre-mixing period, noting this had mattered for the bigeye assessment. The SSP confirmed the OM set was based on the 2023 assessment, in which the reporting rate was included within the mixing period, consistent with the approach preferred by the USA.</w:t>
      </w:r>
    </w:p>
    <w:p w14:paraId="398C0848" w14:textId="77777777" w:rsidR="005A2796" w:rsidRPr="00B845AF" w:rsidRDefault="005A2796" w:rsidP="005A2796">
      <w:pPr>
        <w:pStyle w:val="SCtext"/>
        <w:numPr>
          <w:ilvl w:val="0"/>
          <w:numId w:val="0"/>
        </w:numPr>
        <w:rPr>
          <w:rFonts w:asciiTheme="minorHAnsi" w:hAnsiTheme="minorHAnsi" w:cstheme="minorHAnsi"/>
          <w:lang w:val="en-US"/>
        </w:rPr>
      </w:pPr>
    </w:p>
    <w:p w14:paraId="20AA21E0" w14:textId="3A120C80" w:rsidR="005A2796" w:rsidRPr="00B845AF" w:rsidRDefault="005A2796">
      <w:pPr>
        <w:pStyle w:val="SCtext"/>
        <w:rPr>
          <w:rFonts w:asciiTheme="minorHAnsi" w:hAnsiTheme="minorHAnsi" w:cstheme="minorHAnsi"/>
          <w:lang w:val="en-US"/>
        </w:rPr>
      </w:pPr>
      <w:r w:rsidRPr="00B845AF">
        <w:rPr>
          <w:rFonts w:asciiTheme="minorHAnsi" w:eastAsia="MS Mincho" w:hAnsiTheme="minorHAnsi" w:cstheme="minorHAnsi"/>
          <w:lang w:val="en-US" w:eastAsia="ja-JP"/>
        </w:rPr>
        <w:t>Australia, on behalf of the FFA members, thanked the SSP and the government of New Zealand for funding the harvest strategy work, recognized the value of the 2026 assessment for evaluating the OM grid</w:t>
      </w:r>
      <w:r w:rsidR="00B643F9"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 xml:space="preserve">s appropriateness, and supported continued refinement incorporating emerging information, drawing a parallel to tag-treatment uncertainty raised for bigeye. The </w:t>
      </w:r>
      <w:r w:rsidR="00B643F9" w:rsidRPr="00B845AF">
        <w:rPr>
          <w:rFonts w:asciiTheme="minorHAnsi" w:eastAsia="MS Mincho" w:hAnsiTheme="minorHAnsi" w:cstheme="minorHAnsi"/>
          <w:lang w:val="en-US" w:eastAsia="ja-JP"/>
        </w:rPr>
        <w:t>convener</w:t>
      </w:r>
      <w:r w:rsidRPr="00B845AF">
        <w:rPr>
          <w:rFonts w:asciiTheme="minorHAnsi" w:eastAsia="MS Mincho" w:hAnsiTheme="minorHAnsi" w:cstheme="minorHAnsi"/>
          <w:lang w:val="en-US" w:eastAsia="ja-JP"/>
        </w:rPr>
        <w:t xml:space="preserve"> asked when SC22 should finalize the OM grid, given the need to eventually sign off. Australia said this was hard to prejudge, asked that yellowfin be included on the BMW agenda, and indicated it could support the overall direction despite some remaining ambiguity. The</w:t>
      </w:r>
      <w:r w:rsidR="00B643F9" w:rsidRPr="00B845AF">
        <w:rPr>
          <w:rFonts w:asciiTheme="minorHAnsi" w:eastAsia="MS Mincho" w:hAnsiTheme="minorHAnsi" w:cstheme="minorHAnsi"/>
          <w:lang w:val="en-US" w:eastAsia="ja-JP"/>
        </w:rPr>
        <w:t xml:space="preserve"> convener</w:t>
      </w:r>
      <w:r w:rsidRPr="00B845AF">
        <w:rPr>
          <w:rFonts w:asciiTheme="minorHAnsi" w:eastAsia="MS Mincho" w:hAnsiTheme="minorHAnsi" w:cstheme="minorHAnsi"/>
          <w:lang w:val="en-US" w:eastAsia="ja-JP"/>
        </w:rPr>
        <w:t xml:space="preserve"> summarized this as a suggestion that SC22 </w:t>
      </w:r>
      <w:proofErr w:type="gramStart"/>
      <w:r w:rsidRPr="00B845AF">
        <w:rPr>
          <w:rFonts w:asciiTheme="minorHAnsi" w:eastAsia="MS Mincho" w:hAnsiTheme="minorHAnsi" w:cstheme="minorHAnsi"/>
          <w:lang w:val="en-US" w:eastAsia="ja-JP"/>
        </w:rPr>
        <w:t>express</w:t>
      </w:r>
      <w:proofErr w:type="gramEnd"/>
      <w:r w:rsidRPr="00B845AF">
        <w:rPr>
          <w:rFonts w:asciiTheme="minorHAnsi" w:eastAsia="MS Mincho" w:hAnsiTheme="minorHAnsi" w:cstheme="minorHAnsi"/>
          <w:lang w:val="en-US" w:eastAsia="ja-JP"/>
        </w:rPr>
        <w:t xml:space="preserve"> general support for the current structure while asking the SSP to continue work and report back an updated version, taking the comments raised into account.</w:t>
      </w:r>
    </w:p>
    <w:p w14:paraId="79B78B69" w14:textId="77777777" w:rsidR="005A2796" w:rsidRPr="00B845AF" w:rsidRDefault="005A2796" w:rsidP="005A2796">
      <w:pPr>
        <w:pStyle w:val="SCtext"/>
        <w:numPr>
          <w:ilvl w:val="0"/>
          <w:numId w:val="0"/>
        </w:numPr>
        <w:rPr>
          <w:rFonts w:asciiTheme="minorHAnsi" w:hAnsiTheme="minorHAnsi" w:cstheme="minorHAnsi"/>
          <w:lang w:val="en-US"/>
        </w:rPr>
      </w:pPr>
    </w:p>
    <w:p w14:paraId="083D31DD" w14:textId="4319FF80" w:rsidR="005A2796" w:rsidRPr="00B845AF" w:rsidRDefault="00B643F9">
      <w:pPr>
        <w:pStyle w:val="SCtext"/>
        <w:rPr>
          <w:rFonts w:asciiTheme="minorHAnsi" w:hAnsiTheme="minorHAnsi" w:cstheme="minorHAnsi"/>
          <w:lang w:val="en-US"/>
        </w:rPr>
      </w:pPr>
      <w:r w:rsidRPr="00B845AF">
        <w:rPr>
          <w:rFonts w:asciiTheme="minorHAnsi" w:eastAsia="MS Mincho" w:hAnsiTheme="minorHAnsi" w:cstheme="minorHAnsi"/>
          <w:lang w:val="en-US" w:eastAsia="ja-JP"/>
        </w:rPr>
        <w:t>Indonesia asked how yellowfin outcomes from the OMs would be weighed against candidate bigeye MPs if a given MP performed well for bigeye but poorly for yellowfin. The convener called this a difficult</w:t>
      </w:r>
      <w:r w:rsidR="005F3E34"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lang w:val="en-US" w:eastAsia="ja-JP"/>
        </w:rPr>
        <w:t>political question to be addressed through the multi-species MSE work in the next presentation.</w:t>
      </w:r>
    </w:p>
    <w:p w14:paraId="576BB5E7" w14:textId="77777777" w:rsidR="005F3E34" w:rsidRPr="00B845AF" w:rsidRDefault="005F3E34" w:rsidP="005F3E34">
      <w:pPr>
        <w:pStyle w:val="SCtext"/>
        <w:numPr>
          <w:ilvl w:val="0"/>
          <w:numId w:val="0"/>
        </w:numPr>
        <w:rPr>
          <w:rFonts w:asciiTheme="minorHAnsi" w:hAnsiTheme="minorHAnsi" w:cstheme="minorHAnsi"/>
          <w:lang w:val="en-US"/>
        </w:rPr>
      </w:pPr>
    </w:p>
    <w:p w14:paraId="6996391D" w14:textId="420E47A4" w:rsidR="005F3E34" w:rsidRPr="00B845AF" w:rsidRDefault="005F3E34">
      <w:pPr>
        <w:pStyle w:val="SCtext"/>
        <w:rPr>
          <w:rFonts w:asciiTheme="minorHAnsi" w:hAnsiTheme="minorHAnsi" w:cstheme="minorHAnsi"/>
          <w:lang w:val="en-US"/>
        </w:rPr>
      </w:pPr>
      <w:r w:rsidRPr="00B845AF">
        <w:rPr>
          <w:rFonts w:asciiTheme="minorHAnsi" w:hAnsiTheme="minorHAnsi" w:cstheme="minorHAnsi"/>
          <w:lang w:val="en-US"/>
        </w:rPr>
        <w:t>The SSP then stated that the yellowfin situation differed from bigeye, since the current OM grid already captured both the 2023 and 2026 assessments, so S</w:t>
      </w:r>
      <w:r w:rsidR="00CE6B5B" w:rsidRPr="00B845AF">
        <w:rPr>
          <w:rFonts w:asciiTheme="minorHAnsi" w:hAnsiTheme="minorHAnsi" w:cstheme="minorHAnsi"/>
          <w:lang w:val="en-US"/>
        </w:rPr>
        <w:t>SP</w:t>
      </w:r>
      <w:r w:rsidRPr="00B845AF">
        <w:rPr>
          <w:rFonts w:asciiTheme="minorHAnsi" w:hAnsiTheme="minorHAnsi" w:cstheme="minorHAnsi"/>
          <w:lang w:val="en-US"/>
        </w:rPr>
        <w:t xml:space="preserve"> was not seeking to expand the OM range further. The SSP said </w:t>
      </w:r>
      <w:r w:rsidR="00CE6B5B" w:rsidRPr="00B845AF">
        <w:rPr>
          <w:rFonts w:asciiTheme="minorHAnsi" w:hAnsiTheme="minorHAnsi" w:cstheme="minorHAnsi"/>
          <w:lang w:val="en-US"/>
        </w:rPr>
        <w:t xml:space="preserve">it </w:t>
      </w:r>
      <w:r w:rsidRPr="00B845AF">
        <w:rPr>
          <w:rFonts w:asciiTheme="minorHAnsi" w:hAnsiTheme="minorHAnsi" w:cstheme="minorHAnsi"/>
          <w:lang w:val="en-US"/>
        </w:rPr>
        <w:t xml:space="preserve">would be comfortable with SC22 signing off on the current OM grid as displayed, with further uncertainties handled through the </w:t>
      </w:r>
      <w:r w:rsidR="006F47CA" w:rsidRPr="00B845AF">
        <w:rPr>
          <w:rFonts w:asciiTheme="minorHAnsi" w:hAnsiTheme="minorHAnsi" w:cstheme="minorHAnsi"/>
          <w:lang w:val="en-US"/>
        </w:rPr>
        <w:t xml:space="preserve">monitoring programme and </w:t>
      </w:r>
      <w:r w:rsidR="00AE212C" w:rsidRPr="00B845AF">
        <w:rPr>
          <w:rFonts w:asciiTheme="minorHAnsi" w:hAnsiTheme="minorHAnsi" w:cstheme="minorHAnsi"/>
          <w:lang w:val="en-US"/>
        </w:rPr>
        <w:t xml:space="preserve">incorporated within the </w:t>
      </w:r>
      <w:r w:rsidRPr="00B845AF">
        <w:rPr>
          <w:rFonts w:asciiTheme="minorHAnsi" w:hAnsiTheme="minorHAnsi" w:cstheme="minorHAnsi"/>
          <w:lang w:val="en-US"/>
        </w:rPr>
        <w:t>robustness set</w:t>
      </w:r>
      <w:r w:rsidR="00024B18" w:rsidRPr="00B845AF">
        <w:rPr>
          <w:rFonts w:asciiTheme="minorHAnsi" w:hAnsiTheme="minorHAnsi" w:cstheme="minorHAnsi"/>
          <w:lang w:val="en-US"/>
        </w:rPr>
        <w:t xml:space="preserve"> as necessary</w:t>
      </w:r>
      <w:r w:rsidR="00C90775" w:rsidRPr="00B845AF">
        <w:rPr>
          <w:rFonts w:asciiTheme="minorHAnsi" w:hAnsiTheme="minorHAnsi" w:cstheme="minorHAnsi"/>
          <w:lang w:val="en-US"/>
        </w:rPr>
        <w:t>, consistent with the approach for skipjack and South Pacific albacore</w:t>
      </w:r>
      <w:r w:rsidRPr="00B845AF">
        <w:rPr>
          <w:rFonts w:asciiTheme="minorHAnsi" w:hAnsiTheme="minorHAnsi" w:cstheme="minorHAnsi"/>
          <w:lang w:val="en-US"/>
        </w:rPr>
        <w:t>.</w:t>
      </w:r>
    </w:p>
    <w:p w14:paraId="0BE03B3F" w14:textId="344D9E3A" w:rsidR="001A09E8" w:rsidRPr="00B845AF" w:rsidRDefault="001A09E8" w:rsidP="001A09E8">
      <w:pPr>
        <w:pStyle w:val="SCtext"/>
        <w:numPr>
          <w:ilvl w:val="0"/>
          <w:numId w:val="0"/>
        </w:numPr>
        <w:rPr>
          <w:rFonts w:asciiTheme="minorHAnsi" w:hAnsiTheme="minorHAnsi" w:cstheme="minorHAnsi"/>
          <w:lang w:val="en-US"/>
        </w:rPr>
      </w:pPr>
    </w:p>
    <w:p w14:paraId="20BBF5B5" w14:textId="29D43699" w:rsidR="001A09E8" w:rsidRPr="00B845AF" w:rsidRDefault="001A09E8" w:rsidP="001A09E8">
      <w:pPr>
        <w:pStyle w:val="SCDR"/>
        <w:rPr>
          <w:rFonts w:asciiTheme="minorHAnsi" w:hAnsiTheme="minorHAnsi" w:cstheme="minorHAnsi"/>
          <w:lang w:eastAsia="ja-JP"/>
        </w:rPr>
      </w:pPr>
      <w:r w:rsidRPr="00B845AF">
        <w:rPr>
          <w:rFonts w:asciiTheme="minorHAnsi" w:hAnsiTheme="minorHAnsi" w:cstheme="minorHAnsi"/>
          <w:lang w:eastAsia="ja-JP"/>
        </w:rPr>
        <w:lastRenderedPageBreak/>
        <w:t>Outcome</w:t>
      </w:r>
    </w:p>
    <w:p w14:paraId="2C79D8FD" w14:textId="5E01A99F" w:rsidR="001A09E8" w:rsidRPr="00B845AF" w:rsidRDefault="001A09E8">
      <w:pPr>
        <w:pStyle w:val="SCtext"/>
        <w:rPr>
          <w:rFonts w:asciiTheme="minorHAnsi" w:hAnsiTheme="minorHAnsi" w:cstheme="minorHAnsi"/>
          <w:b/>
          <w:bCs/>
          <w:lang w:val="en-US"/>
        </w:rPr>
      </w:pPr>
      <w:r w:rsidRPr="00B845AF">
        <w:rPr>
          <w:rFonts w:asciiTheme="minorHAnsi" w:hAnsiTheme="minorHAnsi" w:cstheme="minorHAnsi"/>
          <w:lang w:val="en-US"/>
        </w:rPr>
        <w:t xml:space="preserve">SC22 noted that the YFT OM grid, which is based on the 2023 stock assessment, was revised in response to the request of SC21 and now covers a wider range of uncertainty in depletion levels. It was also noted that, while the 2026 YFT stock assessment was not reviewed at SC22, the uncertainty range of the 2026 YFT stock assessment was generally within the range of the updated OM grid. Many areas of further work were suggested. </w:t>
      </w:r>
      <w:r w:rsidRPr="00B845AF">
        <w:rPr>
          <w:rFonts w:asciiTheme="minorHAnsi" w:hAnsiTheme="minorHAnsi" w:cstheme="minorHAnsi"/>
          <w:b/>
          <w:bCs/>
          <w:lang w:val="en-US"/>
        </w:rPr>
        <w:t xml:space="preserve">However, SC22 agreed to adopt the YFT OM grid as presented, while additional uncertainties could be identified through the monitoring strategy where necessary, and further evaluation should continue as part of sensitivity or robustness testing, also </w:t>
      </w:r>
      <w:proofErr w:type="gramStart"/>
      <w:r w:rsidRPr="00B845AF">
        <w:rPr>
          <w:rFonts w:asciiTheme="minorHAnsi" w:hAnsiTheme="minorHAnsi" w:cstheme="minorHAnsi"/>
          <w:b/>
          <w:bCs/>
          <w:lang w:val="en-US"/>
        </w:rPr>
        <w:t>taking into account</w:t>
      </w:r>
      <w:proofErr w:type="gramEnd"/>
      <w:r w:rsidRPr="00B845AF">
        <w:rPr>
          <w:rFonts w:asciiTheme="minorHAnsi" w:hAnsiTheme="minorHAnsi" w:cstheme="minorHAnsi"/>
          <w:b/>
          <w:bCs/>
          <w:lang w:val="en-US"/>
        </w:rPr>
        <w:t xml:space="preserve"> of the discussion on the 2026 BET stock assessment.</w:t>
      </w:r>
    </w:p>
    <w:p w14:paraId="1CCC7139" w14:textId="77777777" w:rsidR="00EF7621" w:rsidRPr="00B845AF" w:rsidRDefault="00EF7621" w:rsidP="00EF7621">
      <w:pPr>
        <w:jc w:val="both"/>
        <w:rPr>
          <w:rFonts w:asciiTheme="minorHAnsi" w:eastAsia="Calibri" w:hAnsiTheme="minorHAnsi" w:cstheme="minorHAnsi"/>
          <w:b/>
          <w:szCs w:val="22"/>
        </w:rPr>
      </w:pPr>
    </w:p>
    <w:p w14:paraId="7D875AC2" w14:textId="66442820" w:rsidR="003A2857" w:rsidRPr="00B845AF" w:rsidRDefault="0021165B" w:rsidP="0021165B">
      <w:pPr>
        <w:widowControl w:val="0"/>
        <w:kinsoku w:val="0"/>
        <w:overflowPunct w:val="0"/>
        <w:autoSpaceDE w:val="0"/>
        <w:autoSpaceDN w:val="0"/>
        <w:adjustRightInd w:val="0"/>
        <w:snapToGrid w:val="0"/>
        <w:jc w:val="both"/>
        <w:rPr>
          <w:rFonts w:asciiTheme="minorHAnsi" w:hAnsiTheme="minorHAnsi" w:cstheme="minorHAnsi"/>
          <w:b/>
          <w:bCs/>
          <w:szCs w:val="22"/>
        </w:rPr>
      </w:pPr>
      <w:r w:rsidRPr="00B845AF">
        <w:rPr>
          <w:rFonts w:asciiTheme="minorHAnsi" w:hAnsiTheme="minorHAnsi" w:cstheme="minorHAnsi"/>
          <w:b/>
          <w:bCs/>
          <w:szCs w:val="22"/>
        </w:rPr>
        <w:t>5.1.2.2</w:t>
      </w:r>
      <w:r w:rsidRPr="00B845AF">
        <w:rPr>
          <w:rFonts w:asciiTheme="minorHAnsi" w:hAnsiTheme="minorHAnsi" w:cstheme="minorHAnsi"/>
          <w:b/>
          <w:bCs/>
          <w:szCs w:val="22"/>
        </w:rPr>
        <w:tab/>
      </w:r>
      <w:r w:rsidR="00B65F99" w:rsidRPr="00B845AF">
        <w:rPr>
          <w:rFonts w:asciiTheme="minorHAnsi" w:hAnsiTheme="minorHAnsi" w:cstheme="minorHAnsi"/>
          <w:b/>
          <w:bCs/>
          <w:szCs w:val="22"/>
        </w:rPr>
        <w:t>Yellowfin outcome evaluations</w:t>
      </w:r>
    </w:p>
    <w:p w14:paraId="4CB1C02F" w14:textId="77777777" w:rsidR="003A2857" w:rsidRPr="00B845AF" w:rsidRDefault="003A2857" w:rsidP="003A2857">
      <w:pPr>
        <w:pStyle w:val="ListParagraph"/>
        <w:widowControl w:val="0"/>
        <w:kinsoku w:val="0"/>
        <w:overflowPunct w:val="0"/>
        <w:autoSpaceDE w:val="0"/>
        <w:autoSpaceDN w:val="0"/>
        <w:adjustRightInd w:val="0"/>
        <w:snapToGrid w:val="0"/>
        <w:ind w:left="1440"/>
        <w:jc w:val="both"/>
        <w:rPr>
          <w:rFonts w:asciiTheme="minorHAnsi" w:hAnsiTheme="minorHAnsi" w:cstheme="minorHAnsi"/>
          <w:szCs w:val="22"/>
        </w:rPr>
      </w:pPr>
    </w:p>
    <w:p w14:paraId="38DE1D37" w14:textId="77777777" w:rsidR="00B84DCF" w:rsidRPr="00B845AF" w:rsidRDefault="00B84DCF">
      <w:pPr>
        <w:pStyle w:val="SCtext"/>
        <w:rPr>
          <w:rFonts w:asciiTheme="minorHAnsi" w:hAnsiTheme="minorHAnsi" w:cstheme="minorHAnsi"/>
          <w:lang w:val="en-US"/>
        </w:rPr>
      </w:pPr>
      <w:r w:rsidRPr="00B845AF">
        <w:rPr>
          <w:rFonts w:asciiTheme="minorHAnsi" w:hAnsiTheme="minorHAnsi" w:cstheme="minorHAnsi"/>
          <w:lang w:val="en-US"/>
        </w:rPr>
        <w:t xml:space="preserve">The SSP presented </w:t>
      </w:r>
      <w:hyperlink r:id="rId73" w:history="1">
        <w:r w:rsidRPr="00B845AF">
          <w:rPr>
            <w:rStyle w:val="Hyperlink"/>
            <w:rFonts w:asciiTheme="minorHAnsi" w:hAnsiTheme="minorHAnsi" w:cstheme="minorHAnsi"/>
            <w:lang w:val="en-US"/>
          </w:rPr>
          <w:t>WCPFC-SC22-2026-MI-WP06</w:t>
        </w:r>
      </w:hyperlink>
      <w:r w:rsidRPr="00B845AF">
        <w:rPr>
          <w:rFonts w:asciiTheme="minorHAnsi" w:hAnsiTheme="minorHAnsi" w:cstheme="minorHAnsi"/>
          <w:lang w:val="en-US"/>
        </w:rPr>
        <w:t xml:space="preserve"> on preliminary yellowfin outcomes under the WCPFC mixed fishery harvest strategy approach, noting there is no MP that explicitly manages yellowfin, so outcomes were evaluated against the default CMM 2025-02 objective (average spawning biomass depletion ratio for 2012-2015) under four illustrative bigeye MP scenarios (lower/upper TRP paired with FAD-favored/longline-favored HCRs), with skipjack, South Pacific albacore, and other fishery effort levels held at specified historical or MP-consistent levels. </w:t>
      </w:r>
    </w:p>
    <w:p w14:paraId="589763C1" w14:textId="77777777" w:rsidR="00B84DCF" w:rsidRPr="00B845AF" w:rsidRDefault="00B84DCF" w:rsidP="00B84DCF">
      <w:pPr>
        <w:pStyle w:val="SCtext"/>
        <w:numPr>
          <w:ilvl w:val="0"/>
          <w:numId w:val="0"/>
        </w:numPr>
        <w:rPr>
          <w:rFonts w:asciiTheme="minorHAnsi" w:hAnsiTheme="minorHAnsi" w:cstheme="minorHAnsi"/>
          <w:lang w:val="en-US"/>
        </w:rPr>
      </w:pPr>
    </w:p>
    <w:p w14:paraId="5EEBD6F3" w14:textId="5F3B0DF2" w:rsidR="003A2857" w:rsidRPr="00B845AF" w:rsidRDefault="00B84DCF" w:rsidP="00B84DCF">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Results showed median long-term SB/SBF=0 sitting between the bigeye TRP and LRP across all four scenarios, with yellowfin remaining above the LRP with at least 95% probability but above the TRP only 9% to 25% of the time. Longline yellowfin catches were significantly higher under lower bigeye TRP MPs due to increased longline effort, while purse seine catches showed little variation across scenarios; expected vulnerable biomass was lower than 2019-2021 averages for both gear types. The SSP concluded that yellowfin is expected to stay above the LRP with greater than 80% probability, that the 2012-2015 depletion objective cannot be met under the scenarios tested, and that bigeye TRP choice has the greatest effect on longline yellowfin catches. Performance indicators for effort variability and MSY remain pending further MSE development. The SSP invited SC22 to endorse the evaluation approach, note the expected yellowfin outcomes under adopted and potential MPs, note that the current objective cannot be met across the bigeye TRP range considered, provide feedback on the indicators used, and note that evaluations may be updated and resubmitted for BMW02.</w:t>
      </w:r>
    </w:p>
    <w:p w14:paraId="7792E151" w14:textId="58DAC98D" w:rsidR="005E06E3" w:rsidRPr="00B845AF" w:rsidRDefault="005E06E3" w:rsidP="005E06E3">
      <w:pPr>
        <w:pStyle w:val="SCtext"/>
        <w:numPr>
          <w:ilvl w:val="0"/>
          <w:numId w:val="0"/>
        </w:numPr>
        <w:rPr>
          <w:rFonts w:asciiTheme="minorHAnsi" w:hAnsiTheme="minorHAnsi" w:cstheme="minorHAnsi"/>
          <w:lang w:val="en-US"/>
        </w:rPr>
      </w:pPr>
    </w:p>
    <w:p w14:paraId="5C72FA11" w14:textId="024EF676" w:rsidR="005E06E3" w:rsidRPr="00B845AF" w:rsidRDefault="005E06E3" w:rsidP="005E06E3">
      <w:pPr>
        <w:pStyle w:val="SCDR"/>
        <w:rPr>
          <w:rFonts w:asciiTheme="minorHAnsi" w:hAnsiTheme="minorHAnsi" w:cstheme="minorHAnsi"/>
        </w:rPr>
      </w:pPr>
      <w:r w:rsidRPr="00B845AF">
        <w:rPr>
          <w:rFonts w:asciiTheme="minorHAnsi" w:hAnsiTheme="minorHAnsi" w:cstheme="minorHAnsi"/>
        </w:rPr>
        <w:t>Discussion</w:t>
      </w:r>
    </w:p>
    <w:p w14:paraId="62C9DB4D" w14:textId="11BD6634" w:rsidR="005E06E3" w:rsidRPr="00B845AF" w:rsidRDefault="00AE6AE1">
      <w:pPr>
        <w:pStyle w:val="SCtext"/>
        <w:rPr>
          <w:rFonts w:asciiTheme="minorHAnsi" w:hAnsiTheme="minorHAnsi" w:cstheme="minorHAnsi"/>
          <w:lang w:val="en-US"/>
        </w:rPr>
      </w:pPr>
      <w:r w:rsidRPr="00B845AF">
        <w:rPr>
          <w:rFonts w:asciiTheme="minorHAnsi" w:hAnsiTheme="minorHAnsi" w:cstheme="minorHAnsi"/>
          <w:lang w:val="en-US"/>
        </w:rPr>
        <w:t>The convener asked the SSP to clarify why the FAD closure period varies according to the bigeye MP scenario. The SSP explained that illustrative bigeye MPs had to be selected to progress the yellowfin projections, and since the bigeye MP controls the FAD closure period, that same setting was carried through into the yellowfin projections.</w:t>
      </w:r>
    </w:p>
    <w:p w14:paraId="1B025C07" w14:textId="262777B0" w:rsidR="005E06E3" w:rsidRPr="00B845AF" w:rsidRDefault="005E06E3" w:rsidP="005E06E3">
      <w:pPr>
        <w:pStyle w:val="SCtext"/>
        <w:numPr>
          <w:ilvl w:val="0"/>
          <w:numId w:val="0"/>
        </w:numPr>
        <w:rPr>
          <w:rFonts w:asciiTheme="minorHAnsi" w:hAnsiTheme="minorHAnsi" w:cstheme="minorHAnsi"/>
          <w:lang w:val="en-US"/>
        </w:rPr>
      </w:pPr>
    </w:p>
    <w:p w14:paraId="7EBB1BB2" w14:textId="2778D25D" w:rsidR="005E06E3" w:rsidRPr="00B845AF" w:rsidRDefault="00AE6AE1">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convener noted this raised a broader question, following Indonesia’s earlier question, about the relationship between the bigeye MP and yellowfin outcomes, and observed that depending on the bigeye measure chosen, the impact on yellowfin catch and stock status would differ, raising the question of whether this information should be included as a bigeye performance indicator or otherwise presented to the BMW. The SSP responded that this analysis forms the final part of the evaluation for the mixed fishery </w:t>
      </w:r>
      <w:proofErr w:type="gramStart"/>
      <w:r w:rsidRPr="00B845AF">
        <w:rPr>
          <w:rFonts w:asciiTheme="minorHAnsi" w:eastAsia="MS Mincho" w:hAnsiTheme="minorHAnsi" w:cstheme="minorHAnsi"/>
          <w:lang w:val="en-US" w:eastAsia="ja-JP"/>
        </w:rPr>
        <w:t>framework, and</w:t>
      </w:r>
      <w:proofErr w:type="gramEnd"/>
      <w:r w:rsidRPr="00B845AF">
        <w:rPr>
          <w:rFonts w:asciiTheme="minorHAnsi" w:eastAsia="MS Mincho" w:hAnsiTheme="minorHAnsi" w:cstheme="minorHAnsi"/>
          <w:lang w:val="en-US" w:eastAsia="ja-JP"/>
        </w:rPr>
        <w:t xml:space="preserve"> noted that while FAD closure timing had been explicitly accounted for in the simulation naming, the FAD versus free-school effort split makes much less difference to yellowfin stock status than it does for bigeye. The convener agreed this was useful information to capture in the </w:t>
      </w:r>
      <w:proofErr w:type="gramStart"/>
      <w:r w:rsidRPr="00B845AF">
        <w:rPr>
          <w:rFonts w:asciiTheme="minorHAnsi" w:eastAsia="MS Mincho" w:hAnsiTheme="minorHAnsi" w:cstheme="minorHAnsi"/>
          <w:lang w:val="en-US" w:eastAsia="ja-JP"/>
        </w:rPr>
        <w:t xml:space="preserve">report, </w:t>
      </w:r>
      <w:r w:rsidRPr="00B845AF">
        <w:rPr>
          <w:rFonts w:asciiTheme="minorHAnsi" w:eastAsia="MS Mincho" w:hAnsiTheme="minorHAnsi" w:cstheme="minorHAnsi"/>
          <w:lang w:val="en-US" w:eastAsia="ja-JP"/>
        </w:rPr>
        <w:lastRenderedPageBreak/>
        <w:t>and</w:t>
      </w:r>
      <w:proofErr w:type="gramEnd"/>
      <w:r w:rsidRPr="00B845AF">
        <w:rPr>
          <w:rFonts w:asciiTheme="minorHAnsi" w:eastAsia="MS Mincho" w:hAnsiTheme="minorHAnsi" w:cstheme="minorHAnsi"/>
          <w:lang w:val="en-US" w:eastAsia="ja-JP"/>
        </w:rPr>
        <w:t xml:space="preserve"> observed that total longline and purse seine effort would not change even if the FAD/free-school distribution did.</w:t>
      </w:r>
    </w:p>
    <w:p w14:paraId="2A7B9631" w14:textId="1CF6759B" w:rsidR="005E06E3" w:rsidRPr="00B845AF" w:rsidRDefault="005E06E3" w:rsidP="005E06E3">
      <w:pPr>
        <w:pStyle w:val="SCtext"/>
        <w:numPr>
          <w:ilvl w:val="0"/>
          <w:numId w:val="0"/>
        </w:numPr>
        <w:rPr>
          <w:rFonts w:asciiTheme="minorHAnsi" w:hAnsiTheme="minorHAnsi" w:cstheme="minorHAnsi"/>
          <w:lang w:val="en-US"/>
        </w:rPr>
      </w:pPr>
    </w:p>
    <w:p w14:paraId="2ECA2B93" w14:textId="3DA4A6E4" w:rsidR="005E06E3" w:rsidRPr="00B845AF" w:rsidRDefault="000A4091">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SSP reminded SC22 that the Commission had agreed a staged approach to adopting bigeye and yellowfin TRPs, such that adoption of the bigeye TRP would inform identification of a corresponding yellowfin TRP. The convener asked plainly whether SC22 wished to provide this yellowfin information to the BMW, and, receiving agreement, indicated the BMW organizers would determine how to incorporate it, on the understanding that SC22 was satisfied with how the FAD closure period had been simulated and that its impact on yellowfin stock status was not substantial.</w:t>
      </w:r>
    </w:p>
    <w:p w14:paraId="41F3B005" w14:textId="354F23FF" w:rsidR="005E06E3" w:rsidRPr="00B845AF" w:rsidRDefault="005E06E3" w:rsidP="005E06E3">
      <w:pPr>
        <w:pStyle w:val="SCtext"/>
        <w:numPr>
          <w:ilvl w:val="0"/>
          <w:numId w:val="0"/>
        </w:numPr>
        <w:rPr>
          <w:rFonts w:asciiTheme="minorHAnsi" w:hAnsiTheme="minorHAnsi" w:cstheme="minorHAnsi"/>
          <w:lang w:val="en-US"/>
        </w:rPr>
      </w:pPr>
    </w:p>
    <w:p w14:paraId="0ACB585F" w14:textId="68339368" w:rsidR="005E06E3" w:rsidRPr="00B845AF" w:rsidRDefault="000A4091">
      <w:pPr>
        <w:pStyle w:val="SCtext"/>
        <w:rPr>
          <w:rFonts w:asciiTheme="minorHAnsi" w:hAnsiTheme="minorHAnsi" w:cstheme="minorHAnsi"/>
          <w:lang w:val="en-US"/>
        </w:rPr>
      </w:pPr>
      <w:r w:rsidRPr="00B845AF">
        <w:rPr>
          <w:rFonts w:asciiTheme="minorHAnsi" w:eastAsia="MS Mincho" w:hAnsiTheme="minorHAnsi" w:cstheme="minorHAnsi"/>
          <w:lang w:val="en-US" w:eastAsia="ja-JP"/>
        </w:rPr>
        <w:t>Australia stated that, despite the difficulty of reaching definitive conclusions given the sequencing SPC had outlined, it was preferable to discuss these dependencies at the BMW rather than not discuss them, particularly since the BMW is a broader management discussion rather than a purely scientific one, and suggested SC22 leave it to the SSP to determine an appropriate level of further work while keeping the issue on the table for the bigeye discussion.</w:t>
      </w:r>
    </w:p>
    <w:p w14:paraId="7519AF98" w14:textId="68CCD096" w:rsidR="005E06E3" w:rsidRPr="00B845AF" w:rsidRDefault="005E06E3" w:rsidP="005E06E3">
      <w:pPr>
        <w:pStyle w:val="SCtext"/>
        <w:numPr>
          <w:ilvl w:val="0"/>
          <w:numId w:val="0"/>
        </w:numPr>
        <w:rPr>
          <w:rFonts w:asciiTheme="minorHAnsi" w:hAnsiTheme="minorHAnsi" w:cstheme="minorHAnsi"/>
          <w:lang w:val="en-US"/>
        </w:rPr>
      </w:pPr>
    </w:p>
    <w:p w14:paraId="3F5B22FD" w14:textId="64360A7D" w:rsidR="005E06E3" w:rsidRPr="00B845AF" w:rsidRDefault="005553CF">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convener then returned to the earlier question of whether to adopt the yellowfin OM grid, noting this decision has a fundamental bearing on the BMW discussion, since the yellowfin biomass corresponding to any given bigeye TRP choice depends on the OM used, meaning OM selection could effectively influence the target level reached. The convener stated a general preference to adopt the OM grid to move things forward, while acknowledging points raised by Australia and the EU regarding the latest stock assessment that would need further discussion, and proposed adopting the OM grid with further work to follow, taking those points into account. Hearing no objection, the convener confirmed SC22 would adopt the OM grid as presented, with further sensitivity or robustness testing to follow, on the understanding the position remains open to renegotiation if a critical issue is found. The convener asked the SSP to provide the relevant information to the BMW and recommended that sufficient time be allotted at the BMW for this discussion.</w:t>
      </w:r>
    </w:p>
    <w:p w14:paraId="083D3F0C" w14:textId="30A85679" w:rsidR="000F3AB3" w:rsidRPr="00B845AF" w:rsidRDefault="000F3AB3" w:rsidP="000F3AB3">
      <w:pPr>
        <w:pStyle w:val="SCtext"/>
        <w:numPr>
          <w:ilvl w:val="0"/>
          <w:numId w:val="0"/>
        </w:numPr>
        <w:rPr>
          <w:rFonts w:asciiTheme="minorHAnsi" w:eastAsia="MS Mincho" w:hAnsiTheme="minorHAnsi" w:cstheme="minorHAnsi"/>
          <w:lang w:val="en-US" w:eastAsia="ja-JP"/>
        </w:rPr>
      </w:pPr>
    </w:p>
    <w:p w14:paraId="450A32C1" w14:textId="540CDCB9" w:rsidR="000F3AB3" w:rsidRPr="00B845AF" w:rsidRDefault="000F3AB3" w:rsidP="000F3AB3">
      <w:pPr>
        <w:pStyle w:val="SCDR"/>
        <w:rPr>
          <w:rFonts w:asciiTheme="minorHAnsi" w:hAnsiTheme="minorHAnsi" w:cstheme="minorHAnsi"/>
          <w:lang w:eastAsia="ko-KR"/>
        </w:rPr>
      </w:pPr>
      <w:r w:rsidRPr="00B845AF">
        <w:rPr>
          <w:rFonts w:asciiTheme="minorHAnsi" w:hAnsiTheme="minorHAnsi" w:cstheme="minorHAnsi"/>
          <w:lang w:eastAsia="ja-JP"/>
        </w:rPr>
        <w:t>Outcomes</w:t>
      </w:r>
    </w:p>
    <w:p w14:paraId="693653B4" w14:textId="1A227FC1" w:rsidR="000F3AB3" w:rsidRPr="00B845AF" w:rsidRDefault="000F3AB3">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noted that there is no specific MP for YFT and that, under the mixed fishery approach, YFT will be managed implicitly through the MPs of SKJ, BET and SPA. However, it is still required to test outcomes for YFT to ensure the stock remains sustainable and management objectives for YFT are achieved. </w:t>
      </w:r>
      <w:r w:rsidRPr="00B845AF">
        <w:rPr>
          <w:rFonts w:asciiTheme="minorHAnsi" w:hAnsiTheme="minorHAnsi" w:cstheme="minorHAnsi"/>
          <w:lang w:val="en-US"/>
        </w:rPr>
        <w:t>The YFT MSE is simulated using the YFT OM and output from SKJ, BET, and SPALB MPs. It was noted that the PS effort level is assumed constant because the impact of PS on the YFT stock is almost the same between FADs set and free-school set</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and overall effort is defined through the SKJ MP and currently assumed to be constant in YFT MSE testings.</w:t>
      </w:r>
    </w:p>
    <w:p w14:paraId="0EEBEA53" w14:textId="77777777" w:rsidR="000F3AB3" w:rsidRPr="00B845AF" w:rsidRDefault="000F3AB3" w:rsidP="000F3AB3">
      <w:pPr>
        <w:pStyle w:val="SCtext"/>
        <w:numPr>
          <w:ilvl w:val="0"/>
          <w:numId w:val="0"/>
        </w:numPr>
        <w:rPr>
          <w:rFonts w:asciiTheme="minorHAnsi" w:hAnsiTheme="minorHAnsi" w:cstheme="minorHAnsi"/>
          <w:b/>
          <w:bCs/>
          <w:lang w:val="en-US"/>
        </w:rPr>
      </w:pPr>
    </w:p>
    <w:p w14:paraId="61A6B7C5" w14:textId="0E860E67" w:rsidR="000F3AB3" w:rsidRPr="00B845AF" w:rsidRDefault="000F3AB3">
      <w:pPr>
        <w:pStyle w:val="SCtext"/>
        <w:rPr>
          <w:rFonts w:asciiTheme="minorHAnsi" w:hAnsiTheme="minorHAnsi" w:cstheme="minorHAnsi"/>
          <w:b/>
          <w:bCs/>
          <w:lang w:val="en-US"/>
        </w:rPr>
      </w:pPr>
      <w:r w:rsidRPr="00B845AF">
        <w:rPr>
          <w:rFonts w:asciiTheme="minorHAnsi" w:hAnsiTheme="minorHAnsi" w:cstheme="minorHAnsi"/>
          <w:lang w:val="en-US"/>
        </w:rPr>
        <w:t>SC22 noted that the BET MP output will change both the tropical LL effort level and the ratio of PS effort allocated between associated and free-school sets which can impact the YFT stock level. It was also noted that no current BET candidate MP will achieve the interim target of YFT (SB/SB2</w:t>
      </w:r>
      <w:r w:rsidRPr="00B845AF">
        <w:rPr>
          <w:rFonts w:asciiTheme="minorHAnsi" w:hAnsiTheme="minorHAnsi" w:cstheme="minorHAnsi"/>
          <w:vertAlign w:val="subscript"/>
          <w:lang w:val="en-US"/>
        </w:rPr>
        <w:t>F-0, 012-2015</w:t>
      </w:r>
      <w:r w:rsidRPr="00B845AF">
        <w:rPr>
          <w:rFonts w:asciiTheme="minorHAnsi" w:hAnsiTheme="minorHAnsi" w:cstheme="minorHAnsi"/>
          <w:lang w:val="en-US"/>
        </w:rPr>
        <w:t xml:space="preserve">), as was reported to the Commission previously. </w:t>
      </w:r>
      <w:r w:rsidRPr="00B845AF">
        <w:rPr>
          <w:rFonts w:asciiTheme="minorHAnsi" w:hAnsiTheme="minorHAnsi" w:cstheme="minorHAnsi"/>
          <w:b/>
          <w:bCs/>
          <w:lang w:val="en-US"/>
        </w:rPr>
        <w:t xml:space="preserve">SC22 supported the YFT MSE framework as presented by the SSP and advised them presenting the results to BMW02.  As the choice of BET MP affects the YFT stock level and </w:t>
      </w:r>
      <w:r w:rsidR="004E2763" w:rsidRPr="00B845AF">
        <w:rPr>
          <w:rFonts w:asciiTheme="minorHAnsi" w:hAnsiTheme="minorHAnsi" w:cstheme="minorHAnsi"/>
          <w:b/>
          <w:bCs/>
          <w:lang w:val="en-US"/>
        </w:rPr>
        <w:t>vice versa</w:t>
      </w:r>
      <w:r w:rsidRPr="00B845AF">
        <w:rPr>
          <w:rFonts w:asciiTheme="minorHAnsi" w:hAnsiTheme="minorHAnsi" w:cstheme="minorHAnsi"/>
          <w:b/>
          <w:bCs/>
          <w:lang w:val="en-US"/>
        </w:rPr>
        <w:t>, SC22 advised BMW02 to take the YFT MSE results into consideration when discussing BET MSE.</w:t>
      </w:r>
    </w:p>
    <w:p w14:paraId="76628DA7" w14:textId="77777777" w:rsidR="00F30241" w:rsidRPr="00B845AF" w:rsidRDefault="00F30241" w:rsidP="009A74D6">
      <w:pPr>
        <w:pStyle w:val="SCtext"/>
        <w:numPr>
          <w:ilvl w:val="0"/>
          <w:numId w:val="0"/>
        </w:numPr>
        <w:rPr>
          <w:rFonts w:asciiTheme="minorHAnsi" w:hAnsiTheme="minorHAnsi" w:cstheme="minorHAnsi"/>
          <w:lang w:val="en-US"/>
        </w:rPr>
      </w:pPr>
    </w:p>
    <w:p w14:paraId="142D1482" w14:textId="7CBC4874" w:rsidR="003A2857" w:rsidRPr="00B845AF" w:rsidRDefault="00E450A0">
      <w:pPr>
        <w:pStyle w:val="SC3"/>
        <w:rPr>
          <w:rFonts w:asciiTheme="minorHAnsi" w:hAnsiTheme="minorHAnsi" w:cstheme="minorHAnsi"/>
        </w:rPr>
      </w:pPr>
      <w:bookmarkStart w:id="53" w:name="_Hlk237509349"/>
      <w:r w:rsidRPr="00B845AF">
        <w:rPr>
          <w:rFonts w:asciiTheme="minorHAnsi" w:hAnsiTheme="minorHAnsi" w:cstheme="minorHAnsi"/>
        </w:rPr>
        <w:lastRenderedPageBreak/>
        <w:t>South Pacific albacore harvest strategy</w:t>
      </w:r>
    </w:p>
    <w:p w14:paraId="207876E7" w14:textId="776B8C9B" w:rsidR="003A2857" w:rsidRPr="00B845AF" w:rsidRDefault="0021165B" w:rsidP="0021165B">
      <w:pPr>
        <w:widowControl w:val="0"/>
        <w:kinsoku w:val="0"/>
        <w:overflowPunct w:val="0"/>
        <w:autoSpaceDE w:val="0"/>
        <w:autoSpaceDN w:val="0"/>
        <w:adjustRightInd w:val="0"/>
        <w:snapToGrid w:val="0"/>
        <w:jc w:val="both"/>
        <w:rPr>
          <w:rFonts w:asciiTheme="minorHAnsi" w:eastAsiaTheme="minorEastAsia" w:hAnsiTheme="minorHAnsi" w:cstheme="minorHAnsi"/>
          <w:b/>
          <w:szCs w:val="22"/>
          <w:lang w:eastAsia="ko-KR"/>
        </w:rPr>
      </w:pPr>
      <w:bookmarkStart w:id="54" w:name="_Hlk197500828"/>
      <w:bookmarkStart w:id="55" w:name="_Hlk197500801"/>
      <w:r w:rsidRPr="00B845AF">
        <w:rPr>
          <w:rFonts w:asciiTheme="minorHAnsi" w:eastAsiaTheme="minorEastAsia" w:hAnsiTheme="minorHAnsi" w:cstheme="minorHAnsi"/>
          <w:b/>
          <w:szCs w:val="22"/>
          <w:lang w:eastAsia="ko-KR"/>
        </w:rPr>
        <w:t>5.1.3.1</w:t>
      </w:r>
      <w:r w:rsidRPr="00B845AF">
        <w:rPr>
          <w:rFonts w:asciiTheme="minorHAnsi" w:eastAsiaTheme="minorEastAsia" w:hAnsiTheme="minorHAnsi" w:cstheme="minorHAnsi"/>
          <w:b/>
          <w:szCs w:val="22"/>
          <w:lang w:eastAsia="ko-KR"/>
        </w:rPr>
        <w:tab/>
      </w:r>
      <w:r w:rsidR="00E450A0" w:rsidRPr="00B845AF">
        <w:rPr>
          <w:rFonts w:asciiTheme="minorHAnsi" w:eastAsiaTheme="minorEastAsia" w:hAnsiTheme="minorHAnsi" w:cstheme="minorHAnsi"/>
          <w:b/>
          <w:szCs w:val="22"/>
          <w:lang w:eastAsia="ko-KR"/>
        </w:rPr>
        <w:t>South Pacific albacore management procedure - run</w:t>
      </w:r>
    </w:p>
    <w:p w14:paraId="26A2B1A0" w14:textId="77777777" w:rsidR="00646EB3" w:rsidRPr="00B845AF" w:rsidRDefault="00646EB3" w:rsidP="00646EB3">
      <w:pPr>
        <w:pStyle w:val="ListParagraph"/>
        <w:widowControl w:val="0"/>
        <w:kinsoku w:val="0"/>
        <w:overflowPunct w:val="0"/>
        <w:autoSpaceDE w:val="0"/>
        <w:autoSpaceDN w:val="0"/>
        <w:adjustRightInd w:val="0"/>
        <w:snapToGrid w:val="0"/>
        <w:ind w:left="1080"/>
        <w:jc w:val="both"/>
        <w:rPr>
          <w:rFonts w:asciiTheme="minorHAnsi" w:eastAsiaTheme="minorEastAsia" w:hAnsiTheme="minorHAnsi" w:cstheme="minorHAnsi"/>
          <w:b/>
          <w:szCs w:val="22"/>
          <w:lang w:eastAsia="ko-KR"/>
        </w:rPr>
      </w:pPr>
    </w:p>
    <w:p w14:paraId="14984C6A" w14:textId="6583B6AA" w:rsidR="00CA6646" w:rsidRPr="00B845AF" w:rsidRDefault="00CA6646">
      <w:pPr>
        <w:pStyle w:val="SCtext"/>
        <w:rPr>
          <w:rFonts w:asciiTheme="minorHAnsi" w:hAnsiTheme="minorHAnsi" w:cstheme="minorHAnsi"/>
          <w:lang w:val="en-US"/>
        </w:rPr>
      </w:pPr>
      <w:r w:rsidRPr="00B845AF">
        <w:rPr>
          <w:rFonts w:asciiTheme="minorHAnsi" w:hAnsiTheme="minorHAnsi" w:cstheme="minorHAnsi"/>
          <w:lang w:val="en-US"/>
        </w:rPr>
        <w:t>N. Yao (SPC-OFP)</w:t>
      </w:r>
      <w:r w:rsidR="00E87C2E" w:rsidRPr="00B845AF">
        <w:rPr>
          <w:rFonts w:asciiTheme="minorHAnsi" w:hAnsiTheme="minorHAnsi" w:cstheme="minorHAnsi"/>
          <w:lang w:val="en-US"/>
        </w:rPr>
        <w:t xml:space="preserve"> presented </w:t>
      </w:r>
      <w:hyperlink r:id="rId74" w:history="1">
        <w:r w:rsidR="00E87C2E" w:rsidRPr="00B845AF">
          <w:rPr>
            <w:rStyle w:val="Hyperlink"/>
            <w:rFonts w:asciiTheme="minorHAnsi" w:hAnsiTheme="minorHAnsi" w:cstheme="minorHAnsi"/>
            <w:lang w:val="en-US"/>
          </w:rPr>
          <w:t>WCPFC-SC22-2026-MI-WP07</w:t>
        </w:r>
      </w:hyperlink>
      <w:r w:rsidR="00E87C2E" w:rsidRPr="00B845AF">
        <w:rPr>
          <w:rFonts w:asciiTheme="minorHAnsi" w:hAnsiTheme="minorHAnsi" w:cstheme="minorHAnsi"/>
          <w:lang w:val="en-US"/>
        </w:rPr>
        <w:t xml:space="preserve">, </w:t>
      </w:r>
      <w:r w:rsidR="005D1450" w:rsidRPr="00B845AF">
        <w:rPr>
          <w:rFonts w:asciiTheme="minorHAnsi" w:hAnsiTheme="minorHAnsi" w:cstheme="minorHAnsi"/>
          <w:lang w:val="en-US"/>
        </w:rPr>
        <w:t xml:space="preserve">reporting results of the South Pacific albacore MP run using updated data through 2024, per CMM 2025-01. </w:t>
      </w:r>
    </w:p>
    <w:p w14:paraId="05116350" w14:textId="77777777" w:rsidR="00CA6646" w:rsidRPr="00B845AF" w:rsidRDefault="00CA6646" w:rsidP="00CA6646">
      <w:pPr>
        <w:pStyle w:val="SCtext"/>
        <w:numPr>
          <w:ilvl w:val="0"/>
          <w:numId w:val="0"/>
        </w:numPr>
        <w:rPr>
          <w:rFonts w:asciiTheme="minorHAnsi" w:hAnsiTheme="minorHAnsi" w:cstheme="minorHAnsi"/>
          <w:lang w:val="en-US"/>
        </w:rPr>
      </w:pPr>
    </w:p>
    <w:p w14:paraId="39226F9D" w14:textId="4031E3C0" w:rsidR="004C45F0" w:rsidRPr="00B845AF" w:rsidRDefault="005A15A5" w:rsidP="005A15A5">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adopted South Pacific albacore MP was run with updated data through 2024 in accordance with CMM 2025-01 to determine catch limit for 2027–2029. All required input data were available, and no substantial difference was observed between the input for the MP and the dry run. The estimation method converged successfully with no major diagnostic issues, producing a relative stock status metric of 1.2698; application of the adopted harvest control rule resulted in an annual catch limit of 56,096 mt for longline and troll fisheries operating south of 10°S in the WCPFC Convention Area, excluding the EEZs of Tokelau and Tuvalu. Although the representativeness and spatial coverage of CPUE input data in the EPO remain relevant to the monitoring strategy. SC22 is invited to note the results, provide feedback through the South Pacific albacore monitoring strategy, and advise WCPFC23 that the annual catch limit for 2027–2029 should be set at 56,096 mt.</w:t>
      </w:r>
    </w:p>
    <w:p w14:paraId="7312330A" w14:textId="77777777" w:rsidR="004C45F0" w:rsidRPr="00B845AF" w:rsidRDefault="004C45F0" w:rsidP="004C45F0">
      <w:pPr>
        <w:pStyle w:val="SCtext"/>
        <w:numPr>
          <w:ilvl w:val="0"/>
          <w:numId w:val="0"/>
        </w:numPr>
        <w:rPr>
          <w:rFonts w:asciiTheme="minorHAnsi" w:hAnsiTheme="minorHAnsi" w:cstheme="minorHAnsi"/>
          <w:lang w:val="en-US"/>
        </w:rPr>
      </w:pPr>
    </w:p>
    <w:p w14:paraId="04ECE401" w14:textId="733A557B" w:rsidR="00FF2CCA" w:rsidRPr="00B845AF" w:rsidRDefault="00FF2CCA" w:rsidP="00FF2CCA">
      <w:pPr>
        <w:pStyle w:val="SCDR"/>
        <w:rPr>
          <w:rFonts w:asciiTheme="minorHAnsi" w:hAnsiTheme="minorHAnsi" w:cstheme="minorHAnsi"/>
        </w:rPr>
      </w:pPr>
      <w:r w:rsidRPr="00B845AF">
        <w:rPr>
          <w:rFonts w:asciiTheme="minorHAnsi" w:hAnsiTheme="minorHAnsi" w:cstheme="minorHAnsi"/>
        </w:rPr>
        <w:t>Discussion</w:t>
      </w:r>
    </w:p>
    <w:p w14:paraId="28F5680B" w14:textId="47E35118" w:rsidR="001E27B7" w:rsidRPr="00B845AF" w:rsidRDefault="005D1450">
      <w:pPr>
        <w:pStyle w:val="SCtext"/>
        <w:rPr>
          <w:rFonts w:asciiTheme="minorHAnsi" w:hAnsiTheme="minorHAnsi" w:cstheme="minorHAnsi"/>
          <w:lang w:val="en-US"/>
        </w:rPr>
      </w:pPr>
      <w:r w:rsidRPr="00B845AF">
        <w:rPr>
          <w:rFonts w:asciiTheme="minorHAnsi" w:hAnsiTheme="minorHAnsi" w:cstheme="minorHAnsi"/>
          <w:lang w:val="en-US"/>
        </w:rPr>
        <w:t xml:space="preserve">Chinese Taipei welcomed the successful development of the South Pacific albacore MP, noting that uncertainties remain regarding EPO operational data. Chinese Taipei asked whether missing operational data were skewed by area, season, or fishing practice, and whether this could affect CPUE representativeness despite current sensitivity analyses showing little </w:t>
      </w:r>
      <w:r w:rsidR="004E2763" w:rsidRPr="00B845AF">
        <w:rPr>
          <w:rFonts w:asciiTheme="minorHAnsi" w:hAnsiTheme="minorHAnsi" w:cstheme="minorHAnsi"/>
          <w:lang w:val="en-US"/>
        </w:rPr>
        <w:t>impact and</w:t>
      </w:r>
      <w:r w:rsidRPr="00B845AF">
        <w:rPr>
          <w:rFonts w:asciiTheme="minorHAnsi" w:hAnsiTheme="minorHAnsi" w:cstheme="minorHAnsi"/>
          <w:lang w:val="en-US"/>
        </w:rPr>
        <w:t xml:space="preserve"> encouraged continued evaluation of data representativeness under alternative scenarios, including retrospective analysis</w:t>
      </w:r>
      <w:r w:rsidR="00FF7160" w:rsidRPr="00B845AF">
        <w:rPr>
          <w:rFonts w:asciiTheme="minorHAnsi" w:hAnsiTheme="minorHAnsi" w:cstheme="minorHAnsi"/>
          <w:lang w:val="en-US"/>
        </w:rPr>
        <w:t>.</w:t>
      </w:r>
    </w:p>
    <w:p w14:paraId="64593ADA" w14:textId="77777777" w:rsidR="00E40740" w:rsidRPr="00B845AF" w:rsidRDefault="00E40740" w:rsidP="00E40740">
      <w:pPr>
        <w:pStyle w:val="SCtext"/>
        <w:numPr>
          <w:ilvl w:val="0"/>
          <w:numId w:val="0"/>
        </w:numPr>
        <w:rPr>
          <w:rFonts w:asciiTheme="minorHAnsi" w:hAnsiTheme="minorHAnsi" w:cstheme="minorHAnsi"/>
          <w:lang w:val="en-US"/>
        </w:rPr>
      </w:pPr>
    </w:p>
    <w:p w14:paraId="70DF78DA" w14:textId="17FE527B" w:rsidR="00E40740" w:rsidRPr="00B845AF" w:rsidRDefault="005D1450">
      <w:pPr>
        <w:pStyle w:val="SCtext"/>
        <w:rPr>
          <w:rFonts w:asciiTheme="minorHAnsi" w:hAnsiTheme="minorHAnsi" w:cstheme="minorHAnsi"/>
          <w:lang w:val="en-US"/>
        </w:rPr>
      </w:pPr>
      <w:r w:rsidRPr="00B845AF">
        <w:rPr>
          <w:rFonts w:asciiTheme="minorHAnsi" w:hAnsiTheme="minorHAnsi" w:cstheme="minorHAnsi"/>
          <w:lang w:val="en-US"/>
        </w:rPr>
        <w:t>The SSP responded that data collection was at an early stage and the missing data had not yet been obtained, so its effect could not be predicted. Existing EPO data showed decent spatial coverage, and the sensitivity analysis placed more weight on this existing data. The SSP stated that once the missing data were obtained, it would run a CPUE sensitivity analysis and report back to SC</w:t>
      </w:r>
      <w:r w:rsidR="00E40740" w:rsidRPr="00B845AF">
        <w:rPr>
          <w:rFonts w:asciiTheme="minorHAnsi" w:hAnsiTheme="minorHAnsi" w:cstheme="minorHAnsi"/>
          <w:lang w:val="en-US"/>
        </w:rPr>
        <w:t>.</w:t>
      </w:r>
    </w:p>
    <w:p w14:paraId="2CDD1430" w14:textId="77777777" w:rsidR="00E40740" w:rsidRPr="00B845AF" w:rsidRDefault="00E40740" w:rsidP="00E40740">
      <w:pPr>
        <w:pStyle w:val="SCtext"/>
        <w:numPr>
          <w:ilvl w:val="0"/>
          <w:numId w:val="0"/>
        </w:numPr>
        <w:rPr>
          <w:rFonts w:asciiTheme="minorHAnsi" w:hAnsiTheme="minorHAnsi" w:cstheme="minorHAnsi"/>
          <w:lang w:val="en-US"/>
        </w:rPr>
      </w:pPr>
    </w:p>
    <w:p w14:paraId="3181F09B" w14:textId="367CC23B" w:rsidR="00E40740" w:rsidRPr="00B845AF" w:rsidRDefault="005D1450">
      <w:pPr>
        <w:pStyle w:val="SCtext"/>
        <w:rPr>
          <w:rFonts w:asciiTheme="minorHAnsi" w:hAnsiTheme="minorHAnsi" w:cstheme="minorHAnsi"/>
          <w:lang w:val="en-US"/>
        </w:rPr>
      </w:pPr>
      <w:r w:rsidRPr="00B845AF">
        <w:rPr>
          <w:rFonts w:asciiTheme="minorHAnsi" w:hAnsiTheme="minorHAnsi" w:cstheme="minorHAnsi"/>
          <w:lang w:val="en-US"/>
        </w:rPr>
        <w:t>Japan thanked the SSP and shared Chinese Taipei’s view, adding a comment on the decline in operational data from the Chinese longline fleet and encouraging continued monitoring of this data source given its relevance to the MP</w:t>
      </w:r>
      <w:r w:rsidR="00E40740" w:rsidRPr="00B845AF">
        <w:rPr>
          <w:rFonts w:asciiTheme="minorHAnsi" w:hAnsiTheme="minorHAnsi" w:cstheme="minorHAnsi"/>
          <w:lang w:val="en-US"/>
        </w:rPr>
        <w:t>.</w:t>
      </w:r>
    </w:p>
    <w:p w14:paraId="61117FA2" w14:textId="77777777" w:rsidR="00E40740" w:rsidRPr="00B845AF" w:rsidRDefault="00E40740" w:rsidP="00E40740">
      <w:pPr>
        <w:pStyle w:val="SCtext"/>
        <w:numPr>
          <w:ilvl w:val="0"/>
          <w:numId w:val="0"/>
        </w:numPr>
        <w:rPr>
          <w:rFonts w:asciiTheme="minorHAnsi" w:hAnsiTheme="minorHAnsi" w:cstheme="minorHAnsi"/>
          <w:lang w:val="en-US"/>
        </w:rPr>
      </w:pPr>
    </w:p>
    <w:p w14:paraId="67F665E5" w14:textId="57582B4B" w:rsidR="00E40740" w:rsidRPr="00B845AF" w:rsidRDefault="005D1450">
      <w:pPr>
        <w:pStyle w:val="SCtext"/>
        <w:rPr>
          <w:rFonts w:asciiTheme="minorHAnsi" w:hAnsiTheme="minorHAnsi" w:cstheme="minorHAnsi"/>
          <w:lang w:val="en-US"/>
        </w:rPr>
      </w:pPr>
      <w:r w:rsidRPr="00B845AF">
        <w:rPr>
          <w:rFonts w:asciiTheme="minorHAnsi" w:hAnsiTheme="minorHAnsi" w:cstheme="minorHAnsi"/>
          <w:lang w:val="en-US"/>
        </w:rPr>
        <w:t xml:space="preserve">Solomon Islands, on behalf of the PNA and Vanuatu, stated that the first SPA MP run produced a result close to the prior 2023 run despite a large change in terminal-year CPUE, suggesting this may relate to the HCR step position combined with a smoothing effect from the calculation time period. A large decrease in effort had not produced a correspondingly large change in output, and the PNA and Vanuatu requested that the SSP undertake robustness testing using successive persistent stock increases or decreases to confirm MP responsiveness to large, successive fishery changes, with the same testing applied to the bigeye tuna MP evaluations. The SSP and </w:t>
      </w:r>
      <w:r w:rsidR="00D75B0E" w:rsidRPr="00B845AF">
        <w:rPr>
          <w:rFonts w:asciiTheme="minorHAnsi" w:hAnsiTheme="minorHAnsi" w:cstheme="minorHAnsi"/>
          <w:lang w:val="en-US"/>
        </w:rPr>
        <w:t>theme c</w:t>
      </w:r>
      <w:r w:rsidRPr="00B845AF">
        <w:rPr>
          <w:rFonts w:asciiTheme="minorHAnsi" w:hAnsiTheme="minorHAnsi" w:cstheme="minorHAnsi"/>
          <w:lang w:val="en-US"/>
        </w:rPr>
        <w:t xml:space="preserve">onvener sought clarification, which Solomon Islands confirmed was for testing of MP responsiveness to stock increases or decreases. The </w:t>
      </w:r>
      <w:r w:rsidR="00D75B0E" w:rsidRPr="00B845AF">
        <w:rPr>
          <w:rFonts w:asciiTheme="minorHAnsi" w:hAnsiTheme="minorHAnsi" w:cstheme="minorHAnsi"/>
          <w:lang w:val="en-US"/>
        </w:rPr>
        <w:t>theme</w:t>
      </w:r>
      <w:r w:rsidRPr="00B845AF">
        <w:rPr>
          <w:rFonts w:asciiTheme="minorHAnsi" w:hAnsiTheme="minorHAnsi" w:cstheme="minorHAnsi"/>
          <w:lang w:val="en-US"/>
        </w:rPr>
        <w:t xml:space="preserve"> </w:t>
      </w:r>
      <w:r w:rsidR="00D75B0E" w:rsidRPr="00B845AF">
        <w:rPr>
          <w:rFonts w:asciiTheme="minorHAnsi" w:hAnsiTheme="minorHAnsi" w:cstheme="minorHAnsi"/>
          <w:lang w:val="en-US"/>
        </w:rPr>
        <w:t>c</w:t>
      </w:r>
      <w:r w:rsidRPr="00B845AF">
        <w:rPr>
          <w:rFonts w:asciiTheme="minorHAnsi" w:hAnsiTheme="minorHAnsi" w:cstheme="minorHAnsi"/>
          <w:lang w:val="en-US"/>
        </w:rPr>
        <w:t xml:space="preserve">onvener questioned whether this was timely given the MP had already been adopted the previous year. The SSP responded that different HCRs and stock status scenarios had already been tested during MP development, as documented in prior papers, and suggested that if tested ranges did not match </w:t>
      </w:r>
      <w:r w:rsidRPr="00B845AF">
        <w:rPr>
          <w:rFonts w:asciiTheme="minorHAnsi" w:hAnsiTheme="minorHAnsi" w:cstheme="minorHAnsi"/>
          <w:lang w:val="en-US"/>
        </w:rPr>
        <w:lastRenderedPageBreak/>
        <w:t>observed trends, a request could be raised through the monitoring strategy, but further testing of already-covered scenarios would not be useful at this point.</w:t>
      </w:r>
    </w:p>
    <w:p w14:paraId="388944F3" w14:textId="77777777" w:rsidR="00E40740" w:rsidRPr="00B845AF" w:rsidRDefault="00E40740" w:rsidP="00E40740">
      <w:pPr>
        <w:pStyle w:val="SCtext"/>
        <w:numPr>
          <w:ilvl w:val="0"/>
          <w:numId w:val="0"/>
        </w:numPr>
        <w:rPr>
          <w:rFonts w:asciiTheme="minorHAnsi" w:hAnsiTheme="minorHAnsi" w:cstheme="minorHAnsi"/>
          <w:lang w:val="en-US"/>
        </w:rPr>
      </w:pPr>
    </w:p>
    <w:p w14:paraId="21217D23" w14:textId="4BC256FC" w:rsidR="00E40740" w:rsidRPr="00B845AF" w:rsidRDefault="00B311D3">
      <w:pPr>
        <w:pStyle w:val="SCtext"/>
        <w:rPr>
          <w:rFonts w:asciiTheme="minorHAnsi" w:hAnsiTheme="minorHAnsi" w:cstheme="minorHAnsi"/>
          <w:lang w:val="en-US"/>
        </w:rPr>
      </w:pPr>
      <w:r w:rsidRPr="00B845AF">
        <w:rPr>
          <w:rFonts w:asciiTheme="minorHAnsi" w:hAnsiTheme="minorHAnsi" w:cstheme="minorHAnsi"/>
          <w:lang w:val="en-US"/>
        </w:rPr>
        <w:t>Fiji, on behalf of the FFA members, thanked the SSP and noted the successful completion of the first operational SPA MP run as a significant milestone, including the 56,096 mt catch limit for 2027-2029, successful EM convergence, and a stock status metric of 1.2698 indicating the stock was approximately 27% above the reference level. With no exceptional circumstances identified, Fiji supported a clear recommendation from SC22 to WCPFC23 confirming the MP had been run as agreed and that the catch limit was scientifically sound and ready for implementation</w:t>
      </w:r>
      <w:r w:rsidR="00E40740" w:rsidRPr="00B845AF">
        <w:rPr>
          <w:rFonts w:asciiTheme="minorHAnsi" w:hAnsiTheme="minorHAnsi" w:cstheme="minorHAnsi"/>
          <w:lang w:val="en-US"/>
        </w:rPr>
        <w:t>.</w:t>
      </w:r>
    </w:p>
    <w:p w14:paraId="5ACF1E4A" w14:textId="77777777" w:rsidR="00E40740" w:rsidRPr="00B845AF" w:rsidRDefault="00E40740" w:rsidP="00E40740">
      <w:pPr>
        <w:pStyle w:val="SCtext"/>
        <w:numPr>
          <w:ilvl w:val="0"/>
          <w:numId w:val="0"/>
        </w:numPr>
        <w:rPr>
          <w:rFonts w:asciiTheme="minorHAnsi" w:hAnsiTheme="minorHAnsi" w:cstheme="minorHAnsi"/>
          <w:lang w:val="en-US"/>
        </w:rPr>
      </w:pPr>
    </w:p>
    <w:p w14:paraId="6E323BEF" w14:textId="0D952C97" w:rsidR="00E40740" w:rsidRPr="00B845AF" w:rsidRDefault="00B311D3">
      <w:pPr>
        <w:pStyle w:val="SCtext"/>
        <w:rPr>
          <w:rFonts w:asciiTheme="minorHAnsi" w:hAnsiTheme="minorHAnsi" w:cstheme="minorHAnsi"/>
          <w:lang w:val="en-US"/>
        </w:rPr>
      </w:pPr>
      <w:r w:rsidRPr="00B845AF">
        <w:rPr>
          <w:rFonts w:asciiTheme="minorHAnsi" w:hAnsiTheme="minorHAnsi" w:cstheme="minorHAnsi"/>
          <w:lang w:val="en-US"/>
        </w:rPr>
        <w:t>Niue, on behalf of the SPG, noted that CMM 2025-01 has been in effect since 16 February 2026, and that under the first official MP run, a TAC of 56,096 mt for the area south of 10°S would become effective. Paragraph 7 of CMM 2025-01 requires the 2026 MP run output to be applied to SPA management arrangements for 2027-2029, and WCPFC will need to ensure the 2027 SPA TAC is respected. FFA members would manage allocation of the albacore catch within their own EEZs south of 10°S, and the second South Pacific albacore allocation workshop would meet to discuss a mechanism for allocating remaining coastal state and high seas catch south of 10°S, with a view to finalizing agreement at WCPFC23. A proposal had already been tabled in December on this, and the SPG expressed willingness to discuss further informally on the margins of SC or at TCC</w:t>
      </w:r>
      <w:r w:rsidR="00E40740" w:rsidRPr="00B845AF">
        <w:rPr>
          <w:rFonts w:asciiTheme="minorHAnsi" w:hAnsiTheme="minorHAnsi" w:cstheme="minorHAnsi"/>
          <w:lang w:val="en-US"/>
        </w:rPr>
        <w:t>.</w:t>
      </w:r>
    </w:p>
    <w:p w14:paraId="6B6E9F7C" w14:textId="77777777" w:rsidR="00E40740" w:rsidRPr="00B845AF" w:rsidRDefault="00E40740" w:rsidP="00E40740">
      <w:pPr>
        <w:pStyle w:val="SCtext"/>
        <w:numPr>
          <w:ilvl w:val="0"/>
          <w:numId w:val="0"/>
        </w:numPr>
        <w:rPr>
          <w:rFonts w:asciiTheme="minorHAnsi" w:hAnsiTheme="minorHAnsi" w:cstheme="minorHAnsi"/>
          <w:lang w:val="en-US"/>
        </w:rPr>
      </w:pPr>
    </w:p>
    <w:p w14:paraId="779800B0" w14:textId="1018B780" w:rsidR="00E40740" w:rsidRPr="00B845AF" w:rsidRDefault="00E40740">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w:t>
      </w:r>
      <w:r w:rsidRPr="00B845AF">
        <w:rPr>
          <w:rFonts w:asciiTheme="minorHAnsi" w:hAnsiTheme="minorHAnsi" w:cstheme="minorHAnsi"/>
          <w:lang w:val="en-US"/>
        </w:rPr>
        <w:t xml:space="preserve"> </w:t>
      </w:r>
      <w:r w:rsidR="00D75B0E" w:rsidRPr="00B845AF">
        <w:rPr>
          <w:rFonts w:asciiTheme="minorHAnsi" w:hAnsiTheme="minorHAnsi" w:cstheme="minorHAnsi"/>
          <w:lang w:val="en-US"/>
        </w:rPr>
        <w:t>c</w:t>
      </w:r>
      <w:r w:rsidRPr="00B845AF">
        <w:rPr>
          <w:rFonts w:asciiTheme="minorHAnsi" w:hAnsiTheme="minorHAnsi" w:cstheme="minorHAnsi"/>
          <w:lang w:val="en-US"/>
        </w:rPr>
        <w:t>onvener stated that as SC had already adopted the management procedure, SC22’s role was limited to checking whether it is working, and that the allocation issue raised was outside the scope of this discussion.</w:t>
      </w:r>
    </w:p>
    <w:p w14:paraId="22ADBA38" w14:textId="77777777" w:rsidR="00E40740" w:rsidRPr="00B845AF" w:rsidRDefault="00E40740" w:rsidP="00E40740">
      <w:pPr>
        <w:pStyle w:val="SCtext"/>
        <w:numPr>
          <w:ilvl w:val="0"/>
          <w:numId w:val="0"/>
        </w:numPr>
        <w:rPr>
          <w:rFonts w:asciiTheme="minorHAnsi" w:hAnsiTheme="minorHAnsi" w:cstheme="minorHAnsi"/>
          <w:lang w:val="en-US"/>
        </w:rPr>
      </w:pPr>
    </w:p>
    <w:p w14:paraId="7DC8E53C" w14:textId="560B12A7" w:rsidR="00E40740" w:rsidRPr="00B845AF" w:rsidRDefault="00181F44">
      <w:pPr>
        <w:pStyle w:val="SCtext"/>
        <w:rPr>
          <w:rFonts w:asciiTheme="minorHAnsi" w:hAnsiTheme="minorHAnsi" w:cstheme="minorHAnsi"/>
          <w:lang w:val="en-US"/>
        </w:rPr>
      </w:pPr>
      <w:r w:rsidRPr="00B845AF">
        <w:rPr>
          <w:rFonts w:asciiTheme="minorHAnsi" w:hAnsiTheme="minorHAnsi" w:cstheme="minorHAnsi"/>
          <w:lang w:val="en-US"/>
        </w:rPr>
        <w:t xml:space="preserve">Chinese Taipei noted that the working paper’s HCR catch value comparison with 2024 differed slightly from the value shown in the first SPA allocation workshop </w:t>
      </w:r>
      <w:r w:rsidR="00DA6C42" w:rsidRPr="00B845AF">
        <w:rPr>
          <w:rFonts w:asciiTheme="minorHAnsi" w:hAnsiTheme="minorHAnsi" w:cstheme="minorHAnsi"/>
          <w:lang w:val="en-US"/>
        </w:rPr>
        <w:t>document and</w:t>
      </w:r>
      <w:r w:rsidRPr="00B845AF">
        <w:rPr>
          <w:rFonts w:asciiTheme="minorHAnsi" w:hAnsiTheme="minorHAnsi" w:cstheme="minorHAnsi"/>
          <w:lang w:val="en-US"/>
        </w:rPr>
        <w:t xml:space="preserve"> asked that the 2024 catch value be checked. The SSP responded that the value used was consistent with the most recent longline agreement paper, noted that data revisions were ongoing, and confirmed the paper’s value should be treated as current.</w:t>
      </w:r>
    </w:p>
    <w:p w14:paraId="31FB14CD" w14:textId="77777777" w:rsidR="00827733" w:rsidRPr="00B845AF" w:rsidRDefault="00827733" w:rsidP="00827733">
      <w:pPr>
        <w:pStyle w:val="SCtext"/>
        <w:numPr>
          <w:ilvl w:val="0"/>
          <w:numId w:val="0"/>
        </w:numPr>
        <w:rPr>
          <w:rFonts w:asciiTheme="minorHAnsi" w:hAnsiTheme="minorHAnsi" w:cstheme="minorHAnsi"/>
          <w:lang w:val="en-US"/>
        </w:rPr>
      </w:pPr>
    </w:p>
    <w:p w14:paraId="66EB9E4C" w14:textId="7ABD481F" w:rsidR="00827733" w:rsidRPr="00B845AF" w:rsidRDefault="00181F44">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 c</w:t>
      </w:r>
      <w:r w:rsidRPr="00B845AF">
        <w:rPr>
          <w:rFonts w:asciiTheme="minorHAnsi" w:hAnsiTheme="minorHAnsi" w:cstheme="minorHAnsi"/>
          <w:lang w:val="en-US"/>
        </w:rPr>
        <w:t>onvener noted that the SSP had provided draft points for a possible conclusion, and indicated the Committee would need to determine whether the appropriate wording was to “recommend” or “note” the catch limit, depending on the underlying CMM’s requirements. Additional feedback would include a request for the SSP to check whether the missing EPO data, once obtained, had any effect on MP performance, and Chinese Taipei’s request for further EM analysis, including retrospective analysis.</w:t>
      </w:r>
    </w:p>
    <w:p w14:paraId="4A84D4F5" w14:textId="64EA930B" w:rsidR="00FE0F52" w:rsidRPr="00B845AF" w:rsidRDefault="00FE0F52" w:rsidP="00FE0F52">
      <w:pPr>
        <w:pStyle w:val="SCtext"/>
        <w:numPr>
          <w:ilvl w:val="0"/>
          <w:numId w:val="0"/>
        </w:numPr>
        <w:rPr>
          <w:rFonts w:asciiTheme="minorHAnsi" w:hAnsiTheme="minorHAnsi" w:cstheme="minorHAnsi"/>
          <w:lang w:val="en-US"/>
        </w:rPr>
      </w:pPr>
    </w:p>
    <w:p w14:paraId="1617F73F" w14:textId="7FB616CE" w:rsidR="00FE0F52" w:rsidRPr="00B845AF" w:rsidRDefault="00FE0F52" w:rsidP="00FE0F52">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74945CE9" w14:textId="4CB3B64D" w:rsidR="00FE0F52" w:rsidRPr="00B845AF" w:rsidRDefault="00347613">
      <w:pPr>
        <w:pStyle w:val="SCtext"/>
        <w:rPr>
          <w:rFonts w:asciiTheme="minorHAnsi" w:hAnsiTheme="minorHAnsi" w:cstheme="minorHAnsi"/>
          <w:b/>
          <w:bCs/>
          <w:lang w:val="en-US"/>
        </w:rPr>
      </w:pPr>
      <w:r w:rsidRPr="00B845AF">
        <w:rPr>
          <w:rFonts w:asciiTheme="minorHAnsi" w:eastAsia="MS Mincho" w:hAnsiTheme="minorHAnsi" w:cstheme="minorHAnsi"/>
          <w:lang w:val="en-US" w:eastAsia="ja-JP"/>
        </w:rPr>
        <w:t>SC22 reviewed the results of the first SPALB MP run provided by SSP. SC22 noted that the EM of the SPALB MP has successfully run.</w:t>
      </w:r>
      <w:r w:rsidRPr="00B845AF">
        <w:rPr>
          <w:rFonts w:asciiTheme="minorHAnsi" w:eastAsia="MS Mincho" w:hAnsiTheme="minorHAnsi" w:cstheme="minorHAnsi"/>
          <w:b/>
          <w:bCs/>
          <w:lang w:val="en-US" w:eastAsia="ja-JP"/>
        </w:rPr>
        <w:t xml:space="preserve"> In accordance with CMM 2025-01, SC22 advised the Commission that the output of the adopted SPALB MP was 56,096 mt, applicable to longline and troll fisheries operating south of 10°S in the WCPFC-CA, excluding the EEZs of Tokelau and Tuvalu.</w:t>
      </w:r>
    </w:p>
    <w:p w14:paraId="25659166" w14:textId="77777777" w:rsidR="00347613" w:rsidRPr="00B845AF" w:rsidRDefault="00347613" w:rsidP="00347613">
      <w:pPr>
        <w:pStyle w:val="SCtext"/>
        <w:numPr>
          <w:ilvl w:val="0"/>
          <w:numId w:val="0"/>
        </w:numPr>
        <w:rPr>
          <w:rFonts w:asciiTheme="minorHAnsi" w:hAnsiTheme="minorHAnsi" w:cstheme="minorHAnsi"/>
          <w:b/>
          <w:bCs/>
          <w:lang w:val="en-US"/>
        </w:rPr>
      </w:pPr>
    </w:p>
    <w:p w14:paraId="7E7E41EA" w14:textId="153BEBDA" w:rsidR="00347613" w:rsidRPr="00B845AF" w:rsidRDefault="00347613">
      <w:pPr>
        <w:pStyle w:val="SCtext"/>
        <w:rPr>
          <w:rFonts w:asciiTheme="minorHAnsi" w:hAnsiTheme="minorHAnsi" w:cstheme="minorHAnsi"/>
          <w:b/>
          <w:bCs/>
          <w:lang w:val="en-US"/>
        </w:rPr>
      </w:pPr>
      <w:r w:rsidRPr="00B845AF">
        <w:rPr>
          <w:rFonts w:asciiTheme="minorHAnsi" w:hAnsiTheme="minorHAnsi" w:cstheme="minorHAnsi"/>
          <w:lang w:val="en-US"/>
        </w:rPr>
        <w:t xml:space="preserve">SC22 also noted that some operational data were not available in the IATTC area for the MP run. </w:t>
      </w:r>
      <w:r w:rsidRPr="00B845AF">
        <w:rPr>
          <w:rFonts w:asciiTheme="minorHAnsi" w:hAnsiTheme="minorHAnsi" w:cstheme="minorHAnsi"/>
          <w:b/>
          <w:bCs/>
          <w:lang w:val="en-US"/>
        </w:rPr>
        <w:t>SC22 encouraged those members who have not made data available to do so as soon as practical and requested that the SSP evaluate the impact of the missing data and to report back to SC once these data become available.</w:t>
      </w:r>
    </w:p>
    <w:p w14:paraId="48A4F5DD" w14:textId="77777777" w:rsidR="003A2857" w:rsidRPr="00B845AF" w:rsidRDefault="003A2857" w:rsidP="009A74D6">
      <w:pPr>
        <w:widowControl w:val="0"/>
        <w:kinsoku w:val="0"/>
        <w:overflowPunct w:val="0"/>
        <w:autoSpaceDE w:val="0"/>
        <w:autoSpaceDN w:val="0"/>
        <w:adjustRightInd w:val="0"/>
        <w:snapToGrid w:val="0"/>
        <w:jc w:val="both"/>
        <w:rPr>
          <w:rFonts w:asciiTheme="minorHAnsi" w:eastAsiaTheme="minorEastAsia" w:hAnsiTheme="minorHAnsi" w:cstheme="minorHAnsi"/>
          <w:bCs/>
          <w:szCs w:val="22"/>
          <w:lang w:eastAsia="ko-KR"/>
        </w:rPr>
      </w:pPr>
    </w:p>
    <w:p w14:paraId="657B8D01" w14:textId="5F062548" w:rsidR="003A2857" w:rsidRPr="00B845AF" w:rsidRDefault="001B2F8F" w:rsidP="001B2F8F">
      <w:pPr>
        <w:widowControl w:val="0"/>
        <w:kinsoku w:val="0"/>
        <w:overflowPunct w:val="0"/>
        <w:autoSpaceDE w:val="0"/>
        <w:autoSpaceDN w:val="0"/>
        <w:adjustRightInd w:val="0"/>
        <w:snapToGrid w:val="0"/>
        <w:jc w:val="both"/>
        <w:rPr>
          <w:rFonts w:asciiTheme="minorHAnsi" w:eastAsiaTheme="minorEastAsia" w:hAnsiTheme="minorHAnsi" w:cstheme="minorHAnsi"/>
          <w:b/>
          <w:szCs w:val="22"/>
          <w:lang w:eastAsia="ko-KR"/>
        </w:rPr>
      </w:pPr>
      <w:r w:rsidRPr="00B845AF">
        <w:rPr>
          <w:rFonts w:asciiTheme="minorHAnsi" w:eastAsiaTheme="minorEastAsia" w:hAnsiTheme="minorHAnsi" w:cstheme="minorHAnsi"/>
          <w:b/>
          <w:szCs w:val="22"/>
          <w:lang w:eastAsia="ko-KR"/>
        </w:rPr>
        <w:lastRenderedPageBreak/>
        <w:t>5.1.3.2</w:t>
      </w:r>
      <w:r w:rsidRPr="00B845AF">
        <w:rPr>
          <w:rFonts w:asciiTheme="minorHAnsi" w:eastAsiaTheme="minorEastAsia" w:hAnsiTheme="minorHAnsi" w:cstheme="minorHAnsi"/>
          <w:b/>
          <w:szCs w:val="22"/>
          <w:lang w:eastAsia="ko-KR"/>
        </w:rPr>
        <w:tab/>
      </w:r>
      <w:r w:rsidR="006E0F24" w:rsidRPr="00B845AF">
        <w:rPr>
          <w:rFonts w:asciiTheme="minorHAnsi" w:eastAsiaTheme="minorEastAsia" w:hAnsiTheme="minorHAnsi" w:cstheme="minorHAnsi"/>
          <w:b/>
          <w:szCs w:val="22"/>
          <w:lang w:eastAsia="ko-KR"/>
        </w:rPr>
        <w:t>South Pacific albacore monitoring strategy</w:t>
      </w:r>
      <w:bookmarkStart w:id="56" w:name="_Hlk197502832"/>
      <w:bookmarkEnd w:id="54"/>
    </w:p>
    <w:bookmarkEnd w:id="55"/>
    <w:p w14:paraId="76DF01B8" w14:textId="77777777" w:rsidR="003A2857" w:rsidRPr="00B845AF" w:rsidRDefault="003A2857" w:rsidP="003A2857">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bCs/>
          <w:szCs w:val="22"/>
          <w:lang w:eastAsia="ko-KR"/>
        </w:rPr>
      </w:pPr>
    </w:p>
    <w:p w14:paraId="3FFE14AF" w14:textId="40DEFAFC" w:rsidR="00CA6646" w:rsidRPr="00B845AF" w:rsidRDefault="00343BC7">
      <w:pPr>
        <w:pStyle w:val="SCtext"/>
        <w:rPr>
          <w:rFonts w:asciiTheme="minorHAnsi" w:hAnsiTheme="minorHAnsi" w:cstheme="minorHAnsi"/>
          <w:lang w:val="en-US"/>
        </w:rPr>
      </w:pPr>
      <w:r w:rsidRPr="00B845AF">
        <w:rPr>
          <w:rFonts w:asciiTheme="minorHAnsi" w:hAnsiTheme="minorHAnsi" w:cstheme="minorHAnsi"/>
          <w:lang w:val="en-US"/>
        </w:rPr>
        <w:t xml:space="preserve">Under the harvest strategy workplan (WCPFC22, attachment 24), SC22 is scheduled to provide advice on the monitoring strategy for the South Pacific albacore MP. </w:t>
      </w:r>
      <w:r w:rsidR="00CA6646" w:rsidRPr="00B845AF">
        <w:rPr>
          <w:rFonts w:asciiTheme="minorHAnsi" w:hAnsiTheme="minorHAnsi" w:cstheme="minorHAnsi"/>
          <w:lang w:val="en-US"/>
        </w:rPr>
        <w:t>R. Scott (SPC-OFP)</w:t>
      </w:r>
      <w:r w:rsidR="0032434B" w:rsidRPr="00B845AF">
        <w:rPr>
          <w:rFonts w:asciiTheme="minorHAnsi" w:hAnsiTheme="minorHAnsi" w:cstheme="minorHAnsi"/>
          <w:lang w:val="en-US"/>
        </w:rPr>
        <w:t xml:space="preserve"> presented </w:t>
      </w:r>
      <w:hyperlink r:id="rId75" w:history="1">
        <w:r w:rsidR="0032434B" w:rsidRPr="00B845AF">
          <w:rPr>
            <w:rStyle w:val="Hyperlink"/>
            <w:rFonts w:asciiTheme="minorHAnsi" w:hAnsiTheme="minorHAnsi" w:cstheme="minorHAnsi"/>
            <w:lang w:val="en-US"/>
          </w:rPr>
          <w:t>WCPFC-SC22-2026-MI-WP08</w:t>
        </w:r>
      </w:hyperlink>
      <w:r w:rsidR="0032434B" w:rsidRPr="00B845AF">
        <w:rPr>
          <w:rFonts w:asciiTheme="minorHAnsi" w:hAnsiTheme="minorHAnsi" w:cstheme="minorHAnsi"/>
          <w:lang w:val="en-US"/>
        </w:rPr>
        <w:t xml:space="preserve"> </w:t>
      </w:r>
      <w:r w:rsidRPr="00B845AF">
        <w:rPr>
          <w:rFonts w:asciiTheme="minorHAnsi" w:hAnsiTheme="minorHAnsi" w:cstheme="minorHAnsi"/>
          <w:lang w:val="en-US"/>
        </w:rPr>
        <w:t>which outlined a proposed monitoring strategy that closely followed the framework adopted for the WCPO skipjack MP and outlines minimum requirements for the routine monitoring and review of the MP.</w:t>
      </w:r>
      <w:r w:rsidR="00181F44" w:rsidRPr="00B845AF">
        <w:rPr>
          <w:rFonts w:asciiTheme="minorHAnsi" w:hAnsiTheme="minorHAnsi" w:cstheme="minorHAnsi"/>
          <w:lang w:val="en-US"/>
        </w:rPr>
        <w:t xml:space="preserve"> </w:t>
      </w:r>
    </w:p>
    <w:p w14:paraId="054E0494" w14:textId="77777777" w:rsidR="00CA6646" w:rsidRPr="00B845AF" w:rsidRDefault="00CA6646" w:rsidP="00CA6646">
      <w:pPr>
        <w:pStyle w:val="SCtext"/>
        <w:numPr>
          <w:ilvl w:val="0"/>
          <w:numId w:val="0"/>
        </w:numPr>
        <w:rPr>
          <w:rFonts w:asciiTheme="minorHAnsi" w:hAnsiTheme="minorHAnsi" w:cstheme="minorHAnsi"/>
          <w:lang w:val="en-US"/>
        </w:rPr>
      </w:pPr>
    </w:p>
    <w:p w14:paraId="5D109EB5" w14:textId="4510687A" w:rsidR="00F75621" w:rsidRPr="00B845AF" w:rsidRDefault="00EA057A" w:rsidP="00CA664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It addresses three key components: MP performance, MP design, and management strategy evaluation (MSE). The paper also outlined the roles of the SC, TCC and the Commission in implementing and reviewing the monitoring strategy, together with the key data and information required to support routine monitoring. As the implementation arrangements for the SPA MP have yet to be finalised, the monitoring strategy presented in this paper provided an initial framework for consideration by the Scientific Committee but may require refinement at future meetings as implementation arrangements are agreed and additional information becomes available. It was noted that, under the proposed monitoring strategy, there was provision for the submission and consideration of additional information, including economic data, to inform on MP performance with respect to defined management objectives</w:t>
      </w:r>
      <w:r w:rsidR="00181F44" w:rsidRPr="00B845AF">
        <w:rPr>
          <w:rFonts w:asciiTheme="minorHAnsi" w:hAnsiTheme="minorHAnsi" w:cstheme="minorHAnsi"/>
          <w:lang w:val="en-US"/>
        </w:rPr>
        <w:t>.</w:t>
      </w:r>
    </w:p>
    <w:p w14:paraId="233DAF58" w14:textId="107C7A58" w:rsidR="00232D04" w:rsidRPr="00B845AF" w:rsidRDefault="00232D04" w:rsidP="00232D04">
      <w:pPr>
        <w:pStyle w:val="SCtext"/>
        <w:numPr>
          <w:ilvl w:val="0"/>
          <w:numId w:val="0"/>
        </w:numPr>
        <w:rPr>
          <w:rFonts w:asciiTheme="minorHAnsi" w:hAnsiTheme="minorHAnsi" w:cstheme="minorHAnsi"/>
          <w:lang w:val="en-US"/>
        </w:rPr>
      </w:pPr>
    </w:p>
    <w:p w14:paraId="15009747" w14:textId="1A5315A3" w:rsidR="00AC15AD" w:rsidRPr="00B845AF" w:rsidRDefault="00232D04" w:rsidP="003068BB">
      <w:pPr>
        <w:pStyle w:val="SCDR"/>
        <w:rPr>
          <w:rFonts w:asciiTheme="minorHAnsi" w:hAnsiTheme="minorHAnsi" w:cstheme="minorHAnsi"/>
        </w:rPr>
      </w:pPr>
      <w:r w:rsidRPr="00B845AF">
        <w:rPr>
          <w:rFonts w:asciiTheme="minorHAnsi" w:hAnsiTheme="minorHAnsi" w:cstheme="minorHAnsi"/>
        </w:rPr>
        <w:t>Discussion</w:t>
      </w:r>
    </w:p>
    <w:p w14:paraId="251049E1" w14:textId="641380FA" w:rsidR="00027D60" w:rsidRPr="00B845AF" w:rsidRDefault="007E3FF4">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 c</w:t>
      </w:r>
      <w:r w:rsidRPr="00B845AF">
        <w:rPr>
          <w:rFonts w:asciiTheme="minorHAnsi" w:hAnsiTheme="minorHAnsi" w:cstheme="minorHAnsi"/>
          <w:lang w:val="en-US"/>
        </w:rPr>
        <w:t>onvener noted that MI-WP08 included a table setting out the proposed monitoring strategy and stated that SC22 needed to reach a conclusion on monitoring of South Pacific albacore.</w:t>
      </w:r>
    </w:p>
    <w:p w14:paraId="0F784F49" w14:textId="77777777" w:rsidR="007E3FF4" w:rsidRPr="00B845AF" w:rsidRDefault="007E3FF4" w:rsidP="007E3FF4">
      <w:pPr>
        <w:pStyle w:val="SCtext"/>
        <w:numPr>
          <w:ilvl w:val="0"/>
          <w:numId w:val="0"/>
        </w:numPr>
        <w:rPr>
          <w:rFonts w:asciiTheme="minorHAnsi" w:hAnsiTheme="minorHAnsi" w:cstheme="minorHAnsi"/>
          <w:lang w:val="en-US"/>
        </w:rPr>
      </w:pPr>
    </w:p>
    <w:p w14:paraId="313BA9AF" w14:textId="76AAF117" w:rsidR="007E3FF4" w:rsidRPr="00B845AF" w:rsidRDefault="007E3FF4">
      <w:pPr>
        <w:pStyle w:val="SCtext"/>
        <w:rPr>
          <w:rFonts w:asciiTheme="minorHAnsi" w:hAnsiTheme="minorHAnsi" w:cstheme="minorHAnsi"/>
          <w:lang w:val="en-US"/>
        </w:rPr>
      </w:pPr>
      <w:r w:rsidRPr="00B845AF">
        <w:rPr>
          <w:rFonts w:asciiTheme="minorHAnsi" w:hAnsiTheme="minorHAnsi" w:cstheme="minorHAnsi"/>
          <w:lang w:val="en-US"/>
        </w:rPr>
        <w:t xml:space="preserve">Samoa, on behalf of the FFA members, thanked SPC for the draft monitoring strategy and welcomed its similarity in format to the adopted WCPO skipjack MP monitoring strategy. Samoa supported advancing the integration of climate-related uncertainties and provisions for accessing and utilizing existing economic indicators and enhanced economic information to inform the </w:t>
      </w:r>
      <w:r w:rsidR="004E2763" w:rsidRPr="00B845AF">
        <w:rPr>
          <w:rFonts w:asciiTheme="minorHAnsi" w:hAnsiTheme="minorHAnsi" w:cstheme="minorHAnsi"/>
          <w:lang w:val="en-US"/>
        </w:rPr>
        <w:t>strategy and</w:t>
      </w:r>
      <w:r w:rsidRPr="00B845AF">
        <w:rPr>
          <w:rFonts w:asciiTheme="minorHAnsi" w:hAnsiTheme="minorHAnsi" w:cstheme="minorHAnsi"/>
          <w:lang w:val="en-US"/>
        </w:rPr>
        <w:t xml:space="preserve"> recommended that SC22 endorse the MP monitoring strategy and refer it to TCC for review prior to recommending it to WCPFC23 for adoption.</w:t>
      </w:r>
    </w:p>
    <w:p w14:paraId="144F69CA" w14:textId="77777777" w:rsidR="00AB17FE" w:rsidRPr="00B845AF" w:rsidRDefault="00AB17FE" w:rsidP="00AB17FE">
      <w:pPr>
        <w:pStyle w:val="SCtext"/>
        <w:numPr>
          <w:ilvl w:val="0"/>
          <w:numId w:val="0"/>
        </w:numPr>
        <w:rPr>
          <w:rFonts w:asciiTheme="minorHAnsi" w:hAnsiTheme="minorHAnsi" w:cstheme="minorHAnsi"/>
          <w:lang w:val="en-US"/>
        </w:rPr>
      </w:pPr>
    </w:p>
    <w:p w14:paraId="72F15E49" w14:textId="16EFE45D" w:rsidR="00AB17FE" w:rsidRPr="00B845AF" w:rsidRDefault="00AB17FE">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 c</w:t>
      </w:r>
      <w:r w:rsidRPr="00B845AF">
        <w:rPr>
          <w:rFonts w:asciiTheme="minorHAnsi" w:hAnsiTheme="minorHAnsi" w:cstheme="minorHAnsi"/>
          <w:lang w:val="en-US"/>
        </w:rPr>
        <w:t xml:space="preserve">onvener noted that, absent any opposing views, the Committee would proceed with the table provided by SPC, and identified the EPO catch assumption as a particular issue requiring care given its significance to the MP, suggesting that TCC review </w:t>
      </w:r>
      <w:proofErr w:type="gramStart"/>
      <w:r w:rsidRPr="00B845AF">
        <w:rPr>
          <w:rFonts w:asciiTheme="minorHAnsi" w:hAnsiTheme="minorHAnsi" w:cstheme="minorHAnsi"/>
          <w:lang w:val="en-US"/>
        </w:rPr>
        <w:t>this in particular</w:t>
      </w:r>
      <w:proofErr w:type="gramEnd"/>
      <w:r w:rsidRPr="00B845AF">
        <w:rPr>
          <w:rFonts w:asciiTheme="minorHAnsi" w:hAnsiTheme="minorHAnsi" w:cstheme="minorHAnsi"/>
          <w:lang w:val="en-US"/>
        </w:rPr>
        <w:t xml:space="preserve">. The </w:t>
      </w:r>
      <w:r w:rsidR="00D75B0E" w:rsidRPr="00B845AF">
        <w:rPr>
          <w:rFonts w:asciiTheme="minorHAnsi" w:hAnsiTheme="minorHAnsi" w:cstheme="minorHAnsi"/>
          <w:lang w:val="en-US"/>
        </w:rPr>
        <w:t>theme c</w:t>
      </w:r>
      <w:r w:rsidRPr="00B845AF">
        <w:rPr>
          <w:rFonts w:asciiTheme="minorHAnsi" w:hAnsiTheme="minorHAnsi" w:cstheme="minorHAnsi"/>
          <w:lang w:val="en-US"/>
        </w:rPr>
        <w:t xml:space="preserve">onvener also noted acceptance of SPC’s plan for further work, </w:t>
      </w:r>
      <w:r w:rsidR="004E2763" w:rsidRPr="00B845AF">
        <w:rPr>
          <w:rFonts w:asciiTheme="minorHAnsi" w:hAnsiTheme="minorHAnsi" w:cstheme="minorHAnsi"/>
          <w:lang w:val="en-US"/>
        </w:rPr>
        <w:t>including</w:t>
      </w:r>
      <w:r w:rsidRPr="00B845AF">
        <w:rPr>
          <w:rFonts w:asciiTheme="minorHAnsi" w:hAnsiTheme="minorHAnsi" w:cstheme="minorHAnsi"/>
          <w:lang w:val="en-US"/>
        </w:rPr>
        <w:t xml:space="preserve"> climate-related and economic information.</w:t>
      </w:r>
    </w:p>
    <w:p w14:paraId="0239AAE8" w14:textId="77777777" w:rsidR="00AB17FE" w:rsidRPr="00B845AF" w:rsidRDefault="00AB17FE" w:rsidP="00AB17FE">
      <w:pPr>
        <w:pStyle w:val="SCtext"/>
        <w:numPr>
          <w:ilvl w:val="0"/>
          <w:numId w:val="0"/>
        </w:numPr>
        <w:rPr>
          <w:rFonts w:asciiTheme="minorHAnsi" w:hAnsiTheme="minorHAnsi" w:cstheme="minorHAnsi"/>
          <w:lang w:val="en-US"/>
        </w:rPr>
      </w:pPr>
    </w:p>
    <w:p w14:paraId="1EAFB9D7" w14:textId="2B744841" w:rsidR="00AB17FE" w:rsidRPr="00B845AF" w:rsidRDefault="00AB17FE">
      <w:pPr>
        <w:pStyle w:val="SCtext"/>
        <w:rPr>
          <w:rFonts w:asciiTheme="minorHAnsi" w:hAnsiTheme="minorHAnsi" w:cstheme="minorHAnsi"/>
          <w:lang w:val="en-US"/>
        </w:rPr>
      </w:pPr>
      <w:r w:rsidRPr="00B845AF">
        <w:rPr>
          <w:rFonts w:asciiTheme="minorHAnsi" w:hAnsiTheme="minorHAnsi" w:cstheme="minorHAnsi"/>
          <w:lang w:val="en-US"/>
        </w:rPr>
        <w:t xml:space="preserve">The EU sought clarification, agreeing with the FFA statement but confirming that SC22 was not endorsing the monitoring strategy table at this stage, and that it should instead be circulated as a draft for review. The </w:t>
      </w:r>
      <w:r w:rsidR="00D75B0E" w:rsidRPr="00B845AF">
        <w:rPr>
          <w:rFonts w:asciiTheme="minorHAnsi" w:hAnsiTheme="minorHAnsi" w:cstheme="minorHAnsi"/>
          <w:lang w:val="en-US"/>
        </w:rPr>
        <w:t>theme c</w:t>
      </w:r>
      <w:r w:rsidRPr="00B845AF">
        <w:rPr>
          <w:rFonts w:asciiTheme="minorHAnsi" w:hAnsiTheme="minorHAnsi" w:cstheme="minorHAnsi"/>
          <w:lang w:val="en-US"/>
        </w:rPr>
        <w:t xml:space="preserve">onvener proposed framing this as SC22 having reviewed the table and forwarded it to TCC for further consideration. The EU reiterated that, consistent with usual practice, draft recommendations should be circulated to all delegations for review and comment before adoption. The </w:t>
      </w:r>
      <w:r w:rsidR="00D75B0E" w:rsidRPr="00B845AF">
        <w:rPr>
          <w:rFonts w:asciiTheme="minorHAnsi" w:hAnsiTheme="minorHAnsi" w:cstheme="minorHAnsi"/>
          <w:lang w:val="en-US"/>
        </w:rPr>
        <w:t>theme c</w:t>
      </w:r>
      <w:r w:rsidRPr="00B845AF">
        <w:rPr>
          <w:rFonts w:asciiTheme="minorHAnsi" w:hAnsiTheme="minorHAnsi" w:cstheme="minorHAnsi"/>
          <w:lang w:val="en-US"/>
        </w:rPr>
        <w:t>onvener agreed that the item would be captured as a draft recommendation for CCMs to review.</w:t>
      </w:r>
    </w:p>
    <w:p w14:paraId="2704B257" w14:textId="4A48C588" w:rsidR="002A1F5C" w:rsidRPr="00B845AF" w:rsidRDefault="002A1F5C" w:rsidP="002A1F5C">
      <w:pPr>
        <w:pStyle w:val="SCtext"/>
        <w:numPr>
          <w:ilvl w:val="0"/>
          <w:numId w:val="0"/>
        </w:numPr>
        <w:rPr>
          <w:rFonts w:asciiTheme="minorHAnsi" w:hAnsiTheme="minorHAnsi" w:cstheme="minorHAnsi"/>
          <w:lang w:val="en-US"/>
        </w:rPr>
      </w:pPr>
    </w:p>
    <w:p w14:paraId="64CECE91" w14:textId="3D573010" w:rsidR="002A1F5C" w:rsidRPr="00B845AF" w:rsidRDefault="002A1F5C" w:rsidP="002A1F5C">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76C3C2C3" w14:textId="4549487F" w:rsidR="002A1F5C" w:rsidRPr="00B845AF" w:rsidRDefault="00630C66">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reviewed information available to SC22 relevant to the SPALB monitoring strategy.</w:t>
      </w:r>
      <w:r w:rsidRPr="00B845AF">
        <w:rPr>
          <w:rFonts w:asciiTheme="minorHAnsi" w:eastAsia="MS Mincho" w:hAnsiTheme="minorHAnsi" w:cstheme="minorHAnsi"/>
          <w:b/>
          <w:bCs/>
          <w:lang w:val="en-US" w:eastAsia="ja-JP"/>
        </w:rPr>
        <w:t xml:space="preserve"> SC22 agreed that there is no information preventing the implementation of the SPALB MP and that no modification is necessary to the South Pacific albacore monitoring strategy table at this time.</w:t>
      </w:r>
    </w:p>
    <w:bookmarkEnd w:id="53"/>
    <w:p w14:paraId="5E8955AD" w14:textId="77777777" w:rsidR="007E17E2" w:rsidRPr="00B845AF" w:rsidRDefault="007E17E2" w:rsidP="007E17E2">
      <w:pPr>
        <w:pStyle w:val="SCtext"/>
        <w:numPr>
          <w:ilvl w:val="0"/>
          <w:numId w:val="0"/>
        </w:numPr>
        <w:rPr>
          <w:rFonts w:asciiTheme="minorHAnsi" w:hAnsiTheme="minorHAnsi" w:cstheme="minorHAnsi"/>
          <w:lang w:val="en-US"/>
        </w:rPr>
      </w:pPr>
    </w:p>
    <w:p w14:paraId="18B180D6" w14:textId="5B71F26F" w:rsidR="007E17E2" w:rsidRPr="00B845AF" w:rsidRDefault="001B2F8F" w:rsidP="001B2F8F">
      <w:pPr>
        <w:widowControl w:val="0"/>
        <w:kinsoku w:val="0"/>
        <w:overflowPunct w:val="0"/>
        <w:autoSpaceDE w:val="0"/>
        <w:autoSpaceDN w:val="0"/>
        <w:adjustRightInd w:val="0"/>
        <w:snapToGrid w:val="0"/>
        <w:jc w:val="both"/>
        <w:rPr>
          <w:rFonts w:asciiTheme="minorHAnsi" w:eastAsiaTheme="minorEastAsia" w:hAnsiTheme="minorHAnsi" w:cstheme="minorHAnsi"/>
          <w:b/>
          <w:bCs/>
          <w:szCs w:val="22"/>
          <w:lang w:eastAsia="ko-KR"/>
        </w:rPr>
      </w:pPr>
      <w:r w:rsidRPr="00B845AF">
        <w:rPr>
          <w:rFonts w:asciiTheme="minorHAnsi" w:eastAsiaTheme="minorEastAsia" w:hAnsiTheme="minorHAnsi" w:cstheme="minorHAnsi"/>
          <w:b/>
          <w:bCs/>
          <w:szCs w:val="22"/>
          <w:lang w:eastAsia="ko-KR"/>
        </w:rPr>
        <w:lastRenderedPageBreak/>
        <w:t>5.1.3.3</w:t>
      </w:r>
      <w:r w:rsidRPr="00B845AF">
        <w:rPr>
          <w:rFonts w:asciiTheme="minorHAnsi" w:eastAsiaTheme="minorEastAsia" w:hAnsiTheme="minorHAnsi" w:cstheme="minorHAnsi"/>
          <w:b/>
          <w:bCs/>
          <w:szCs w:val="22"/>
          <w:lang w:eastAsia="ko-KR"/>
        </w:rPr>
        <w:tab/>
      </w:r>
      <w:r w:rsidR="00151FC9" w:rsidRPr="00B845AF">
        <w:rPr>
          <w:rFonts w:asciiTheme="minorHAnsi" w:eastAsiaTheme="minorEastAsia" w:hAnsiTheme="minorHAnsi" w:cstheme="minorHAnsi"/>
          <w:b/>
          <w:bCs/>
          <w:szCs w:val="22"/>
          <w:lang w:eastAsia="ko-KR"/>
        </w:rPr>
        <w:t>Joint WCPFC/IATTC Working Group for South Pacific albacore</w:t>
      </w:r>
      <w:r w:rsidR="007E17E2" w:rsidRPr="00B845AF">
        <w:rPr>
          <w:rFonts w:asciiTheme="minorHAnsi" w:eastAsiaTheme="minorEastAsia" w:hAnsiTheme="minorHAnsi" w:cstheme="minorHAnsi"/>
          <w:b/>
          <w:bCs/>
          <w:szCs w:val="22"/>
          <w:lang w:eastAsia="ko-KR"/>
        </w:rPr>
        <w:t xml:space="preserve"> </w:t>
      </w:r>
    </w:p>
    <w:p w14:paraId="6DAC5156" w14:textId="77777777" w:rsidR="00AC15AD" w:rsidRPr="00B845AF" w:rsidRDefault="00AC15AD" w:rsidP="00AC15AD">
      <w:pPr>
        <w:pStyle w:val="SCtext"/>
        <w:numPr>
          <w:ilvl w:val="0"/>
          <w:numId w:val="0"/>
        </w:numPr>
        <w:rPr>
          <w:rFonts w:asciiTheme="minorHAnsi" w:hAnsiTheme="minorHAnsi" w:cstheme="minorHAnsi"/>
          <w:lang w:val="en-US"/>
        </w:rPr>
      </w:pPr>
    </w:p>
    <w:p w14:paraId="6AA0E78F" w14:textId="25EB18BA" w:rsidR="00884153" w:rsidRPr="00B845AF" w:rsidRDefault="00AB17FE" w:rsidP="00AF6193">
      <w:pPr>
        <w:pStyle w:val="SCtext"/>
        <w:rPr>
          <w:rFonts w:asciiTheme="minorHAnsi" w:hAnsiTheme="minorHAnsi" w:cstheme="minorHAnsi"/>
          <w:lang w:val="en-US"/>
        </w:rPr>
      </w:pPr>
      <w:r w:rsidRPr="00B845AF">
        <w:rPr>
          <w:rFonts w:asciiTheme="minorHAnsi" w:hAnsiTheme="minorHAnsi" w:cstheme="minorHAnsi"/>
          <w:lang w:val="en-US"/>
        </w:rPr>
        <w:t>No presentation was given on</w:t>
      </w:r>
      <w:r w:rsidR="00884153" w:rsidRPr="00B845AF">
        <w:rPr>
          <w:rFonts w:asciiTheme="minorHAnsi" w:hAnsiTheme="minorHAnsi" w:cstheme="minorHAnsi"/>
          <w:lang w:val="en-US"/>
        </w:rPr>
        <w:t xml:space="preserve"> this item,</w:t>
      </w:r>
      <w:r w:rsidRPr="00B845AF">
        <w:rPr>
          <w:rFonts w:asciiTheme="minorHAnsi" w:hAnsiTheme="minorHAnsi" w:cstheme="minorHAnsi"/>
          <w:lang w:val="en-US"/>
        </w:rPr>
        <w:t xml:space="preserve"> </w:t>
      </w:r>
      <w:hyperlink r:id="rId76" w:history="1">
        <w:r w:rsidR="00884153" w:rsidRPr="00B845AF">
          <w:rPr>
            <w:rStyle w:val="Hyperlink"/>
            <w:rFonts w:asciiTheme="minorHAnsi" w:hAnsiTheme="minorHAnsi" w:cstheme="minorHAnsi"/>
            <w:lang w:val="en-US"/>
          </w:rPr>
          <w:t>WCPFC-SC22-2026-GN-IP03</w:t>
        </w:r>
      </w:hyperlink>
      <w:r w:rsidR="00884153" w:rsidRPr="00B845AF">
        <w:rPr>
          <w:rFonts w:asciiTheme="minorHAnsi" w:hAnsiTheme="minorHAnsi" w:cstheme="minorHAnsi"/>
          <w:lang w:val="en-US"/>
        </w:rPr>
        <w:t>.</w:t>
      </w:r>
    </w:p>
    <w:p w14:paraId="57E0FA7B" w14:textId="77777777" w:rsidR="00884153" w:rsidRPr="00B845AF" w:rsidRDefault="00884153" w:rsidP="00835632">
      <w:pPr>
        <w:pStyle w:val="SCtext"/>
        <w:numPr>
          <w:ilvl w:val="0"/>
          <w:numId w:val="0"/>
        </w:numPr>
        <w:rPr>
          <w:rFonts w:asciiTheme="minorHAnsi" w:hAnsiTheme="minorHAnsi" w:cstheme="minorHAnsi"/>
          <w:lang w:val="en-US"/>
        </w:rPr>
      </w:pPr>
    </w:p>
    <w:p w14:paraId="0F1AFD67" w14:textId="43F7ABC5" w:rsidR="00E53FCC" w:rsidRPr="00B845AF" w:rsidRDefault="00E53FCC" w:rsidP="00E53FCC">
      <w:pPr>
        <w:pStyle w:val="SCDR"/>
        <w:rPr>
          <w:rFonts w:asciiTheme="minorHAnsi" w:hAnsiTheme="minorHAnsi" w:cstheme="minorHAnsi"/>
        </w:rPr>
      </w:pPr>
      <w:r w:rsidRPr="00B845AF">
        <w:rPr>
          <w:rFonts w:asciiTheme="minorHAnsi" w:hAnsiTheme="minorHAnsi" w:cstheme="minorHAnsi"/>
        </w:rPr>
        <w:t>Discussion</w:t>
      </w:r>
    </w:p>
    <w:p w14:paraId="243F29A6" w14:textId="29CA8BD5" w:rsidR="005546DA" w:rsidRPr="00B845AF" w:rsidRDefault="00AB17FE">
      <w:pPr>
        <w:pStyle w:val="SCtext"/>
        <w:rPr>
          <w:rFonts w:asciiTheme="minorHAnsi" w:hAnsiTheme="minorHAnsi" w:cstheme="minorHAnsi"/>
          <w:lang w:val="en-US"/>
        </w:rPr>
      </w:pPr>
      <w:r w:rsidRPr="00B845AF">
        <w:rPr>
          <w:rFonts w:asciiTheme="minorHAnsi" w:hAnsiTheme="minorHAnsi" w:cstheme="minorHAnsi"/>
          <w:lang w:val="en-US"/>
        </w:rPr>
        <w:t>Tonga, on behalf of the FFA members, thanked the co-chairs of the Joint IATTC/WCPFC Working Group for South Pacific Albacore for the group’s successful first meeting, noting that it produced positive outcomes and established a clear work plan for the Working Group</w:t>
      </w:r>
      <w:r w:rsidR="00884153" w:rsidRPr="00B845AF">
        <w:rPr>
          <w:rFonts w:asciiTheme="minorHAnsi" w:hAnsiTheme="minorHAnsi" w:cstheme="minorHAnsi"/>
          <w:lang w:val="en-US"/>
        </w:rPr>
        <w:t>’</w:t>
      </w:r>
      <w:r w:rsidRPr="00B845AF">
        <w:rPr>
          <w:rFonts w:asciiTheme="minorHAnsi" w:hAnsiTheme="minorHAnsi" w:cstheme="minorHAnsi"/>
          <w:lang w:val="en-US"/>
        </w:rPr>
        <w:t>s activities for the remainder of 2026 and 2027. Tonga requested that SPC and the Secretariat examine CKMR-related data sharing and exchange arrangements with IATTC, including developing any necessary MOUs, and report to WCPFC23</w:t>
      </w:r>
      <w:r w:rsidR="00A950C2" w:rsidRPr="00B845AF">
        <w:rPr>
          <w:rFonts w:asciiTheme="minorHAnsi" w:hAnsiTheme="minorHAnsi" w:cstheme="minorHAnsi"/>
          <w:lang w:val="en-US"/>
        </w:rPr>
        <w:t>.</w:t>
      </w:r>
    </w:p>
    <w:p w14:paraId="6926C35B" w14:textId="77777777" w:rsidR="006F46BB" w:rsidRPr="00B845AF" w:rsidRDefault="006F46BB" w:rsidP="006F46BB">
      <w:pPr>
        <w:pStyle w:val="SCtext"/>
        <w:numPr>
          <w:ilvl w:val="0"/>
          <w:numId w:val="0"/>
        </w:numPr>
        <w:rPr>
          <w:rFonts w:asciiTheme="minorHAnsi" w:hAnsiTheme="minorHAnsi" w:cstheme="minorHAnsi"/>
          <w:lang w:val="en-US"/>
        </w:rPr>
      </w:pPr>
    </w:p>
    <w:p w14:paraId="075873DE" w14:textId="5DC46C76" w:rsidR="009E5A1B" w:rsidRPr="00B845AF" w:rsidRDefault="00D0477F">
      <w:pPr>
        <w:pStyle w:val="SCtext"/>
        <w:rPr>
          <w:rFonts w:asciiTheme="minorHAnsi" w:hAnsiTheme="minorHAnsi" w:cstheme="minorHAnsi"/>
          <w:lang w:val="en-US"/>
        </w:rPr>
      </w:pPr>
      <w:r w:rsidRPr="00B845AF">
        <w:rPr>
          <w:rFonts w:asciiTheme="minorHAnsi" w:hAnsiTheme="minorHAnsi" w:cstheme="minorHAnsi"/>
          <w:lang w:val="en-US"/>
        </w:rPr>
        <w:t>The</w:t>
      </w:r>
      <w:r w:rsidR="00AB17FE" w:rsidRPr="00B845AF">
        <w:rPr>
          <w:rFonts w:asciiTheme="minorHAnsi" w:hAnsiTheme="minorHAnsi" w:cstheme="minorHAnsi"/>
          <w:lang w:val="en-US"/>
        </w:rPr>
        <w:t xml:space="preserve"> </w:t>
      </w:r>
      <w:r w:rsidR="00D75B0E" w:rsidRPr="00B845AF">
        <w:rPr>
          <w:rFonts w:asciiTheme="minorHAnsi" w:hAnsiTheme="minorHAnsi" w:cstheme="minorHAnsi"/>
          <w:lang w:val="en-US"/>
        </w:rPr>
        <w:t>theme c</w:t>
      </w:r>
      <w:r w:rsidR="00AB17FE" w:rsidRPr="00B845AF">
        <w:rPr>
          <w:rFonts w:asciiTheme="minorHAnsi" w:hAnsiTheme="minorHAnsi" w:cstheme="minorHAnsi"/>
          <w:lang w:val="en-US"/>
        </w:rPr>
        <w:t>onvener</w:t>
      </w:r>
      <w:r w:rsidRPr="00B845AF">
        <w:rPr>
          <w:rFonts w:asciiTheme="minorHAnsi" w:hAnsiTheme="minorHAnsi" w:cstheme="minorHAnsi"/>
          <w:lang w:val="en-US"/>
        </w:rPr>
        <w:t xml:space="preserve"> clarified that there is an MOU between WCPFC and IATTC, and the </w:t>
      </w:r>
      <w:r w:rsidR="00AB17FE" w:rsidRPr="00B845AF">
        <w:rPr>
          <w:rFonts w:asciiTheme="minorHAnsi" w:hAnsiTheme="minorHAnsi" w:cstheme="minorHAnsi"/>
          <w:lang w:val="en-US"/>
        </w:rPr>
        <w:t>SSP responded that SPC and IATTC already have an MOU covering data sharing, tagging, and sampling, under which CKMR information would fall in a general sense, but noted that the MOU would need to be updated next year to more explicitly capture CKMR, and that SPC has been working with Chinese colleagues to obtain albacore samples from the EPO</w:t>
      </w:r>
      <w:r w:rsidR="009E5A1B" w:rsidRPr="00B845AF">
        <w:rPr>
          <w:rFonts w:asciiTheme="minorHAnsi" w:hAnsiTheme="minorHAnsi" w:cstheme="minorHAnsi"/>
          <w:lang w:val="en-US"/>
        </w:rPr>
        <w:t>.</w:t>
      </w:r>
    </w:p>
    <w:p w14:paraId="4BE47119" w14:textId="15D39BA9" w:rsidR="006216C2" w:rsidRPr="00B845AF" w:rsidRDefault="006216C2" w:rsidP="006216C2">
      <w:pPr>
        <w:pStyle w:val="SCtext"/>
        <w:numPr>
          <w:ilvl w:val="0"/>
          <w:numId w:val="0"/>
        </w:numPr>
        <w:rPr>
          <w:rFonts w:asciiTheme="minorHAnsi" w:hAnsiTheme="minorHAnsi" w:cstheme="minorHAnsi"/>
          <w:lang w:val="en-US"/>
        </w:rPr>
      </w:pPr>
    </w:p>
    <w:p w14:paraId="4E45E8B2" w14:textId="279538CC" w:rsidR="00AB17FE" w:rsidRPr="00B845AF" w:rsidRDefault="006216C2" w:rsidP="006216C2">
      <w:pPr>
        <w:pStyle w:val="SCDR"/>
        <w:rPr>
          <w:rFonts w:asciiTheme="minorHAnsi" w:hAnsiTheme="minorHAnsi" w:cstheme="minorHAnsi"/>
        </w:rPr>
      </w:pPr>
      <w:r w:rsidRPr="00B845AF">
        <w:rPr>
          <w:rFonts w:asciiTheme="minorHAnsi" w:hAnsiTheme="minorHAnsi" w:cstheme="minorHAnsi"/>
        </w:rPr>
        <w:t>Outcome</w:t>
      </w:r>
    </w:p>
    <w:p w14:paraId="26E24AFD" w14:textId="41A53498" w:rsidR="00AB17FE" w:rsidRPr="00B845AF" w:rsidRDefault="0006784B">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welcomed the results of the first Joint WCPFC/IATTC Working Group for South Pacific Albacore and encouraged continued collaboration with IATTC and its CPCs and requested that </w:t>
      </w:r>
      <w:r w:rsidR="00636785" w:rsidRPr="00B845AF">
        <w:rPr>
          <w:rFonts w:asciiTheme="minorHAnsi" w:hAnsiTheme="minorHAnsi" w:cstheme="minorHAnsi"/>
          <w:b/>
          <w:bCs/>
          <w:lang w:val="en-US"/>
        </w:rPr>
        <w:t>SSP</w:t>
      </w:r>
      <w:r w:rsidRPr="00B845AF">
        <w:rPr>
          <w:rFonts w:asciiTheme="minorHAnsi" w:hAnsiTheme="minorHAnsi" w:cstheme="minorHAnsi"/>
          <w:b/>
          <w:bCs/>
          <w:lang w:val="en-US"/>
        </w:rPr>
        <w:t xml:space="preserve"> explicitly </w:t>
      </w:r>
      <w:proofErr w:type="gramStart"/>
      <w:r w:rsidRPr="00B845AF">
        <w:rPr>
          <w:rFonts w:asciiTheme="minorHAnsi" w:hAnsiTheme="minorHAnsi" w:cstheme="minorHAnsi"/>
          <w:b/>
          <w:bCs/>
          <w:lang w:val="en-US"/>
        </w:rPr>
        <w:t>include</w:t>
      </w:r>
      <w:proofErr w:type="gramEnd"/>
      <w:r w:rsidRPr="00B845AF">
        <w:rPr>
          <w:rFonts w:asciiTheme="minorHAnsi" w:hAnsiTheme="minorHAnsi" w:cstheme="minorHAnsi"/>
          <w:b/>
          <w:bCs/>
          <w:lang w:val="en-US"/>
        </w:rPr>
        <w:t xml:space="preserve"> close-kin mark-recapture (CKMR) data when updating the MOU with IATTC.</w:t>
      </w:r>
    </w:p>
    <w:p w14:paraId="50D079BB" w14:textId="68DAC94E" w:rsidR="00151FC9" w:rsidRPr="00B845AF" w:rsidRDefault="00151FC9" w:rsidP="00151FC9">
      <w:pPr>
        <w:pStyle w:val="SCtext"/>
        <w:numPr>
          <w:ilvl w:val="0"/>
          <w:numId w:val="0"/>
        </w:numPr>
        <w:rPr>
          <w:rFonts w:asciiTheme="minorHAnsi" w:hAnsiTheme="minorHAnsi" w:cstheme="minorHAnsi"/>
          <w:lang w:val="en-US"/>
        </w:rPr>
      </w:pPr>
    </w:p>
    <w:p w14:paraId="07442473" w14:textId="03185215" w:rsidR="00151FC9" w:rsidRPr="00B845AF" w:rsidRDefault="00151FC9" w:rsidP="00151FC9">
      <w:pPr>
        <w:pStyle w:val="SCtext"/>
        <w:numPr>
          <w:ilvl w:val="0"/>
          <w:numId w:val="0"/>
        </w:numPr>
        <w:rPr>
          <w:rFonts w:asciiTheme="minorHAnsi" w:hAnsiTheme="minorHAnsi" w:cstheme="minorHAnsi"/>
          <w:b/>
          <w:bCs/>
          <w:lang w:val="en-US"/>
        </w:rPr>
      </w:pPr>
      <w:bookmarkStart w:id="57" w:name="_Hlk237509406"/>
      <w:r w:rsidRPr="00B845AF">
        <w:rPr>
          <w:rFonts w:asciiTheme="minorHAnsi" w:hAnsiTheme="minorHAnsi" w:cstheme="minorHAnsi"/>
          <w:b/>
          <w:bCs/>
          <w:lang w:val="en-US"/>
        </w:rPr>
        <w:t>5.1.3.4 Updates on South Pacific albacore Roadmap IWG</w:t>
      </w:r>
    </w:p>
    <w:p w14:paraId="0F00B4AF" w14:textId="77777777" w:rsidR="006F46BB" w:rsidRPr="00B845AF" w:rsidRDefault="006F46BB" w:rsidP="006F46BB">
      <w:pPr>
        <w:pStyle w:val="SCtext"/>
        <w:numPr>
          <w:ilvl w:val="0"/>
          <w:numId w:val="0"/>
        </w:numPr>
        <w:rPr>
          <w:rFonts w:asciiTheme="minorHAnsi" w:hAnsiTheme="minorHAnsi" w:cstheme="minorHAnsi"/>
          <w:lang w:val="en-US"/>
        </w:rPr>
      </w:pPr>
    </w:p>
    <w:p w14:paraId="0436FC0F" w14:textId="6C530C1C" w:rsidR="00BB6BFE" w:rsidRPr="00B845AF" w:rsidRDefault="006216C2">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r w:rsidR="00937630" w:rsidRPr="00B845AF">
        <w:rPr>
          <w:rFonts w:asciiTheme="minorHAnsi" w:hAnsiTheme="minorHAnsi" w:cstheme="minorHAnsi"/>
          <w:lang w:val="en-US"/>
        </w:rPr>
        <w:t>.</w:t>
      </w:r>
    </w:p>
    <w:p w14:paraId="49047127" w14:textId="4A75BD0F" w:rsidR="00EC4DC0" w:rsidRPr="00B845AF" w:rsidRDefault="00EC4DC0" w:rsidP="00EC4DC0">
      <w:pPr>
        <w:pStyle w:val="SCtext"/>
        <w:numPr>
          <w:ilvl w:val="0"/>
          <w:numId w:val="0"/>
        </w:numPr>
        <w:rPr>
          <w:rFonts w:asciiTheme="minorHAnsi" w:hAnsiTheme="minorHAnsi" w:cstheme="minorHAnsi"/>
          <w:lang w:val="en-US"/>
        </w:rPr>
      </w:pPr>
    </w:p>
    <w:p w14:paraId="7899615D" w14:textId="3D472CA4" w:rsidR="00EC4DC0" w:rsidRPr="00B845AF" w:rsidRDefault="00EC4DC0">
      <w:pPr>
        <w:pStyle w:val="SC3"/>
        <w:rPr>
          <w:rFonts w:asciiTheme="minorHAnsi" w:hAnsiTheme="minorHAnsi" w:cstheme="minorHAnsi"/>
        </w:rPr>
      </w:pPr>
      <w:r w:rsidRPr="00B845AF">
        <w:rPr>
          <w:rFonts w:asciiTheme="minorHAnsi" w:hAnsiTheme="minorHAnsi" w:cstheme="minorHAnsi"/>
        </w:rPr>
        <w:t>Skipjack tuna harvest strategy</w:t>
      </w:r>
    </w:p>
    <w:p w14:paraId="5A4140E5" w14:textId="68C9FEED" w:rsidR="00EC4DC0" w:rsidRPr="00B845AF" w:rsidRDefault="00EC4DC0">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N. Yao (SPC-OFP) presented </w:t>
      </w:r>
      <w:hyperlink r:id="rId77" w:history="1">
        <w:r w:rsidRPr="00B845AF">
          <w:rPr>
            <w:rStyle w:val="Hyperlink"/>
            <w:rFonts w:asciiTheme="minorHAnsi" w:eastAsia="MS Mincho" w:hAnsiTheme="minorHAnsi" w:cstheme="minorHAnsi"/>
            <w:lang w:val="en-US" w:eastAsia="ja-JP"/>
          </w:rPr>
          <w:t>WCPFC-SC22-2026-MI-WP10</w:t>
        </w:r>
      </w:hyperlink>
      <w:r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i/>
          <w:iCs/>
          <w:lang w:val="en-US" w:eastAsia="ja-JP"/>
        </w:rPr>
        <w:t>Joint standardisation of Japanese pole-and-line and regional purse-seine CPUE for skipjack tuna in the equatorial WCPO</w:t>
      </w:r>
      <w:r w:rsidRPr="00B845AF">
        <w:rPr>
          <w:rFonts w:asciiTheme="minorHAnsi" w:eastAsia="MS Mincho" w:hAnsiTheme="minorHAnsi" w:cstheme="minorHAnsi"/>
          <w:lang w:val="en-US" w:eastAsia="ja-JP"/>
        </w:rPr>
        <w:t xml:space="preserve">. </w:t>
      </w:r>
    </w:p>
    <w:p w14:paraId="4638D621" w14:textId="77777777" w:rsidR="00EC4DC0" w:rsidRPr="00B845AF" w:rsidRDefault="00EC4DC0" w:rsidP="00EC4DC0">
      <w:pPr>
        <w:pStyle w:val="SCtext"/>
        <w:numPr>
          <w:ilvl w:val="0"/>
          <w:numId w:val="0"/>
        </w:numPr>
        <w:rPr>
          <w:rFonts w:asciiTheme="minorHAnsi" w:eastAsia="MS Mincho" w:hAnsiTheme="minorHAnsi" w:cstheme="minorHAnsi"/>
          <w:lang w:val="en-US" w:eastAsia="ja-JP"/>
        </w:rPr>
      </w:pPr>
    </w:p>
    <w:p w14:paraId="2A1114AD" w14:textId="1F1E7AA5" w:rsidR="00EC4DC0" w:rsidRPr="00B845AF" w:rsidRDefault="00EC4DC0" w:rsidP="00EC4DC0">
      <w:pPr>
        <w:pStyle w:val="SCtext"/>
        <w:numPr>
          <w:ilvl w:val="0"/>
          <w:numId w:val="0"/>
        </w:numPr>
        <w:ind w:left="720"/>
        <w:rPr>
          <w:rFonts w:asciiTheme="minorHAnsi" w:hAnsiTheme="minorHAnsi" w:cstheme="minorHAnsi"/>
          <w:lang w:val="en-US"/>
        </w:rPr>
      </w:pPr>
      <w:r w:rsidRPr="00B845AF">
        <w:rPr>
          <w:rFonts w:asciiTheme="minorHAnsi" w:eastAsia="MS Mincho" w:hAnsiTheme="minorHAnsi" w:cstheme="minorHAnsi"/>
          <w:lang w:val="en-US" w:eastAsia="ja-JP"/>
        </w:rPr>
        <w:t xml:space="preserve">The paper responds to SC20’s call for alternative abundance indices ahead of the third implementation of the skipjack MP, motivated by the continued spatial contraction of the Japanese pole-and-line (JPPL) fishery, which has reduced the representativeness of its CPUE index in the equatorial region. The authors developed a joint spatiotemporal delta and positive-only model in which JPPL and purse seine (PS) catch rates are treated as observations of a shared latent biomass surface scaled by gear-specific catchability, so that where JPPL coverage is sparse the PS data (91% of the 116,698 records used, against 9% for JPPL) can inform the estimate and reduce bias. Seven candidate model structures were compared using convergence diagnostics, AIC, and the mean and median coefficients of variation (CV) of the standardized quarterly index; a positive-only model with gear by month, detection code, number of poles, and gross registered tonnage (GRT) as catchability covariates and sea surface temperature as a population covariate performed best, showing no strong broad-scale spatial residual bias, while the delta model (M7) failed to achieve a positive-definite Hessian and was not further considered. The resulting joint index tracked closely with the PS-only trend, reflecting the much larger PS sample size, and produced substantially lower and more stable CV over time than the JPPL-only index, whose precision has degraded markedly since around 2020. The authors concluded that the joint JPPL-PS framework </w:t>
      </w:r>
      <w:r w:rsidRPr="00B845AF">
        <w:rPr>
          <w:rFonts w:asciiTheme="minorHAnsi" w:eastAsia="MS Mincho" w:hAnsiTheme="minorHAnsi" w:cstheme="minorHAnsi"/>
          <w:lang w:val="en-US" w:eastAsia="ja-JP"/>
        </w:rPr>
        <w:lastRenderedPageBreak/>
        <w:t>is feasible and improves spatial coverage and precision relative to a JPPL-only analysis, while noting that unequal sample sizes and fishery-specific selectivity need further evaluation, and that longer time series, sensitivity testing, and evaluation within the skipjack MP are required before operational use. SC22 was invited to provide feedback on the joint modeling framework and to consider prioritizing its further development ahead of the third skipjack MP implementation cycle.</w:t>
      </w:r>
    </w:p>
    <w:p w14:paraId="598DED87" w14:textId="34DE2A36" w:rsidR="00EC4DC0" w:rsidRPr="00B845AF" w:rsidRDefault="00EC4DC0" w:rsidP="00EC4DC0">
      <w:pPr>
        <w:pStyle w:val="SCtext"/>
        <w:numPr>
          <w:ilvl w:val="0"/>
          <w:numId w:val="0"/>
        </w:numPr>
        <w:rPr>
          <w:rFonts w:asciiTheme="minorHAnsi" w:eastAsia="MS Mincho" w:hAnsiTheme="minorHAnsi" w:cstheme="minorHAnsi"/>
          <w:lang w:val="en-US" w:eastAsia="ja-JP"/>
        </w:rPr>
      </w:pPr>
    </w:p>
    <w:p w14:paraId="589B5C57" w14:textId="0EBAD689" w:rsidR="00EC4DC0" w:rsidRPr="00B845AF" w:rsidRDefault="00EC4DC0" w:rsidP="00BC3FF9">
      <w:pPr>
        <w:pStyle w:val="SCDR"/>
        <w:rPr>
          <w:rFonts w:asciiTheme="minorHAnsi" w:hAnsiTheme="minorHAnsi" w:cstheme="minorHAnsi"/>
          <w:lang w:eastAsia="ja-JP"/>
        </w:rPr>
      </w:pPr>
      <w:r w:rsidRPr="00B845AF">
        <w:rPr>
          <w:rFonts w:asciiTheme="minorHAnsi" w:hAnsiTheme="minorHAnsi" w:cstheme="minorHAnsi"/>
          <w:lang w:eastAsia="ja-JP"/>
        </w:rPr>
        <w:t>Discussion</w:t>
      </w:r>
    </w:p>
    <w:p w14:paraId="62E735E3" w14:textId="0E496C1F" w:rsidR="00EC4DC0" w:rsidRPr="00B845AF" w:rsidRDefault="003D0187">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The USA thanked the SSP and Japan for the collaborative analysis addressing the declining representativeness of the JPPL fishery data. They supported the modeling work and the </w:t>
      </w:r>
      <w:proofErr w:type="gramStart"/>
      <w:r w:rsidRPr="00B845AF">
        <w:rPr>
          <w:rFonts w:asciiTheme="minorHAnsi" w:eastAsia="MS Mincho" w:hAnsiTheme="minorHAnsi" w:cstheme="minorHAnsi"/>
          <w:lang w:val="en-US" w:eastAsia="ja-JP"/>
        </w:rPr>
        <w:t>authors’</w:t>
      </w:r>
      <w:proofErr w:type="gramEnd"/>
      <w:r w:rsidRPr="00B845AF">
        <w:rPr>
          <w:rFonts w:asciiTheme="minorHAnsi" w:eastAsia="MS Mincho" w:hAnsiTheme="minorHAnsi" w:cstheme="minorHAnsi"/>
          <w:lang w:val="en-US" w:eastAsia="ja-JP"/>
        </w:rPr>
        <w:t xml:space="preserve"> recommendation to formally test the new index within the existing MSE framework. The USA noted that the training data were highly skewed toward purse seine observations and suggested that follow-up work explore post hoc sampling of observations to achieve a more balanced composition between the two </w:t>
      </w:r>
      <w:r w:rsidR="00DA6C42" w:rsidRPr="00B845AF">
        <w:rPr>
          <w:rFonts w:asciiTheme="minorHAnsi" w:eastAsia="MS Mincho" w:hAnsiTheme="minorHAnsi" w:cstheme="minorHAnsi"/>
          <w:lang w:val="en-US" w:eastAsia="ja-JP"/>
        </w:rPr>
        <w:t>gears and</w:t>
      </w:r>
      <w:r w:rsidRPr="00B845AF">
        <w:rPr>
          <w:rFonts w:asciiTheme="minorHAnsi" w:eastAsia="MS Mincho" w:hAnsiTheme="minorHAnsi" w:cstheme="minorHAnsi"/>
          <w:lang w:val="en-US" w:eastAsia="ja-JP"/>
        </w:rPr>
        <w:t xml:space="preserve"> encouraged other CCMs to collaborate with the SSP on the work.</w:t>
      </w:r>
    </w:p>
    <w:p w14:paraId="512CE6FB" w14:textId="77777777" w:rsidR="003D0187" w:rsidRPr="00B845AF" w:rsidRDefault="003D0187" w:rsidP="003D0187">
      <w:pPr>
        <w:pStyle w:val="SCtext"/>
        <w:numPr>
          <w:ilvl w:val="0"/>
          <w:numId w:val="0"/>
        </w:numPr>
        <w:rPr>
          <w:rFonts w:asciiTheme="minorHAnsi" w:hAnsiTheme="minorHAnsi" w:cstheme="minorHAnsi"/>
          <w:lang w:val="en-US"/>
        </w:rPr>
      </w:pPr>
    </w:p>
    <w:p w14:paraId="5B48E775" w14:textId="0115AD4F"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Japan appreciated the collaborative work on the declining representativeness of the JPPL fishery and stated that combining JPPL with purse seine data was expected to help resolve the representativeness issue going forward. Japan stated it would continue to support further collaboration on the project so that the impact of the CPUE revision on the MP could be evaluated.</w:t>
      </w:r>
    </w:p>
    <w:p w14:paraId="37A66C3E" w14:textId="77777777" w:rsidR="003D0187" w:rsidRPr="00B845AF" w:rsidRDefault="003D0187" w:rsidP="003D0187">
      <w:pPr>
        <w:pStyle w:val="SCtext"/>
        <w:numPr>
          <w:ilvl w:val="0"/>
          <w:numId w:val="0"/>
        </w:numPr>
        <w:rPr>
          <w:rFonts w:asciiTheme="minorHAnsi" w:hAnsiTheme="minorHAnsi" w:cstheme="minorHAnsi"/>
          <w:lang w:val="en-US"/>
        </w:rPr>
      </w:pPr>
    </w:p>
    <w:p w14:paraId="493493C4" w14:textId="1047BDB1"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 xml:space="preserve">Korea supported continued development of the joint index to address the decline in JPPL coverage and improve the precision of the equatorial skipjack index. Korea noted that purse seine data accounted for approximately 91% of observations and that the joint index broadly followed the purse-seine-only </w:t>
      </w:r>
      <w:r w:rsidR="00DA6C42" w:rsidRPr="00B845AF">
        <w:rPr>
          <w:rFonts w:asciiTheme="minorHAnsi" w:hAnsiTheme="minorHAnsi" w:cstheme="minorHAnsi"/>
          <w:lang w:val="en-US"/>
        </w:rPr>
        <w:t>trend and</w:t>
      </w:r>
      <w:r w:rsidRPr="00B845AF">
        <w:rPr>
          <w:rFonts w:asciiTheme="minorHAnsi" w:hAnsiTheme="minorHAnsi" w:cstheme="minorHAnsi"/>
          <w:lang w:val="en-US"/>
        </w:rPr>
        <w:t xml:space="preserve"> asked what additional diagnostics or simulations were planned to distinguish the information gained from combining fisheries from the effect of the much larger purse seine sample size. Korea also asked for clarification on how the longer pre-2010 JPPL series would be linked to the joint period, and how differences in selectivity and time-varying catchability between the fisheries would be evaluated.</w:t>
      </w:r>
    </w:p>
    <w:p w14:paraId="581146E0" w14:textId="77777777" w:rsidR="003D0187" w:rsidRPr="00B845AF" w:rsidRDefault="003D0187" w:rsidP="003D0187">
      <w:pPr>
        <w:pStyle w:val="SCtext"/>
        <w:numPr>
          <w:ilvl w:val="0"/>
          <w:numId w:val="0"/>
        </w:numPr>
        <w:rPr>
          <w:rFonts w:asciiTheme="minorHAnsi" w:hAnsiTheme="minorHAnsi" w:cstheme="minorHAnsi"/>
          <w:lang w:val="en-US"/>
        </w:rPr>
      </w:pPr>
    </w:p>
    <w:p w14:paraId="2F8DCF2E" w14:textId="4335739E"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the uneven sample size was an issue requiring further evaluation, and that different weightings between the indices would be tested. The SSP noted that sub-sampling of purse seine data had shown that JPPL spatial coverage in recent years was not representative of the entire equatorial region. On the longer JPPL time series, the SSP explained that the joint analysis began in 2010 because that was when purse seine CPUE was first used in the 2025 skipjack assessment, but that JPPL data collected the same way extended back to 1972, and that the framework could accommodate periods when only one fishery was present. The SSP stated that some analysis along these lines had already been run but was not yet ready to </w:t>
      </w:r>
      <w:proofErr w:type="gramStart"/>
      <w:r w:rsidRPr="00B845AF">
        <w:rPr>
          <w:rFonts w:asciiTheme="minorHAnsi" w:hAnsiTheme="minorHAnsi" w:cstheme="minorHAnsi"/>
          <w:lang w:val="en-US"/>
        </w:rPr>
        <w:t>present, and</w:t>
      </w:r>
      <w:proofErr w:type="gramEnd"/>
      <w:r w:rsidRPr="00B845AF">
        <w:rPr>
          <w:rFonts w:asciiTheme="minorHAnsi" w:hAnsiTheme="minorHAnsi" w:cstheme="minorHAnsi"/>
          <w:lang w:val="en-US"/>
        </w:rPr>
        <w:t xml:space="preserve"> noted that extending the JPPL period could also reveal a stationary spatial effect from JPPL that would affect joint index performance, which remained an area of continuing development.</w:t>
      </w:r>
    </w:p>
    <w:p w14:paraId="74A14744" w14:textId="77777777" w:rsidR="003D0187" w:rsidRPr="00B845AF" w:rsidRDefault="003D0187" w:rsidP="003D0187">
      <w:pPr>
        <w:pStyle w:val="SCtext"/>
        <w:numPr>
          <w:ilvl w:val="0"/>
          <w:numId w:val="0"/>
        </w:numPr>
        <w:rPr>
          <w:rFonts w:asciiTheme="minorHAnsi" w:hAnsiTheme="minorHAnsi" w:cstheme="minorHAnsi"/>
          <w:lang w:val="en-US"/>
        </w:rPr>
      </w:pPr>
    </w:p>
    <w:p w14:paraId="5B220562" w14:textId="27F4E674"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 xml:space="preserve">Chinese Taipei stated that the joint approach was promising given the decline in JPPL spatial coverage and raised two questions. First, noting that purse seine effort was defined as vessel monitoring system (VMS) distance traveled between successful free school sets, Chinese Taipei asked whether this effort measure had represented a consistent level of effective effort over 2010 to 2024, and whether improvements in efficiency or fishing technology over time could be misinterpreted by the joint model as a change in skipjack abundance. Second, Chinese Taipei asked about implications for the MP, noting that the joint index showed improved precision relative to the current JPPL-only index in the equatorial region, and asked for an early indication of whether the joint index would also improve MP performance and robustness when tested in the MSE. Chinese Taipei further asked about the model’s assumption of a </w:t>
      </w:r>
      <w:r w:rsidRPr="00B845AF">
        <w:rPr>
          <w:rFonts w:asciiTheme="minorHAnsi" w:hAnsiTheme="minorHAnsi" w:cstheme="minorHAnsi"/>
          <w:lang w:val="en-US"/>
        </w:rPr>
        <w:lastRenderedPageBreak/>
        <w:t>shared latent biomass process across fisheries, and how sensitive results were to that assumption, particularly where fisheries have different spatial distributions or target different size or age components of the population.</w:t>
      </w:r>
    </w:p>
    <w:p w14:paraId="7939AD5B" w14:textId="77777777" w:rsidR="003D0187" w:rsidRPr="00B845AF" w:rsidRDefault="003D0187" w:rsidP="003D0187">
      <w:pPr>
        <w:pStyle w:val="SCtext"/>
        <w:numPr>
          <w:ilvl w:val="0"/>
          <w:numId w:val="0"/>
        </w:numPr>
        <w:rPr>
          <w:rFonts w:asciiTheme="minorHAnsi" w:hAnsiTheme="minorHAnsi" w:cstheme="minorHAnsi"/>
          <w:lang w:val="en-US"/>
        </w:rPr>
      </w:pPr>
    </w:p>
    <w:p w14:paraId="2A3AAC68" w14:textId="2D36B0FE"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The theme convener clarified that the skipjack MP would continue to be run using JPPL CPUE next year, and that the joint index would be tested for possible future use.</w:t>
      </w:r>
    </w:p>
    <w:p w14:paraId="2630C50F" w14:textId="77777777" w:rsidR="003D0187" w:rsidRPr="00B845AF" w:rsidRDefault="003D0187" w:rsidP="003D0187">
      <w:pPr>
        <w:pStyle w:val="SCtext"/>
        <w:numPr>
          <w:ilvl w:val="0"/>
          <w:numId w:val="0"/>
        </w:numPr>
        <w:rPr>
          <w:rFonts w:asciiTheme="minorHAnsi" w:hAnsiTheme="minorHAnsi" w:cstheme="minorHAnsi"/>
          <w:lang w:val="en-US"/>
        </w:rPr>
      </w:pPr>
    </w:p>
    <w:p w14:paraId="1EE0B2C3" w14:textId="420929B9" w:rsidR="003D0187" w:rsidRPr="00B845AF" w:rsidRDefault="003D0187">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the work was being prioritized ahead of the third implementation of the MP in 2030, and that it would be presented as a work in progress next year rather than as something ready for implementation. On the effort measure, the SSP stated that the analysis had followed the approach used in the 2025 skipjack assessment, using VMS data from 2010 onward because that was when VMS coverage became complete, but that the relationship between VMS distance and effective effort had not been specifically examined, and offered to check this further. The SSP confirmed that the framework was flexible enough to incorporate time-varying catchability, but that this had not been turned on given only 14 years of data are currently used, and that this could be revisited with a </w:t>
      </w:r>
      <w:proofErr w:type="gramStart"/>
      <w:r w:rsidRPr="00B845AF">
        <w:rPr>
          <w:rFonts w:asciiTheme="minorHAnsi" w:hAnsiTheme="minorHAnsi" w:cstheme="minorHAnsi"/>
          <w:lang w:val="en-US"/>
        </w:rPr>
        <w:t>longer time</w:t>
      </w:r>
      <w:proofErr w:type="gramEnd"/>
      <w:r w:rsidRPr="00B845AF">
        <w:rPr>
          <w:rFonts w:asciiTheme="minorHAnsi" w:hAnsiTheme="minorHAnsi" w:cstheme="minorHAnsi"/>
          <w:lang w:val="en-US"/>
        </w:rPr>
        <w:t xml:space="preserve"> series if the analysis showed it was necessary. On the shared biomass assumption, the SSP stated that this could not be fully assessed without simulation testing under different population and selectivity scenarios, which had not yet been carried out, but noted that size distributions for skipjack caught by JPPL and purse seine in regions 6 to 8 were very similar, suggesting the two fisheries were not subject to substantially different selectivity, and stated that in principle any difference in selectivity should be captured by the gear-specific catchability parameters, though this remained to be confirmed through simulation testing.</w:t>
      </w:r>
    </w:p>
    <w:p w14:paraId="7492824F" w14:textId="77777777" w:rsidR="004D7F0D" w:rsidRPr="00B845AF" w:rsidRDefault="004D7F0D" w:rsidP="004D7F0D">
      <w:pPr>
        <w:pStyle w:val="SCtext"/>
        <w:numPr>
          <w:ilvl w:val="0"/>
          <w:numId w:val="0"/>
        </w:numPr>
        <w:rPr>
          <w:rFonts w:asciiTheme="minorHAnsi" w:hAnsiTheme="minorHAnsi" w:cstheme="minorHAnsi"/>
          <w:lang w:val="en-US"/>
        </w:rPr>
      </w:pPr>
    </w:p>
    <w:p w14:paraId="665E12EE" w14:textId="7941BAD1"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 xml:space="preserve">Tuvalu, on behalf of FFA members, thanked the SSP for the paper and acknowledged the progress made in developing the joint index for the equatorial skipjack assessment regions. FFA members recognized the potential of the work to improve spatial coverage while maintaining continuity with the historical JPPL series underpinning the adopted skipjack </w:t>
      </w:r>
      <w:proofErr w:type="gramStart"/>
      <w:r w:rsidRPr="00B845AF">
        <w:rPr>
          <w:rFonts w:asciiTheme="minorHAnsi" w:hAnsiTheme="minorHAnsi" w:cstheme="minorHAnsi"/>
          <w:lang w:val="en-US"/>
        </w:rPr>
        <w:t>MP, and</w:t>
      </w:r>
      <w:proofErr w:type="gramEnd"/>
      <w:r w:rsidRPr="00B845AF">
        <w:rPr>
          <w:rFonts w:asciiTheme="minorHAnsi" w:hAnsiTheme="minorHAnsi" w:cstheme="minorHAnsi"/>
          <w:lang w:val="en-US"/>
        </w:rPr>
        <w:t xml:space="preserve"> noted that the preliminary results were encouraging and indicated the joint index may reduce uncertainty relative to the current JPPL-only index. FFA members stressed that the work remained preliminary and required further evaluation before it could be considered for operational </w:t>
      </w:r>
      <w:proofErr w:type="gramStart"/>
      <w:r w:rsidRPr="00B845AF">
        <w:rPr>
          <w:rFonts w:asciiTheme="minorHAnsi" w:hAnsiTheme="minorHAnsi" w:cstheme="minorHAnsi"/>
          <w:lang w:val="en-US"/>
        </w:rPr>
        <w:t>use, and</w:t>
      </w:r>
      <w:proofErr w:type="gramEnd"/>
      <w:r w:rsidRPr="00B845AF">
        <w:rPr>
          <w:rFonts w:asciiTheme="minorHAnsi" w:hAnsiTheme="minorHAnsi" w:cstheme="minorHAnsi"/>
          <w:lang w:val="en-US"/>
        </w:rPr>
        <w:t xml:space="preserve"> encouraged further investigation of the influence of environmental variability, including the El Niño-Southern Oscillation (ENSO), together with additional sensitivity analyses to assess the effect of sample size imbalance and differences in selectivity and catchability between the JPPL and purse seine fisheries. FFA members stated this work was important to ensure the joint index remains representative of underlying stock abundance, maintains continuity with the historical JPPL series, and is not unduly influenced by changes in fishery behavior, spatial coverage, or sampling characteristics. FFA members supported continued development and testing of the joint index within the existing MP framework, noting that SC21 had supported continued application of the interim skipjack MP for the next implementation cycle, and stated that any future modification to the abundance index used by the estimation method should only be considered following comprehensive MP testing demonstrating that proposed changes maintain the robustness, stability, and intended performance of the adopted skipjack MP, and do not adversely affect management outcomes.</w:t>
      </w:r>
    </w:p>
    <w:p w14:paraId="69A8D657" w14:textId="77777777" w:rsidR="004D7F0D" w:rsidRPr="00B845AF" w:rsidRDefault="004D7F0D" w:rsidP="004D7F0D">
      <w:pPr>
        <w:pStyle w:val="SCtext"/>
        <w:numPr>
          <w:ilvl w:val="0"/>
          <w:numId w:val="0"/>
        </w:numPr>
        <w:rPr>
          <w:rFonts w:asciiTheme="minorHAnsi" w:hAnsiTheme="minorHAnsi" w:cstheme="minorHAnsi"/>
          <w:lang w:val="en-US"/>
        </w:rPr>
      </w:pPr>
    </w:p>
    <w:p w14:paraId="7BFB7844" w14:textId="3CB9AF7C"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The SSP thanked FFA members and clarified that, during model development, the ENSO effect had been tested as a population covariate. The SSP noted that ENSO was included in the purse seine CPUE standardization used in the 2025 skipjack assessment but not for JPPL, and that testing the joint model with and without ENSO as a shared population covariate showed no difference in results, likely because the ENSO effect is already explained by the spatiotemporal covariance and sea surface temperature terms. The SSP stated a preference for keeping the model as simple as possible but offered to add ENSO and report a comparison of results if CCMs were interested in seeing it.</w:t>
      </w:r>
    </w:p>
    <w:p w14:paraId="3A8DFE97" w14:textId="77777777" w:rsidR="004D7F0D" w:rsidRPr="00B845AF" w:rsidRDefault="004D7F0D" w:rsidP="004D7F0D">
      <w:pPr>
        <w:pStyle w:val="SCtext"/>
        <w:numPr>
          <w:ilvl w:val="0"/>
          <w:numId w:val="0"/>
        </w:numPr>
        <w:rPr>
          <w:rFonts w:asciiTheme="minorHAnsi" w:hAnsiTheme="minorHAnsi" w:cstheme="minorHAnsi"/>
          <w:lang w:val="en-US"/>
        </w:rPr>
      </w:pPr>
    </w:p>
    <w:p w14:paraId="21831497" w14:textId="380160A8"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China thanked the SSP for the analysis and asked two clarifying questions: whether the analysis distinguished between log school and free school sets, and whether time spent searching for fish was included when calculating purse seine fishing days.</w:t>
      </w:r>
    </w:p>
    <w:p w14:paraId="27E5E287" w14:textId="77777777" w:rsidR="004D7F0D" w:rsidRPr="00B845AF" w:rsidRDefault="004D7F0D" w:rsidP="004D7F0D">
      <w:pPr>
        <w:pStyle w:val="SCtext"/>
        <w:numPr>
          <w:ilvl w:val="0"/>
          <w:numId w:val="0"/>
        </w:numPr>
        <w:rPr>
          <w:rFonts w:asciiTheme="minorHAnsi" w:hAnsiTheme="minorHAnsi" w:cstheme="minorHAnsi"/>
          <w:lang w:val="en-US"/>
        </w:rPr>
      </w:pPr>
    </w:p>
    <w:p w14:paraId="6D4981B1" w14:textId="09AE16DA"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The SSP clarified that the analysis used only free school sets, and that purse seine effort was defined using V</w:t>
      </w:r>
      <w:r w:rsidR="001A4BF1" w:rsidRPr="00B845AF">
        <w:rPr>
          <w:rFonts w:asciiTheme="minorHAnsi" w:hAnsiTheme="minorHAnsi" w:cstheme="minorHAnsi"/>
          <w:lang w:val="en-US"/>
        </w:rPr>
        <w:t>M</w:t>
      </w:r>
      <w:r w:rsidRPr="00B845AF">
        <w:rPr>
          <w:rFonts w:asciiTheme="minorHAnsi" w:hAnsiTheme="minorHAnsi" w:cstheme="minorHAnsi"/>
          <w:lang w:val="en-US"/>
        </w:rPr>
        <w:t>S days, based on vessel movement during daytime, which effectively captures searching time before a school is found. The SSP noted this approach is consistent with that used in the 2025 skipjack stock assessment.</w:t>
      </w:r>
    </w:p>
    <w:p w14:paraId="4879469E" w14:textId="77777777" w:rsidR="004D7F0D" w:rsidRPr="00B845AF" w:rsidRDefault="004D7F0D" w:rsidP="004D7F0D">
      <w:pPr>
        <w:pStyle w:val="SCtext"/>
        <w:numPr>
          <w:ilvl w:val="0"/>
          <w:numId w:val="0"/>
        </w:numPr>
        <w:rPr>
          <w:rFonts w:asciiTheme="minorHAnsi" w:hAnsiTheme="minorHAnsi" w:cstheme="minorHAnsi"/>
          <w:lang w:val="en-US"/>
        </w:rPr>
      </w:pPr>
    </w:p>
    <w:p w14:paraId="52E25568" w14:textId="11F00B56"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Indonesia stated that, given most observations came from the purse seine fishery, it was unclear how confident one could be that the joint index represents a common underlying population signal rather than primarily reflecting purse seine spatial coverage, catchability, and fishing behavior. Indonesia asked whether the modeling framework should account for both positive and zero catch given the added complexity of combining the two gears, whether any analysis had yet quantified how the joint index would influence MP outputs relative to the current JPPL-based index, and, beyond AIC and CV, what other diagnostics or performance criteria could be used to assess whether the preferred joint model provides a biologically and statistically reliable abundance index for potential application in the skipjack MP.</w:t>
      </w:r>
    </w:p>
    <w:p w14:paraId="40EF9711" w14:textId="77777777" w:rsidR="004D7F0D" w:rsidRPr="00B845AF" w:rsidRDefault="004D7F0D" w:rsidP="004D7F0D">
      <w:pPr>
        <w:pStyle w:val="SCtext"/>
        <w:numPr>
          <w:ilvl w:val="0"/>
          <w:numId w:val="0"/>
        </w:numPr>
        <w:rPr>
          <w:rFonts w:asciiTheme="minorHAnsi" w:hAnsiTheme="minorHAnsi" w:cstheme="minorHAnsi"/>
          <w:lang w:val="en-US"/>
        </w:rPr>
      </w:pPr>
    </w:p>
    <w:p w14:paraId="34B4AA25" w14:textId="323B1A71"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The SSP responded that the uneven sample size issue required further evaluation, as previously noted. On the delta model, the SSP explained that it had not been further developed because JPPL contributed nearly all of the zero-catch observations in the dataset, and there was insufficient information to reliably estimate the probability of positive catch; different specifications, including turning off the vessel effect, had been tested without improving model performance, and the decision not to include zero sets was also made to remain consistent with the approach used in the 2025 skipjack assessment. On diagnostics, the SSP noted that convergence statistics, CVs, AIC comparisons, and spatial residual plots by fishery had been presented, and that comparing these residual plots against those from JPPL-only or purse-seine-only models could help assess whether the joint model performs better, while welcoming further suggestions for additional diagnostics.</w:t>
      </w:r>
    </w:p>
    <w:p w14:paraId="20722DEE" w14:textId="77777777" w:rsidR="004D7F0D" w:rsidRPr="00B845AF" w:rsidRDefault="004D7F0D" w:rsidP="004D7F0D">
      <w:pPr>
        <w:pStyle w:val="SCtext"/>
        <w:numPr>
          <w:ilvl w:val="0"/>
          <w:numId w:val="0"/>
        </w:numPr>
        <w:rPr>
          <w:rFonts w:asciiTheme="minorHAnsi" w:hAnsiTheme="minorHAnsi" w:cstheme="minorHAnsi"/>
          <w:lang w:val="en-US"/>
        </w:rPr>
      </w:pPr>
    </w:p>
    <w:p w14:paraId="07E689A4" w14:textId="4A41804A"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The theme convener summarized the discussion, noting that the joint index work was welcomed, that the skipjack MP would continue to be run based on JPPL CPUE next year, and that the joint index could potentially be used for the following implementation cycle scheduled for 2030. The convener noted that many suggestions had been made, particularly concerning the sample size imbalance, and that the work needed to be simulation-tested within the MSE framework before a decision on future use of the CPUE approach is made.</w:t>
      </w:r>
    </w:p>
    <w:p w14:paraId="4DE37092" w14:textId="77777777" w:rsidR="004D7F0D" w:rsidRPr="00B845AF" w:rsidRDefault="004D7F0D" w:rsidP="004D7F0D">
      <w:pPr>
        <w:pStyle w:val="SCtext"/>
        <w:numPr>
          <w:ilvl w:val="0"/>
          <w:numId w:val="0"/>
        </w:numPr>
        <w:rPr>
          <w:rFonts w:asciiTheme="minorHAnsi" w:hAnsiTheme="minorHAnsi" w:cstheme="minorHAnsi"/>
          <w:lang w:val="en-US"/>
        </w:rPr>
      </w:pPr>
    </w:p>
    <w:p w14:paraId="67AF46F1" w14:textId="4B0F3900" w:rsidR="004D7F0D" w:rsidRPr="00B845AF" w:rsidRDefault="004D7F0D">
      <w:pPr>
        <w:pStyle w:val="SCtext"/>
        <w:rPr>
          <w:rFonts w:asciiTheme="minorHAnsi" w:hAnsiTheme="minorHAnsi" w:cstheme="minorHAnsi"/>
          <w:lang w:val="en-US"/>
        </w:rPr>
      </w:pPr>
      <w:r w:rsidRPr="00B845AF">
        <w:rPr>
          <w:rFonts w:asciiTheme="minorHAnsi" w:hAnsiTheme="minorHAnsi" w:cstheme="minorHAnsi"/>
          <w:lang w:val="en-US"/>
        </w:rPr>
        <w:t>RMI, on behalf of PNA and Vanuatu, thanked the presenter and recalled that SC21 had supported continued application of the interim skipjack MP for the next implementation cycle while emphasizing the importance of further developing alternative indices ahead of the third implementation of the MP. They stated continued support for that position and the expectation that the existing MP would continue to be run.</w:t>
      </w:r>
    </w:p>
    <w:p w14:paraId="220A8A92" w14:textId="0972C727" w:rsidR="00BC3FF9" w:rsidRPr="00B845AF" w:rsidRDefault="00BC3FF9" w:rsidP="00BC3FF9">
      <w:pPr>
        <w:pStyle w:val="SCtext"/>
        <w:numPr>
          <w:ilvl w:val="0"/>
          <w:numId w:val="0"/>
        </w:numPr>
        <w:rPr>
          <w:rFonts w:asciiTheme="minorHAnsi" w:hAnsiTheme="minorHAnsi" w:cstheme="minorHAnsi"/>
          <w:lang w:val="en-US"/>
        </w:rPr>
      </w:pPr>
    </w:p>
    <w:p w14:paraId="134EDAEB" w14:textId="39A2348F" w:rsidR="00BC3FF9" w:rsidRPr="00B845AF" w:rsidRDefault="00BC3FF9" w:rsidP="00BC3FF9">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10F967C9" w14:textId="33B8B99F" w:rsidR="00BC3FF9" w:rsidRPr="00B845AF" w:rsidRDefault="00BC3FF9">
      <w:pPr>
        <w:pStyle w:val="SCtext"/>
        <w:rPr>
          <w:rFonts w:asciiTheme="minorHAnsi" w:hAnsiTheme="minorHAnsi" w:cstheme="minorHAnsi"/>
          <w:b/>
          <w:bCs/>
          <w:lang w:val="en-US"/>
        </w:rPr>
      </w:pPr>
      <w:r w:rsidRPr="00B845AF">
        <w:rPr>
          <w:rFonts w:asciiTheme="minorHAnsi" w:hAnsiTheme="minorHAnsi" w:cstheme="minorHAnsi"/>
          <w:lang w:val="en-US"/>
        </w:rPr>
        <w:t>SC22 reviewed the preliminary results of the development of a joint CPUE index of Japanese pole-and-line and purse seine free-school sets.</w:t>
      </w:r>
      <w:r w:rsidRPr="00B845AF">
        <w:rPr>
          <w:rFonts w:asciiTheme="minorHAnsi" w:hAnsiTheme="minorHAnsi" w:cstheme="minorHAnsi"/>
          <w:b/>
          <w:bCs/>
          <w:lang w:val="en-US"/>
        </w:rPr>
        <w:t xml:space="preserve"> SC22 noted that it had been agreed that the existing Japanese pole-and-line CPUE will be used at least for the next MP iteration in 2027, while the continued </w:t>
      </w:r>
      <w:r w:rsidRPr="00B845AF">
        <w:rPr>
          <w:rFonts w:asciiTheme="minorHAnsi" w:hAnsiTheme="minorHAnsi" w:cstheme="minorHAnsi"/>
          <w:b/>
          <w:bCs/>
          <w:lang w:val="en-US"/>
        </w:rPr>
        <w:lastRenderedPageBreak/>
        <w:t xml:space="preserve">contraction of operational area of Japanese pole-and-line fisheries is an ongoing concern for the operation of the SKJ MP. SC22 therefore welcomed the collaborative work by Japan and SSP to develop a joint CPUE index for possible use in the SKJ MP in future. SC22 made </w:t>
      </w:r>
      <w:proofErr w:type="gramStart"/>
      <w:r w:rsidRPr="00B845AF">
        <w:rPr>
          <w:rFonts w:asciiTheme="minorHAnsi" w:hAnsiTheme="minorHAnsi" w:cstheme="minorHAnsi"/>
          <w:b/>
          <w:bCs/>
          <w:lang w:val="en-US"/>
        </w:rPr>
        <w:t>a number of</w:t>
      </w:r>
      <w:proofErr w:type="gramEnd"/>
      <w:r w:rsidRPr="00B845AF">
        <w:rPr>
          <w:rFonts w:asciiTheme="minorHAnsi" w:hAnsiTheme="minorHAnsi" w:cstheme="minorHAnsi"/>
          <w:b/>
          <w:bCs/>
          <w:lang w:val="en-US"/>
        </w:rPr>
        <w:t xml:space="preserve"> suggestions for further analysis in many areas including the impact of climate change, sample size differences between gears, targeting effects, etc., noting that the SSP had already started to address some of these. SC22 further noted that any future modification to the abundance index used by the Estimation Method should be subject to comprehensive Management Procedure testing to ensure the robustness, stability and intended performance of the adopted skipjack MP are maintained.</w:t>
      </w:r>
    </w:p>
    <w:p w14:paraId="226CAD3C" w14:textId="77777777" w:rsidR="00564549" w:rsidRPr="00B845AF" w:rsidRDefault="00564549" w:rsidP="00564549">
      <w:pPr>
        <w:pStyle w:val="SCtext"/>
        <w:numPr>
          <w:ilvl w:val="0"/>
          <w:numId w:val="0"/>
        </w:numPr>
        <w:rPr>
          <w:rFonts w:asciiTheme="minorHAnsi" w:hAnsiTheme="minorHAnsi" w:cstheme="minorHAnsi"/>
          <w:lang w:val="en-US"/>
        </w:rPr>
      </w:pPr>
    </w:p>
    <w:bookmarkEnd w:id="56"/>
    <w:p w14:paraId="5C7349F7" w14:textId="369FB26F" w:rsidR="006E43D8" w:rsidRPr="00B845AF" w:rsidRDefault="004B24B7" w:rsidP="006E43D8">
      <w:pPr>
        <w:pStyle w:val="SCtext"/>
        <w:numPr>
          <w:ilvl w:val="0"/>
          <w:numId w:val="0"/>
        </w:numPr>
        <w:rPr>
          <w:rFonts w:asciiTheme="minorHAnsi" w:hAnsiTheme="minorHAnsi" w:cstheme="minorHAnsi"/>
          <w:b/>
          <w:bCs/>
          <w:lang w:val="en-US"/>
        </w:rPr>
      </w:pPr>
      <w:r w:rsidRPr="00B845AF">
        <w:rPr>
          <w:rFonts w:asciiTheme="minorHAnsi" w:hAnsiTheme="minorHAnsi" w:cstheme="minorHAnsi"/>
          <w:b/>
          <w:bCs/>
          <w:lang w:val="en-US"/>
        </w:rPr>
        <w:t>5.1.4.1 Skipjack monitoring strategy</w:t>
      </w:r>
    </w:p>
    <w:p w14:paraId="278D1229" w14:textId="77777777" w:rsidR="004B24B7" w:rsidRPr="00B845AF" w:rsidRDefault="004B24B7" w:rsidP="006E43D8">
      <w:pPr>
        <w:pStyle w:val="SCtext"/>
        <w:numPr>
          <w:ilvl w:val="0"/>
          <w:numId w:val="0"/>
        </w:numPr>
        <w:rPr>
          <w:rFonts w:asciiTheme="minorHAnsi" w:hAnsiTheme="minorHAnsi" w:cstheme="minorHAnsi"/>
          <w:lang w:val="en-US"/>
        </w:rPr>
      </w:pPr>
    </w:p>
    <w:p w14:paraId="621E7F0C" w14:textId="6AF6115C" w:rsidR="00D0477F" w:rsidRPr="00B845AF" w:rsidRDefault="00D0477F">
      <w:pPr>
        <w:pStyle w:val="SCtext"/>
        <w:rPr>
          <w:rFonts w:asciiTheme="minorHAnsi" w:hAnsiTheme="minorHAnsi" w:cstheme="minorHAnsi"/>
          <w:lang w:val="en-US"/>
        </w:rPr>
      </w:pPr>
      <w:r w:rsidRPr="00B845AF">
        <w:rPr>
          <w:rFonts w:asciiTheme="minorHAnsi" w:hAnsiTheme="minorHAnsi" w:cstheme="minorHAnsi"/>
          <w:lang w:val="en-US"/>
        </w:rPr>
        <w:t>R. Scott (SPC-OFP)</w:t>
      </w:r>
      <w:r w:rsidR="00B50BAB" w:rsidRPr="00B845AF">
        <w:rPr>
          <w:rFonts w:asciiTheme="minorHAnsi" w:hAnsiTheme="minorHAnsi" w:cstheme="minorHAnsi"/>
          <w:lang w:val="en-US"/>
        </w:rPr>
        <w:t xml:space="preserve"> presented </w:t>
      </w:r>
      <w:hyperlink r:id="rId78" w:history="1">
        <w:r w:rsidR="00B50BAB" w:rsidRPr="00B845AF">
          <w:rPr>
            <w:rStyle w:val="Hyperlink"/>
            <w:rFonts w:asciiTheme="minorHAnsi" w:hAnsiTheme="minorHAnsi" w:cstheme="minorHAnsi"/>
            <w:lang w:val="en-US"/>
          </w:rPr>
          <w:t>WCPFC-SC22-2026-MI-WP09</w:t>
        </w:r>
      </w:hyperlink>
      <w:r w:rsidR="00B50BAB" w:rsidRPr="00B845AF">
        <w:rPr>
          <w:rFonts w:asciiTheme="minorHAnsi" w:hAnsiTheme="minorHAnsi" w:cstheme="minorHAnsi"/>
          <w:lang w:val="en-US"/>
        </w:rPr>
        <w:t xml:space="preserve">, on the WCPO skipjack monitoring strategy. </w:t>
      </w:r>
    </w:p>
    <w:p w14:paraId="6E6E50C7" w14:textId="77777777" w:rsidR="00D0477F" w:rsidRPr="00B845AF" w:rsidRDefault="00D0477F" w:rsidP="00D0477F">
      <w:pPr>
        <w:pStyle w:val="SCtext"/>
        <w:numPr>
          <w:ilvl w:val="0"/>
          <w:numId w:val="0"/>
        </w:numPr>
        <w:rPr>
          <w:rFonts w:asciiTheme="minorHAnsi" w:hAnsiTheme="minorHAnsi" w:cstheme="minorHAnsi"/>
          <w:lang w:val="en-US"/>
        </w:rPr>
      </w:pPr>
    </w:p>
    <w:p w14:paraId="5F83BC37" w14:textId="6E3EBF64" w:rsidR="00A236EF" w:rsidRPr="00B845AF" w:rsidRDefault="0068787D" w:rsidP="00F12522">
      <w:pPr>
        <w:pStyle w:val="SCtext"/>
        <w:numPr>
          <w:ilvl w:val="0"/>
          <w:numId w:val="0"/>
        </w:numPr>
        <w:ind w:left="720"/>
        <w:rPr>
          <w:rFonts w:asciiTheme="minorHAnsi" w:eastAsia="MS Mincho" w:hAnsiTheme="minorHAnsi" w:cstheme="minorHAnsi"/>
          <w:lang w:val="en-US" w:eastAsia="ja-JP"/>
        </w:rPr>
      </w:pPr>
      <w:r w:rsidRPr="00B845AF">
        <w:rPr>
          <w:rFonts w:asciiTheme="minorHAnsi" w:hAnsiTheme="minorHAnsi" w:cstheme="minorHAnsi"/>
          <w:lang w:val="en-US"/>
        </w:rPr>
        <w:t xml:space="preserve">The adopted WCPFC skipjack tuna management procedure uses standardized Japanese pole-and-line (JPPL) CPUE indices as inputs to its estimation method; however, the recent spatial contraction of the JPPL fishery, particularly in equatorial regions, has raised concerns about the long-term representativeness and precision of these indices. This paper presents a preliminary joint CPUE standardization framework integrating JPPL and free-school purse-seine (PS) data from 2010 onward, allowing both fisheries to inform a shared spatiotemporal population process while retaining fishery-specific catchability. Positive-only joint models generally converged well and produced similar mean-centered CPUE trends across alternative catchability structures, with fishery-specific observation errors </w:t>
      </w:r>
      <w:proofErr w:type="gramStart"/>
      <w:r w:rsidRPr="00B845AF">
        <w:rPr>
          <w:rFonts w:asciiTheme="minorHAnsi" w:hAnsiTheme="minorHAnsi" w:cstheme="minorHAnsi"/>
          <w:lang w:val="en-US"/>
        </w:rPr>
        <w:t>better reflecting</w:t>
      </w:r>
      <w:proofErr w:type="gramEnd"/>
      <w:r w:rsidRPr="00B845AF">
        <w:rPr>
          <w:rFonts w:asciiTheme="minorHAnsi" w:hAnsiTheme="minorHAnsi" w:cstheme="minorHAnsi"/>
          <w:lang w:val="en-US"/>
        </w:rPr>
        <w:t xml:space="preserve"> differences between the two fisheries and the diagnostics of the preferred model suggested a sufficient fit. The joint index improved spatial coverage and produced lower CVs than the JPPL-only index, although it was strongly influenced by the larger PS sample size. Overall, the results demonstrate that joint JPPL–PS standardization is a feasible approach for improving equatorial skipjack abundance indices while maintaining continuity with the JPPL series used in the management procedure. SC22 is invited to review the preliminary analysis, provide feedback on the joint modelling framework, and consider prioritizing further development of integrated JPPL–PS indices to support monitoring before the third implementation cycle of the skipjack management procedure.</w:t>
      </w:r>
    </w:p>
    <w:p w14:paraId="13C14718" w14:textId="6B77FC3F" w:rsidR="00EC4B64" w:rsidRPr="00B845AF" w:rsidRDefault="00EC4B64" w:rsidP="00EC4B64">
      <w:pPr>
        <w:pStyle w:val="SCtext"/>
        <w:numPr>
          <w:ilvl w:val="0"/>
          <w:numId w:val="0"/>
        </w:numPr>
        <w:rPr>
          <w:rFonts w:asciiTheme="minorHAnsi" w:hAnsiTheme="minorHAnsi" w:cstheme="minorHAnsi"/>
          <w:lang w:val="en-US"/>
        </w:rPr>
      </w:pPr>
    </w:p>
    <w:p w14:paraId="3B2DADA3" w14:textId="4DC3E9D8" w:rsidR="00B50BAB" w:rsidRPr="00B845AF" w:rsidRDefault="00B50BAB" w:rsidP="00B50BAB">
      <w:pPr>
        <w:pStyle w:val="SCDR"/>
        <w:rPr>
          <w:rFonts w:asciiTheme="minorHAnsi" w:hAnsiTheme="minorHAnsi" w:cstheme="minorHAnsi"/>
        </w:rPr>
      </w:pPr>
      <w:r w:rsidRPr="00B845AF">
        <w:rPr>
          <w:rFonts w:asciiTheme="minorHAnsi" w:hAnsiTheme="minorHAnsi" w:cstheme="minorHAnsi"/>
        </w:rPr>
        <w:t>Discussion</w:t>
      </w:r>
    </w:p>
    <w:p w14:paraId="54F379D4" w14:textId="29504BCB" w:rsidR="00B30F00" w:rsidRPr="00B845AF" w:rsidRDefault="009857F7">
      <w:pPr>
        <w:pStyle w:val="SCtext"/>
        <w:rPr>
          <w:rFonts w:asciiTheme="minorHAnsi" w:hAnsiTheme="minorHAnsi" w:cstheme="minorHAnsi"/>
          <w:lang w:val="en-US"/>
        </w:rPr>
      </w:pPr>
      <w:r w:rsidRPr="00B845AF">
        <w:rPr>
          <w:rFonts w:asciiTheme="minorHAnsi" w:hAnsiTheme="minorHAnsi" w:cstheme="minorHAnsi"/>
          <w:lang w:val="en-US"/>
        </w:rPr>
        <w:t xml:space="preserve">The USA thanked the SSP for the overview and requested that the monitoring table be expanded to cover cross-species objectives in CMM 2025-02, specifically the LRP risk levels and probability of meeting interim or adopted TRPs for bigeye and yellowfin, in addition to skipjack. </w:t>
      </w:r>
      <w:r w:rsidR="00884153" w:rsidRPr="00B845AF">
        <w:rPr>
          <w:rFonts w:asciiTheme="minorHAnsi" w:hAnsiTheme="minorHAnsi" w:cstheme="minorHAnsi"/>
          <w:lang w:val="en-US"/>
        </w:rPr>
        <w:t xml:space="preserve">The </w:t>
      </w:r>
      <w:r w:rsidRPr="00B845AF">
        <w:rPr>
          <w:rFonts w:asciiTheme="minorHAnsi" w:hAnsiTheme="minorHAnsi" w:cstheme="minorHAnsi"/>
          <w:lang w:val="en-US"/>
        </w:rPr>
        <w:t>USA also requested that the SSP evaluate, for SC23, bigeye tuna outcomes under the purse seine effort levels the skipjack management procedure would set for the 2028-2030 cycle, across a range of set-type composition assumptions, as a robustness test of the mixed fishery framework.</w:t>
      </w:r>
    </w:p>
    <w:p w14:paraId="06E1015F" w14:textId="77777777" w:rsidR="00DB21D6" w:rsidRPr="00B845AF" w:rsidRDefault="00DB21D6" w:rsidP="00DB21D6">
      <w:pPr>
        <w:pStyle w:val="SCtext"/>
        <w:numPr>
          <w:ilvl w:val="0"/>
          <w:numId w:val="0"/>
        </w:numPr>
        <w:rPr>
          <w:rFonts w:asciiTheme="minorHAnsi" w:hAnsiTheme="minorHAnsi" w:cstheme="minorHAnsi"/>
          <w:lang w:val="en-US"/>
        </w:rPr>
      </w:pPr>
    </w:p>
    <w:p w14:paraId="5CFD2550" w14:textId="43C4C2AA" w:rsidR="007B0F8F" w:rsidRPr="00B845AF" w:rsidRDefault="009857F7">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 c</w:t>
      </w:r>
      <w:r w:rsidRPr="00B845AF">
        <w:rPr>
          <w:rFonts w:asciiTheme="minorHAnsi" w:hAnsiTheme="minorHAnsi" w:cstheme="minorHAnsi"/>
          <w:lang w:val="en-US"/>
        </w:rPr>
        <w:t xml:space="preserve">onvener sought clarification on the second request, which </w:t>
      </w:r>
      <w:r w:rsidR="00884153" w:rsidRPr="00B845AF">
        <w:rPr>
          <w:rFonts w:asciiTheme="minorHAnsi" w:hAnsiTheme="minorHAnsi" w:cstheme="minorHAnsi"/>
          <w:lang w:val="en-US"/>
        </w:rPr>
        <w:t xml:space="preserve">the </w:t>
      </w:r>
      <w:r w:rsidRPr="00B845AF">
        <w:rPr>
          <w:rFonts w:asciiTheme="minorHAnsi" w:hAnsiTheme="minorHAnsi" w:cstheme="minorHAnsi"/>
          <w:lang w:val="en-US"/>
        </w:rPr>
        <w:t xml:space="preserve">USA provided. The SSP agreed with the suggestion in principle but questioned whether it belonged under skipjack monitoring or the broader mixed fishery item, since the skipjack management procedure sets overall purse seine effort while other elements control set-type composition. The </w:t>
      </w:r>
      <w:proofErr w:type="gramStart"/>
      <w:r w:rsidR="00D75B0E" w:rsidRPr="00B845AF">
        <w:rPr>
          <w:rFonts w:asciiTheme="minorHAnsi" w:hAnsiTheme="minorHAnsi" w:cstheme="minorHAnsi"/>
          <w:lang w:val="en-US"/>
        </w:rPr>
        <w:t>theme c</w:t>
      </w:r>
      <w:r w:rsidRPr="00B845AF">
        <w:rPr>
          <w:rFonts w:asciiTheme="minorHAnsi" w:hAnsiTheme="minorHAnsi" w:cstheme="minorHAnsi"/>
          <w:lang w:val="en-US"/>
        </w:rPr>
        <w:t>onvener</w:t>
      </w:r>
      <w:proofErr w:type="gramEnd"/>
      <w:r w:rsidRPr="00B845AF">
        <w:rPr>
          <w:rFonts w:asciiTheme="minorHAnsi" w:hAnsiTheme="minorHAnsi" w:cstheme="minorHAnsi"/>
          <w:lang w:val="en-US"/>
        </w:rPr>
        <w:t xml:space="preserve"> </w:t>
      </w:r>
      <w:proofErr w:type="gramStart"/>
      <w:r w:rsidRPr="00B845AF">
        <w:rPr>
          <w:rFonts w:asciiTheme="minorHAnsi" w:hAnsiTheme="minorHAnsi" w:cstheme="minorHAnsi"/>
          <w:lang w:val="en-US"/>
        </w:rPr>
        <w:t>proposed</w:t>
      </w:r>
      <w:proofErr w:type="gramEnd"/>
      <w:r w:rsidRPr="00B845AF">
        <w:rPr>
          <w:rFonts w:asciiTheme="minorHAnsi" w:hAnsiTheme="minorHAnsi" w:cstheme="minorHAnsi"/>
          <w:lang w:val="en-US"/>
        </w:rPr>
        <w:t xml:space="preserve"> addressing it under mixed fishery monitoring instead</w:t>
      </w:r>
      <w:r w:rsidR="00FF1230" w:rsidRPr="00B845AF">
        <w:rPr>
          <w:rFonts w:asciiTheme="minorHAnsi" w:hAnsiTheme="minorHAnsi" w:cstheme="minorHAnsi"/>
          <w:lang w:val="en-US"/>
        </w:rPr>
        <w:t>.</w:t>
      </w:r>
    </w:p>
    <w:p w14:paraId="76FBABE8" w14:textId="2FFECCA2" w:rsidR="007B0F8F" w:rsidRPr="00B845AF" w:rsidRDefault="00FF1230" w:rsidP="007B0F8F">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xml:space="preserve"> </w:t>
      </w:r>
    </w:p>
    <w:p w14:paraId="3BDB9353" w14:textId="20C9A0D8" w:rsidR="007B0F8F" w:rsidRPr="00B845AF" w:rsidRDefault="009857F7">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Tuvalu, on behalf of the FFA members, welcomed the update but stated that declining coverage of the Japanese pole and line index should remain an active monitoring issue until an alternative is validated within the management procedure. Tuvalu noted the joint pole and line/purse seine index in </w:t>
      </w:r>
      <w:hyperlink r:id="rId79" w:history="1">
        <w:r w:rsidRPr="00B845AF">
          <w:rPr>
            <w:rStyle w:val="Hyperlink"/>
            <w:rFonts w:asciiTheme="minorHAnsi" w:hAnsiTheme="minorHAnsi" w:cstheme="minorHAnsi"/>
            <w:lang w:val="en-US"/>
          </w:rPr>
          <w:t>WCPFC-SC22-2026-MI-WP10</w:t>
        </w:r>
      </w:hyperlink>
      <w:r w:rsidRPr="00B845AF">
        <w:rPr>
          <w:rFonts w:asciiTheme="minorHAnsi" w:hAnsiTheme="minorHAnsi" w:cstheme="minorHAnsi"/>
          <w:lang w:val="en-US"/>
        </w:rPr>
        <w:t xml:space="preserve"> is promising but limited by imbalanced sample sizes and partial spatial </w:t>
      </w:r>
      <w:r w:rsidR="004E2763" w:rsidRPr="00B845AF">
        <w:rPr>
          <w:rFonts w:asciiTheme="minorHAnsi" w:hAnsiTheme="minorHAnsi" w:cstheme="minorHAnsi"/>
          <w:lang w:val="en-US"/>
        </w:rPr>
        <w:t>coverage and</w:t>
      </w:r>
      <w:r w:rsidRPr="00B845AF">
        <w:rPr>
          <w:rFonts w:asciiTheme="minorHAnsi" w:hAnsiTheme="minorHAnsi" w:cstheme="minorHAnsi"/>
          <w:lang w:val="en-US"/>
        </w:rPr>
        <w:t xml:space="preserve"> has not been tested inside the management procedure. Tuvalu pointed to WCPFC-SC22-2026-MI-IP05 and WCPFC-SC22-2026-MI-IP01 as addressing the TCC21 request on catch and effort trends in the purse seine </w:t>
      </w:r>
      <w:r w:rsidR="004E2763" w:rsidRPr="00B845AF">
        <w:rPr>
          <w:rFonts w:asciiTheme="minorHAnsi" w:hAnsiTheme="minorHAnsi" w:cstheme="minorHAnsi"/>
          <w:lang w:val="en-US"/>
        </w:rPr>
        <w:t>fishery and</w:t>
      </w:r>
      <w:r w:rsidRPr="00B845AF">
        <w:rPr>
          <w:rFonts w:asciiTheme="minorHAnsi" w:hAnsiTheme="minorHAnsi" w:cstheme="minorHAnsi"/>
          <w:lang w:val="en-US"/>
        </w:rPr>
        <w:t xml:space="preserve"> suggested these be submitted to TCC. Tuvalu also proposed converting the monitoring table into an action-tracking format with owners, due dates, and triggers, and endorsed the proposed update to Table 1.</w:t>
      </w:r>
    </w:p>
    <w:p w14:paraId="7C3FB0C7" w14:textId="77777777" w:rsidR="007B0F8F" w:rsidRPr="00B845AF" w:rsidRDefault="007B0F8F" w:rsidP="007B0F8F">
      <w:pPr>
        <w:pStyle w:val="SCtext"/>
        <w:numPr>
          <w:ilvl w:val="0"/>
          <w:numId w:val="0"/>
        </w:numPr>
        <w:rPr>
          <w:rFonts w:asciiTheme="minorHAnsi" w:hAnsiTheme="minorHAnsi" w:cstheme="minorHAnsi"/>
          <w:lang w:val="en-US"/>
        </w:rPr>
      </w:pPr>
    </w:p>
    <w:p w14:paraId="7CCBDF00" w14:textId="3BE16359" w:rsidR="00BE4190" w:rsidRPr="00B845AF" w:rsidRDefault="00884153">
      <w:pPr>
        <w:pStyle w:val="SCtext"/>
        <w:rPr>
          <w:rFonts w:asciiTheme="minorHAnsi" w:hAnsiTheme="minorHAnsi" w:cstheme="minorHAnsi"/>
          <w:lang w:val="en-US"/>
        </w:rPr>
      </w:pPr>
      <w:r w:rsidRPr="00B845AF">
        <w:rPr>
          <w:rFonts w:asciiTheme="minorHAnsi" w:hAnsiTheme="minorHAnsi" w:cstheme="minorHAnsi"/>
          <w:lang w:val="en-US"/>
        </w:rPr>
        <w:t>Kiribati, on behalf of the PNA and Vanuatu, supported the FFA statement and stated that the monitoring strategy needs to be updated to reflect SC21</w:t>
      </w:r>
      <w:r w:rsidR="00C15B37" w:rsidRPr="00B845AF">
        <w:rPr>
          <w:rFonts w:asciiTheme="minorHAnsi" w:eastAsia="MS Mincho" w:hAnsiTheme="minorHAnsi" w:cstheme="minorHAnsi"/>
          <w:lang w:val="en-US" w:eastAsia="ja-JP"/>
        </w:rPr>
        <w:t>’</w:t>
      </w:r>
      <w:r w:rsidRPr="00B845AF">
        <w:rPr>
          <w:rFonts w:asciiTheme="minorHAnsi" w:hAnsiTheme="minorHAnsi" w:cstheme="minorHAnsi"/>
          <w:lang w:val="en-US"/>
        </w:rPr>
        <w:t>s decision on this point. Kiribati recalled that paragraph 488 of the SC21 Summary Report recorded SC21’s support for continued application of the interim skipjack MP for the next implementation cycle, while emphasizing the importance of further developing alternative indices ahead of the third implementation of the MP, and suggested that this text be included in Section 1d of Table 1 of the monitoring strategy report.</w:t>
      </w:r>
      <w:r w:rsidR="00313106" w:rsidRPr="00B845AF">
        <w:rPr>
          <w:rFonts w:asciiTheme="minorHAnsi" w:hAnsiTheme="minorHAnsi" w:cstheme="minorHAnsi"/>
          <w:lang w:val="en-US"/>
        </w:rPr>
        <w:t xml:space="preserve"> </w:t>
      </w:r>
    </w:p>
    <w:p w14:paraId="1B707AB5" w14:textId="77777777" w:rsidR="00BE4190" w:rsidRPr="00B845AF" w:rsidRDefault="00BE4190" w:rsidP="00BE4190">
      <w:pPr>
        <w:pStyle w:val="SCtext"/>
        <w:numPr>
          <w:ilvl w:val="0"/>
          <w:numId w:val="0"/>
        </w:numPr>
        <w:rPr>
          <w:rFonts w:asciiTheme="minorHAnsi" w:hAnsiTheme="minorHAnsi" w:cstheme="minorHAnsi"/>
          <w:lang w:val="en-US"/>
        </w:rPr>
      </w:pPr>
    </w:p>
    <w:p w14:paraId="5F923FC5" w14:textId="76A3E7BA" w:rsidR="00FF1230" w:rsidRPr="00B845AF" w:rsidRDefault="009857F7">
      <w:pPr>
        <w:pStyle w:val="SCtext"/>
        <w:rPr>
          <w:rFonts w:asciiTheme="minorHAnsi" w:hAnsiTheme="minorHAnsi" w:cstheme="minorHAnsi"/>
          <w:lang w:val="en-US"/>
        </w:rPr>
      </w:pPr>
      <w:r w:rsidRPr="00B845AF">
        <w:rPr>
          <w:rFonts w:asciiTheme="minorHAnsi" w:hAnsiTheme="minorHAnsi" w:cstheme="minorHAnsi"/>
          <w:lang w:val="en-US"/>
        </w:rPr>
        <w:t xml:space="preserve">The </w:t>
      </w:r>
      <w:r w:rsidR="00D75B0E" w:rsidRPr="00B845AF">
        <w:rPr>
          <w:rFonts w:asciiTheme="minorHAnsi" w:hAnsiTheme="minorHAnsi" w:cstheme="minorHAnsi"/>
          <w:lang w:val="en-US"/>
        </w:rPr>
        <w:t>theme c</w:t>
      </w:r>
      <w:r w:rsidRPr="00B845AF">
        <w:rPr>
          <w:rFonts w:asciiTheme="minorHAnsi" w:hAnsiTheme="minorHAnsi" w:cstheme="minorHAnsi"/>
          <w:lang w:val="en-US"/>
        </w:rPr>
        <w:t>onvener said the USA request would be considered after the mixed fishery item, with the CPUE-related points meanwhile forwarded to TCC as suggested by FFA, and that a track-changed version of the table would be brought back following consultation with the SSP.</w:t>
      </w:r>
    </w:p>
    <w:bookmarkEnd w:id="57"/>
    <w:p w14:paraId="688988C5" w14:textId="5C95834C" w:rsidR="00D376F9" w:rsidRPr="00B845AF" w:rsidRDefault="00D376F9" w:rsidP="003A40C3">
      <w:pPr>
        <w:pStyle w:val="SCtext"/>
        <w:numPr>
          <w:ilvl w:val="0"/>
          <w:numId w:val="0"/>
        </w:numPr>
        <w:rPr>
          <w:rFonts w:asciiTheme="minorHAnsi" w:hAnsiTheme="minorHAnsi" w:cstheme="minorHAnsi"/>
          <w:lang w:val="en-US"/>
        </w:rPr>
      </w:pPr>
    </w:p>
    <w:p w14:paraId="33097D5E" w14:textId="70BCD81F" w:rsidR="003A40C3" w:rsidRPr="00B845AF" w:rsidRDefault="003A40C3" w:rsidP="003A40C3">
      <w:pPr>
        <w:pStyle w:val="SCDR"/>
        <w:rPr>
          <w:rFonts w:asciiTheme="minorHAnsi" w:hAnsiTheme="minorHAnsi" w:cstheme="minorHAnsi"/>
        </w:rPr>
      </w:pPr>
      <w:r w:rsidRPr="00B845AF">
        <w:rPr>
          <w:rFonts w:asciiTheme="minorHAnsi" w:hAnsiTheme="minorHAnsi" w:cstheme="minorHAnsi"/>
        </w:rPr>
        <w:t>Outcomes</w:t>
      </w:r>
    </w:p>
    <w:p w14:paraId="3F624804" w14:textId="07480E2A" w:rsidR="0025474A" w:rsidRPr="00B845AF" w:rsidRDefault="005C672C">
      <w:pPr>
        <w:pStyle w:val="SCtext"/>
        <w:rPr>
          <w:rFonts w:asciiTheme="minorHAnsi" w:hAnsiTheme="minorHAnsi" w:cstheme="minorHAnsi"/>
          <w:b/>
          <w:bCs/>
          <w:lang w:val="en-US"/>
        </w:rPr>
      </w:pPr>
      <w:r w:rsidRPr="00B845AF">
        <w:rPr>
          <w:rFonts w:asciiTheme="minorHAnsi" w:hAnsiTheme="minorHAnsi" w:cstheme="minorHAnsi"/>
          <w:lang w:val="en-US"/>
        </w:rPr>
        <w:t>SC22 reviewed information available to SC22 on SKJ.</w:t>
      </w:r>
      <w:r w:rsidRPr="00B845AF">
        <w:rPr>
          <w:rFonts w:asciiTheme="minorHAnsi" w:hAnsiTheme="minorHAnsi" w:cstheme="minorHAnsi"/>
          <w:b/>
          <w:bCs/>
          <w:lang w:val="en-US"/>
        </w:rPr>
        <w:t xml:space="preserve"> SC22 agreed that there is no information preventing the implementation of the SKJ MP</w:t>
      </w:r>
      <w:r w:rsidR="004E2763" w:rsidRPr="00B845AF">
        <w:rPr>
          <w:rFonts w:asciiTheme="minorHAnsi" w:hAnsiTheme="minorHAnsi" w:cstheme="minorHAnsi"/>
          <w:b/>
          <w:bCs/>
          <w:lang w:val="en-US"/>
        </w:rPr>
        <w:t>.</w:t>
      </w:r>
      <w:r w:rsidRPr="00B845AF">
        <w:rPr>
          <w:rFonts w:asciiTheme="minorHAnsi" w:hAnsiTheme="minorHAnsi" w:cstheme="minorHAnsi"/>
          <w:b/>
          <w:bCs/>
          <w:lang w:val="en-US"/>
        </w:rPr>
        <w:t xml:space="preserve"> SC22 requested that p</w:t>
      </w:r>
      <w:sdt>
        <w:sdtPr>
          <w:rPr>
            <w:rFonts w:asciiTheme="minorHAnsi" w:hAnsiTheme="minorHAnsi" w:cstheme="minorHAnsi"/>
            <w:b/>
            <w:bCs/>
            <w:lang w:val="en-US"/>
          </w:rPr>
          <w:tag w:val="goog_rdk_37"/>
          <w:id w:val="215001634"/>
        </w:sdtPr>
        <w:sdtContent>
          <w:r w:rsidRPr="00B845AF">
            <w:rPr>
              <w:rFonts w:asciiTheme="minorHAnsi" w:hAnsiTheme="minorHAnsi" w:cstheme="minorHAnsi"/>
              <w:b/>
              <w:bCs/>
              <w:lang w:val="en-US"/>
            </w:rPr>
            <w:t>ending development of a mixed fishery monitoring strategy, stock status of BET and YFT should be reported in relation to the interim management objective to maintain those stocks at or above the average spawning biomass depletion for the period 2012-2015</w:t>
          </w:r>
        </w:sdtContent>
      </w:sdt>
      <w:r w:rsidRPr="00B845AF">
        <w:rPr>
          <w:rFonts w:asciiTheme="minorHAnsi" w:hAnsiTheme="minorHAnsi" w:cstheme="minorHAnsi"/>
          <w:b/>
          <w:bCs/>
          <w:lang w:val="en-US"/>
        </w:rPr>
        <w:t>.</w:t>
      </w:r>
    </w:p>
    <w:p w14:paraId="0C92FC18" w14:textId="77777777" w:rsidR="005C672C" w:rsidRPr="00B845AF" w:rsidRDefault="005C672C" w:rsidP="005C672C">
      <w:pPr>
        <w:pStyle w:val="SCtext"/>
        <w:numPr>
          <w:ilvl w:val="0"/>
          <w:numId w:val="0"/>
        </w:numPr>
        <w:rPr>
          <w:rFonts w:asciiTheme="minorHAnsi" w:hAnsiTheme="minorHAnsi" w:cstheme="minorHAnsi"/>
          <w:b/>
          <w:bCs/>
          <w:lang w:val="en-US"/>
        </w:rPr>
      </w:pPr>
    </w:p>
    <w:p w14:paraId="523B0C74" w14:textId="722C37C9" w:rsidR="005C672C" w:rsidRPr="00B845AF" w:rsidRDefault="005C672C">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requested SSP evaluate exceptional circumstances for each MP when evaluating </w:t>
      </w:r>
      <w:r w:rsidR="004E2763" w:rsidRPr="00B845AF">
        <w:rPr>
          <w:rFonts w:asciiTheme="minorHAnsi" w:hAnsiTheme="minorHAnsi" w:cstheme="minorHAnsi"/>
          <w:b/>
          <w:bCs/>
          <w:lang w:val="en-US"/>
        </w:rPr>
        <w:t xml:space="preserve">the monitoring strategy and provide an </w:t>
      </w:r>
      <w:r w:rsidRPr="00B845AF">
        <w:rPr>
          <w:rFonts w:asciiTheme="minorHAnsi" w:hAnsiTheme="minorHAnsi" w:cstheme="minorHAnsi"/>
          <w:b/>
          <w:bCs/>
          <w:lang w:val="en-US"/>
        </w:rPr>
        <w:t>update to SC.</w:t>
      </w:r>
    </w:p>
    <w:p w14:paraId="782256E9" w14:textId="77777777" w:rsidR="005C672C" w:rsidRPr="00B845AF" w:rsidRDefault="005C672C" w:rsidP="005C672C">
      <w:pPr>
        <w:pStyle w:val="SCtext"/>
        <w:numPr>
          <w:ilvl w:val="0"/>
          <w:numId w:val="0"/>
        </w:numPr>
        <w:rPr>
          <w:rFonts w:asciiTheme="minorHAnsi" w:hAnsiTheme="minorHAnsi" w:cstheme="minorHAnsi"/>
          <w:b/>
          <w:bCs/>
          <w:lang w:val="en-US"/>
        </w:rPr>
      </w:pPr>
    </w:p>
    <w:p w14:paraId="30FBD9D8" w14:textId="0F1381EB" w:rsidR="005C672C" w:rsidRPr="00B845AF" w:rsidRDefault="005C672C">
      <w:pPr>
        <w:pStyle w:val="SCtext"/>
        <w:rPr>
          <w:rFonts w:asciiTheme="minorHAnsi" w:hAnsiTheme="minorHAnsi" w:cstheme="minorHAnsi"/>
          <w:b/>
          <w:bCs/>
          <w:lang w:val="en-US"/>
        </w:rPr>
      </w:pPr>
      <w:r w:rsidRPr="00B845AF">
        <w:rPr>
          <w:rFonts w:asciiTheme="minorHAnsi" w:hAnsiTheme="minorHAnsi" w:cstheme="minorHAnsi"/>
          <w:b/>
          <w:bCs/>
          <w:lang w:val="en-US"/>
        </w:rPr>
        <w:t>SC22 recommended SSP convert the monitoring table into an action log with owners, due dates, evident and clear triggers.</w:t>
      </w:r>
    </w:p>
    <w:p w14:paraId="3EACD889" w14:textId="77777777" w:rsidR="009857F7" w:rsidRPr="00B845AF" w:rsidRDefault="009857F7" w:rsidP="009857F7">
      <w:pPr>
        <w:pStyle w:val="SCtext"/>
        <w:numPr>
          <w:ilvl w:val="0"/>
          <w:numId w:val="0"/>
        </w:numPr>
        <w:rPr>
          <w:rFonts w:asciiTheme="minorHAnsi" w:hAnsiTheme="minorHAnsi" w:cstheme="minorHAnsi"/>
          <w:b/>
          <w:bCs/>
          <w:lang w:val="en-US"/>
        </w:rPr>
      </w:pPr>
    </w:p>
    <w:p w14:paraId="3AA75C01" w14:textId="70612840" w:rsidR="003A2857" w:rsidRPr="00B845AF" w:rsidRDefault="004B24B7">
      <w:pPr>
        <w:pStyle w:val="SC3"/>
        <w:rPr>
          <w:rFonts w:asciiTheme="minorHAnsi" w:hAnsiTheme="minorHAnsi" w:cstheme="minorHAnsi"/>
        </w:rPr>
      </w:pPr>
      <w:r w:rsidRPr="00B845AF">
        <w:rPr>
          <w:rFonts w:asciiTheme="minorHAnsi" w:hAnsiTheme="minorHAnsi" w:cstheme="minorHAnsi"/>
        </w:rPr>
        <w:t>Mixed fishery monitoring strategy</w:t>
      </w:r>
      <w:r w:rsidR="003A2857" w:rsidRPr="00B845AF">
        <w:rPr>
          <w:rFonts w:asciiTheme="minorHAnsi" w:hAnsiTheme="minorHAnsi" w:cstheme="minorHAnsi"/>
        </w:rPr>
        <w:t xml:space="preserve"> </w:t>
      </w:r>
    </w:p>
    <w:p w14:paraId="14F54F89" w14:textId="15D46F01" w:rsidR="006A19F8" w:rsidRPr="00B845AF" w:rsidRDefault="006A19F8">
      <w:pPr>
        <w:pStyle w:val="SCtext"/>
        <w:rPr>
          <w:rFonts w:asciiTheme="minorHAnsi" w:hAnsiTheme="minorHAnsi" w:cstheme="minorHAnsi"/>
          <w:lang w:val="en-US"/>
        </w:rPr>
      </w:pPr>
      <w:r w:rsidRPr="00B845AF">
        <w:rPr>
          <w:rFonts w:asciiTheme="minorHAnsi" w:hAnsiTheme="minorHAnsi" w:cstheme="minorHAnsi"/>
          <w:lang w:val="en-US"/>
        </w:rPr>
        <w:t xml:space="preserve">The SSP presented </w:t>
      </w:r>
      <w:hyperlink r:id="rId80" w:history="1">
        <w:r w:rsidRPr="00B845AF">
          <w:rPr>
            <w:rStyle w:val="Hyperlink"/>
            <w:rFonts w:asciiTheme="minorHAnsi" w:hAnsiTheme="minorHAnsi" w:cstheme="minorHAnsi"/>
            <w:lang w:val="en-US"/>
          </w:rPr>
          <w:t>WCPFC-SC22-2026-MI-IP02</w:t>
        </w:r>
      </w:hyperlink>
      <w:r w:rsidRPr="00B845AF">
        <w:rPr>
          <w:rFonts w:asciiTheme="minorHAnsi" w:hAnsiTheme="minorHAnsi" w:cstheme="minorHAnsi"/>
          <w:lang w:val="en-US"/>
        </w:rPr>
        <w:t xml:space="preserve"> on the mixed fishery monitoring strategy, noting monitoring strategies already exist for skipjack and South Pacific albacore, while strategies for bigeye and yellowfin still need developing ahead of scheduled Commission adoption in 2027, with yellowfin monitoring seen as especially important given the lack of a directly controlling MP. </w:t>
      </w:r>
    </w:p>
    <w:p w14:paraId="69EC409D" w14:textId="77777777" w:rsidR="006A19F8" w:rsidRPr="00B845AF" w:rsidRDefault="006A19F8" w:rsidP="006A19F8">
      <w:pPr>
        <w:pStyle w:val="SCtext"/>
        <w:numPr>
          <w:ilvl w:val="0"/>
          <w:numId w:val="0"/>
        </w:numPr>
        <w:rPr>
          <w:rFonts w:asciiTheme="minorHAnsi" w:hAnsiTheme="minorHAnsi" w:cstheme="minorHAnsi"/>
          <w:lang w:val="en-US"/>
        </w:rPr>
      </w:pPr>
    </w:p>
    <w:p w14:paraId="6078CFCC" w14:textId="21F90973" w:rsidR="000E6003" w:rsidRPr="00B845AF" w:rsidRDefault="006A19F8" w:rsidP="006A19F8">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proposed structure for each stock covers three components: performance of the adopted MP (comparing actual conditions against MSE or mixed fishery testing results, plus data adequacy), MP design (whether objectives, scope, and exceptional circumstances remain appropriate), and MSE-related review (whether the OM grid, performance indicators, and outside-MP assumptions remain valid, and whether new data are needed). The SSP also proposed potential enhancements: a standing agenda item for monitoring strategy review, consolidation of stock-specific reports into </w:t>
      </w:r>
      <w:r w:rsidRPr="00B845AF">
        <w:rPr>
          <w:rFonts w:asciiTheme="minorHAnsi" w:hAnsiTheme="minorHAnsi" w:cstheme="minorHAnsi"/>
          <w:lang w:val="en-US"/>
        </w:rPr>
        <w:lastRenderedPageBreak/>
        <w:t>an omnibus (potentially online) report, and consolidation of key information papers to explicitly inform the strategy. SC22 was invited to note the proposed outline and suggest additional elements, consider recommending a standing agenda item to the Commission, consider consolidating regular papers into a monitoring-specific format, and suggest improved approaches for presenting the four stock-specific strategies once the bigeye MP is adopted.</w:t>
      </w:r>
    </w:p>
    <w:p w14:paraId="3D1203D3" w14:textId="6815680B" w:rsidR="0066536F" w:rsidRPr="00B845AF" w:rsidRDefault="0066536F" w:rsidP="0066536F">
      <w:pPr>
        <w:pStyle w:val="SCtext"/>
        <w:numPr>
          <w:ilvl w:val="0"/>
          <w:numId w:val="0"/>
        </w:numPr>
        <w:rPr>
          <w:rFonts w:asciiTheme="minorHAnsi" w:hAnsiTheme="minorHAnsi" w:cstheme="minorHAnsi"/>
          <w:lang w:val="en-US"/>
        </w:rPr>
      </w:pPr>
    </w:p>
    <w:p w14:paraId="18456A01" w14:textId="3E59900A" w:rsidR="006A19F8" w:rsidRPr="00B845AF" w:rsidRDefault="006A19F8" w:rsidP="006A19F8">
      <w:pPr>
        <w:pStyle w:val="SCDR"/>
        <w:rPr>
          <w:rFonts w:asciiTheme="minorHAnsi" w:hAnsiTheme="minorHAnsi" w:cstheme="minorHAnsi"/>
        </w:rPr>
      </w:pPr>
      <w:r w:rsidRPr="00B845AF">
        <w:rPr>
          <w:rFonts w:asciiTheme="minorHAnsi" w:hAnsiTheme="minorHAnsi" w:cstheme="minorHAnsi"/>
        </w:rPr>
        <w:t>Discussion</w:t>
      </w:r>
    </w:p>
    <w:p w14:paraId="6218E562" w14:textId="18C8DB70" w:rsidR="00C51133" w:rsidRPr="00B845AF" w:rsidRDefault="00124B11">
      <w:pPr>
        <w:pStyle w:val="SCtext"/>
        <w:rPr>
          <w:rFonts w:asciiTheme="minorHAnsi" w:hAnsiTheme="minorHAnsi" w:cstheme="minorHAnsi"/>
          <w:lang w:val="en-US"/>
        </w:rPr>
      </w:pPr>
      <w:r w:rsidRPr="00B845AF">
        <w:rPr>
          <w:rFonts w:asciiTheme="minorHAnsi" w:hAnsiTheme="minorHAnsi" w:cstheme="minorHAnsi"/>
          <w:lang w:val="en-US"/>
        </w:rPr>
        <w:t>Cook Islands, on behalf of the FFA members, welcomed the proposed monitoring strategy outline for bigeye and yellowfin, consistent with the framework already used for skipjack and South Pacific albacore. FFA members asked whether current Commission efforts will close data gaps and capacity constraints (and if not, what</w:t>
      </w:r>
      <w:r w:rsidR="004A37E6" w:rsidRPr="00B845AF">
        <w:rPr>
          <w:rFonts w:asciiTheme="minorHAnsi" w:hAnsiTheme="minorHAnsi" w:cstheme="minorHAnsi"/>
          <w:lang w:val="en-US"/>
        </w:rPr>
        <w:t>’</w:t>
      </w:r>
      <w:r w:rsidRPr="00B845AF">
        <w:rPr>
          <w:rFonts w:asciiTheme="minorHAnsi" w:hAnsiTheme="minorHAnsi" w:cstheme="minorHAnsi"/>
          <w:lang w:val="en-US"/>
        </w:rPr>
        <w:t>s needed next), how yellowfin stock status will be tracked and what triggers would signal the mixed fishery framework isn</w:t>
      </w:r>
      <w:r w:rsidR="004A37E6" w:rsidRPr="00B845AF">
        <w:rPr>
          <w:rFonts w:asciiTheme="minorHAnsi" w:hAnsiTheme="minorHAnsi" w:cstheme="minorHAnsi"/>
          <w:lang w:val="en-US"/>
        </w:rPr>
        <w:t>’</w:t>
      </w:r>
      <w:r w:rsidRPr="00B845AF">
        <w:rPr>
          <w:rFonts w:asciiTheme="minorHAnsi" w:hAnsiTheme="minorHAnsi" w:cstheme="minorHAnsi"/>
          <w:lang w:val="en-US"/>
        </w:rPr>
        <w:t>t delivering sustainable outcomes given yellowfin</w:t>
      </w:r>
      <w:r w:rsidR="004A37E6" w:rsidRPr="00B845AF">
        <w:rPr>
          <w:rFonts w:asciiTheme="minorHAnsi" w:hAnsiTheme="minorHAnsi" w:cstheme="minorHAnsi"/>
          <w:lang w:val="en-US"/>
        </w:rPr>
        <w:t>’</w:t>
      </w:r>
      <w:r w:rsidRPr="00B845AF">
        <w:rPr>
          <w:rFonts w:asciiTheme="minorHAnsi" w:hAnsiTheme="minorHAnsi" w:cstheme="minorHAnsi"/>
          <w:lang w:val="en-US"/>
        </w:rPr>
        <w:t>s lack of a dedicated MP, and whether data inputs for the bigeye estimation method are currently sufficient. FFA members supported the outline structure, suggested explicit triggers for yellowfin monitoring, supported a standing agenda item for monitoring review, supported consolidating regular papers to inform monitoring strategies, and supported an online format pending clarification on resources and timeline, while looking forward to more complete versions at SC23.</w:t>
      </w:r>
    </w:p>
    <w:p w14:paraId="6C9705EA" w14:textId="77777777" w:rsidR="004A37E6" w:rsidRPr="00B845AF" w:rsidRDefault="004A37E6" w:rsidP="004A37E6">
      <w:pPr>
        <w:pStyle w:val="SCtext"/>
        <w:numPr>
          <w:ilvl w:val="0"/>
          <w:numId w:val="0"/>
        </w:numPr>
        <w:rPr>
          <w:rFonts w:asciiTheme="minorHAnsi" w:hAnsiTheme="minorHAnsi" w:cstheme="minorHAnsi"/>
          <w:lang w:val="en-US"/>
        </w:rPr>
      </w:pPr>
    </w:p>
    <w:p w14:paraId="2C4972E1" w14:textId="687D95D1" w:rsidR="004A37E6" w:rsidRPr="00B845AF" w:rsidRDefault="004A37E6">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Commission processes are beginning to close data gaps, with the volume of data provided across fisheries (rather than </w:t>
      </w:r>
      <w:r w:rsidR="008D7935" w:rsidRPr="00B845AF">
        <w:rPr>
          <w:rFonts w:asciiTheme="minorHAnsi" w:hAnsiTheme="minorHAnsi" w:cstheme="minorHAnsi"/>
          <w:lang w:val="en-US"/>
        </w:rPr>
        <w:t xml:space="preserve">just the </w:t>
      </w:r>
      <w:r w:rsidRPr="00B845AF">
        <w:rPr>
          <w:rFonts w:asciiTheme="minorHAnsi" w:hAnsiTheme="minorHAnsi" w:cstheme="minorHAnsi"/>
          <w:lang w:val="en-US"/>
        </w:rPr>
        <w:t xml:space="preserve">provision </w:t>
      </w:r>
      <w:r w:rsidR="008D7935" w:rsidRPr="00B845AF">
        <w:rPr>
          <w:rFonts w:asciiTheme="minorHAnsi" w:hAnsiTheme="minorHAnsi" w:cstheme="minorHAnsi"/>
          <w:lang w:val="en-US"/>
        </w:rPr>
        <w:t xml:space="preserve">of data </w:t>
      </w:r>
      <w:r w:rsidRPr="00B845AF">
        <w:rPr>
          <w:rFonts w:asciiTheme="minorHAnsi" w:hAnsiTheme="minorHAnsi" w:cstheme="minorHAnsi"/>
          <w:lang w:val="en-US"/>
        </w:rPr>
        <w:t xml:space="preserve">itself) being a key monitoring focus; that yellowfin tracking relies on </w:t>
      </w:r>
      <w:r w:rsidR="006253F4" w:rsidRPr="00B845AF">
        <w:rPr>
          <w:rFonts w:asciiTheme="minorHAnsi" w:hAnsiTheme="minorHAnsi" w:cstheme="minorHAnsi"/>
          <w:lang w:val="en-US"/>
        </w:rPr>
        <w:t xml:space="preserve">sources like </w:t>
      </w:r>
      <w:r w:rsidRPr="00B845AF">
        <w:rPr>
          <w:rFonts w:asciiTheme="minorHAnsi" w:hAnsiTheme="minorHAnsi" w:cstheme="minorHAnsi"/>
          <w:lang w:val="en-US"/>
        </w:rPr>
        <w:t>the indicators paper and stock assessment to check whether outcomes fall within the bounds expected from the mixed fishery simulations; and that bigeye estimation method data needs are comparatively straightforward and largely available, aided by WPEA dataset improvements.</w:t>
      </w:r>
    </w:p>
    <w:p w14:paraId="2E6676FF" w14:textId="2BEFE0EA" w:rsidR="0050671E" w:rsidRPr="00B845AF" w:rsidRDefault="0050671E" w:rsidP="0050671E">
      <w:pPr>
        <w:pStyle w:val="SCtext"/>
        <w:numPr>
          <w:ilvl w:val="0"/>
          <w:numId w:val="0"/>
        </w:numPr>
        <w:rPr>
          <w:rFonts w:asciiTheme="minorHAnsi" w:hAnsiTheme="minorHAnsi" w:cstheme="minorHAnsi"/>
          <w:lang w:val="en-US"/>
        </w:rPr>
      </w:pPr>
    </w:p>
    <w:p w14:paraId="2C944767" w14:textId="75E235D1" w:rsidR="0050671E" w:rsidRPr="00B845AF" w:rsidRDefault="0050671E" w:rsidP="0050671E">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46D5DEA5" w14:textId="10725153" w:rsidR="0050671E" w:rsidRPr="00B845AF" w:rsidRDefault="0050671E">
      <w:pPr>
        <w:pStyle w:val="SCtext"/>
        <w:rPr>
          <w:rFonts w:asciiTheme="minorHAnsi" w:hAnsiTheme="minorHAnsi" w:cstheme="minorHAnsi"/>
          <w:b/>
          <w:bCs/>
          <w:lang w:val="en-US"/>
        </w:rPr>
      </w:pPr>
      <w:r w:rsidRPr="00B845AF">
        <w:rPr>
          <w:rFonts w:asciiTheme="minorHAnsi" w:hAnsiTheme="minorHAnsi" w:cstheme="minorHAnsi"/>
          <w:lang w:val="en-US"/>
        </w:rPr>
        <w:t>SC22 reviewed the framework of the mixed fishery monitoring strategy provided by the SSP.</w:t>
      </w:r>
      <w:r w:rsidRPr="00B845AF">
        <w:rPr>
          <w:rFonts w:asciiTheme="minorHAnsi" w:hAnsiTheme="minorHAnsi" w:cstheme="minorHAnsi"/>
          <w:b/>
          <w:bCs/>
          <w:lang w:val="en-US"/>
        </w:rPr>
        <w:t xml:space="preserve"> Noting that the mixed fishery monitoring strategy (BET and YFT) is to be developed and adopted in 2027, SC22 recommended to the Commission that the monitoring strategy process be a standing agenda item on Commission and subsidiary body meeting agenda. SC22 also supported the proposal to consolidate the regular papers provided </w:t>
      </w:r>
      <w:proofErr w:type="gramStart"/>
      <w:r w:rsidRPr="00B845AF">
        <w:rPr>
          <w:rFonts w:asciiTheme="minorHAnsi" w:hAnsiTheme="minorHAnsi" w:cstheme="minorHAnsi"/>
          <w:b/>
          <w:bCs/>
          <w:lang w:val="en-US"/>
        </w:rPr>
        <w:t>to</w:t>
      </w:r>
      <w:proofErr w:type="gramEnd"/>
      <w:r w:rsidRPr="00B845AF">
        <w:rPr>
          <w:rFonts w:asciiTheme="minorHAnsi" w:hAnsiTheme="minorHAnsi" w:cstheme="minorHAnsi"/>
          <w:b/>
          <w:bCs/>
          <w:lang w:val="en-US"/>
        </w:rPr>
        <w:t xml:space="preserve"> meetings into a format designed to specifically inform monitoring strategies once all the MPs are adopted as well as </w:t>
      </w:r>
      <w:r w:rsidR="00F14811" w:rsidRPr="00B845AF">
        <w:rPr>
          <w:rFonts w:asciiTheme="minorHAnsi" w:hAnsiTheme="minorHAnsi" w:cstheme="minorHAnsi"/>
          <w:b/>
          <w:bCs/>
          <w:lang w:val="en-US"/>
        </w:rPr>
        <w:t>considering</w:t>
      </w:r>
      <w:r w:rsidRPr="00B845AF">
        <w:rPr>
          <w:rFonts w:asciiTheme="minorHAnsi" w:hAnsiTheme="minorHAnsi" w:cstheme="minorHAnsi"/>
          <w:b/>
          <w:bCs/>
          <w:lang w:val="en-US"/>
        </w:rPr>
        <w:t xml:space="preserve"> an online approach dedicated to delivering the monitoring strategy.</w:t>
      </w:r>
    </w:p>
    <w:p w14:paraId="0E446EAE" w14:textId="7256CB38" w:rsidR="001A7196" w:rsidRPr="00B845AF" w:rsidRDefault="001A7196" w:rsidP="001A7196">
      <w:pPr>
        <w:pStyle w:val="SCtext"/>
        <w:numPr>
          <w:ilvl w:val="0"/>
          <w:numId w:val="0"/>
        </w:numPr>
        <w:rPr>
          <w:rFonts w:asciiTheme="minorHAnsi" w:hAnsiTheme="minorHAnsi" w:cstheme="minorHAnsi"/>
          <w:lang w:val="en-US"/>
        </w:rPr>
      </w:pPr>
    </w:p>
    <w:p w14:paraId="13F479AD" w14:textId="1DE19F0F" w:rsidR="007510FD" w:rsidRPr="00B845AF" w:rsidRDefault="001A7196">
      <w:pPr>
        <w:pStyle w:val="SC3"/>
        <w:rPr>
          <w:rFonts w:asciiTheme="minorHAnsi" w:hAnsiTheme="minorHAnsi" w:cstheme="minorHAnsi"/>
        </w:rPr>
      </w:pPr>
      <w:r w:rsidRPr="00B845AF">
        <w:rPr>
          <w:rFonts w:asciiTheme="minorHAnsi" w:hAnsiTheme="minorHAnsi" w:cstheme="minorHAnsi"/>
        </w:rPr>
        <w:t xml:space="preserve">Progress of the WCPFC Harvest Strategy Work Plan </w:t>
      </w:r>
    </w:p>
    <w:p w14:paraId="03E55BB7" w14:textId="4F1D700A" w:rsidR="00BF45E5" w:rsidRPr="00B845AF" w:rsidRDefault="00BF45E5" w:rsidP="00BF45E5">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5D4CEF1D" w14:textId="134AC9F8" w:rsidR="00BF45E5" w:rsidRPr="00B845AF" w:rsidRDefault="00635C3F">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reviewed the WCPFC Harvest Strategy Work Plan and considered no revision is required at SC22.</w:t>
      </w:r>
    </w:p>
    <w:p w14:paraId="144207C1" w14:textId="443038AD" w:rsidR="00F0186C" w:rsidRPr="00B845AF" w:rsidRDefault="00F0186C" w:rsidP="00F0186C">
      <w:pPr>
        <w:pStyle w:val="SCtext"/>
        <w:numPr>
          <w:ilvl w:val="0"/>
          <w:numId w:val="0"/>
        </w:numPr>
        <w:rPr>
          <w:rFonts w:asciiTheme="minorHAnsi" w:hAnsiTheme="minorHAnsi" w:cstheme="minorHAnsi"/>
          <w:lang w:val="en-US"/>
        </w:rPr>
      </w:pPr>
    </w:p>
    <w:p w14:paraId="28B7C9D6" w14:textId="47B4DA28" w:rsidR="007510FD" w:rsidRPr="00B845AF" w:rsidRDefault="00F0186C">
      <w:pPr>
        <w:pStyle w:val="SC3"/>
        <w:rPr>
          <w:rFonts w:asciiTheme="minorHAnsi" w:hAnsiTheme="minorHAnsi" w:cstheme="minorHAnsi"/>
        </w:rPr>
      </w:pPr>
      <w:r w:rsidRPr="00B845AF">
        <w:rPr>
          <w:rFonts w:asciiTheme="minorHAnsi" w:hAnsiTheme="minorHAnsi" w:cstheme="minorHAnsi"/>
        </w:rPr>
        <w:t xml:space="preserve">Pacific bluefin tuna - Long-term harvest strategy </w:t>
      </w:r>
    </w:p>
    <w:p w14:paraId="7ABA4ED9" w14:textId="7D04EE74" w:rsidR="00DD2A36" w:rsidRPr="00B845AF" w:rsidRDefault="00D0477F">
      <w:pPr>
        <w:pStyle w:val="SCtext"/>
        <w:rPr>
          <w:rFonts w:asciiTheme="minorHAnsi" w:hAnsiTheme="minorHAnsi" w:cstheme="minorHAnsi"/>
          <w:lang w:val="en-US"/>
        </w:rPr>
      </w:pPr>
      <w:r w:rsidRPr="00B845AF">
        <w:rPr>
          <w:rFonts w:asciiTheme="minorHAnsi" w:hAnsiTheme="minorHAnsi" w:cstheme="minorHAnsi"/>
          <w:lang w:val="en-US"/>
        </w:rPr>
        <w:t xml:space="preserve">S. </w:t>
      </w:r>
      <w:r w:rsidR="00DD2A36" w:rsidRPr="00B845AF">
        <w:rPr>
          <w:rFonts w:asciiTheme="minorHAnsi" w:hAnsiTheme="minorHAnsi" w:cstheme="minorHAnsi"/>
          <w:lang w:val="en-US"/>
        </w:rPr>
        <w:t>Nakatsuka</w:t>
      </w:r>
      <w:r w:rsidRPr="00B845AF">
        <w:rPr>
          <w:rFonts w:asciiTheme="minorHAnsi" w:hAnsiTheme="minorHAnsi" w:cstheme="minorHAnsi"/>
          <w:lang w:val="en-US"/>
        </w:rPr>
        <w:t xml:space="preserve"> (Japan, </w:t>
      </w:r>
      <w:r w:rsidR="009857F7" w:rsidRPr="00B845AF">
        <w:rPr>
          <w:rFonts w:asciiTheme="minorHAnsi" w:hAnsiTheme="minorHAnsi" w:cstheme="minorHAnsi"/>
          <w:lang w:val="en-US"/>
        </w:rPr>
        <w:t>MI Convener</w:t>
      </w:r>
      <w:r w:rsidRPr="00B845AF">
        <w:rPr>
          <w:rFonts w:asciiTheme="minorHAnsi" w:hAnsiTheme="minorHAnsi" w:cstheme="minorHAnsi"/>
          <w:lang w:val="en-US"/>
        </w:rPr>
        <w:t>)</w:t>
      </w:r>
      <w:r w:rsidR="009857F7" w:rsidRPr="00B845AF">
        <w:rPr>
          <w:rFonts w:asciiTheme="minorHAnsi" w:hAnsiTheme="minorHAnsi" w:cstheme="minorHAnsi"/>
          <w:lang w:val="en-US"/>
        </w:rPr>
        <w:t xml:space="preserve">, presenting in his capacity as PBFWG Chair, introduced </w:t>
      </w:r>
      <w:hyperlink r:id="rId81" w:history="1">
        <w:r w:rsidR="009857F7" w:rsidRPr="00B845AF">
          <w:rPr>
            <w:rStyle w:val="Hyperlink"/>
            <w:rFonts w:asciiTheme="minorHAnsi" w:hAnsiTheme="minorHAnsi" w:cstheme="minorHAnsi"/>
            <w:lang w:val="en-US"/>
          </w:rPr>
          <w:t>WCPFC-SC22-2026-MI-IP09</w:t>
        </w:r>
      </w:hyperlink>
      <w:r w:rsidR="009857F7" w:rsidRPr="00B845AF">
        <w:rPr>
          <w:rFonts w:asciiTheme="minorHAnsi" w:hAnsiTheme="minorHAnsi" w:cstheme="minorHAnsi"/>
          <w:lang w:val="en-US"/>
        </w:rPr>
        <w:t>, focusing on Appendix 4, the ISC</w:t>
      </w:r>
      <w:r w:rsidR="00A824A6" w:rsidRPr="00B845AF">
        <w:rPr>
          <w:rFonts w:asciiTheme="minorHAnsi" w:hAnsiTheme="minorHAnsi" w:cstheme="minorHAnsi"/>
          <w:lang w:val="en-US"/>
        </w:rPr>
        <w:t>’</w:t>
      </w:r>
      <w:r w:rsidR="009857F7" w:rsidRPr="00B845AF">
        <w:rPr>
          <w:rFonts w:asciiTheme="minorHAnsi" w:hAnsiTheme="minorHAnsi" w:cstheme="minorHAnsi"/>
          <w:lang w:val="en-US"/>
        </w:rPr>
        <w:t xml:space="preserve">s response to the Joint IATTC/WCPFC-NC Working Group on the Management of Pacific bluefin tuna (JWG). </w:t>
      </w:r>
    </w:p>
    <w:p w14:paraId="555843D8" w14:textId="77777777" w:rsidR="00DD2A36" w:rsidRPr="00B845AF" w:rsidRDefault="00DD2A36" w:rsidP="00DD2A36">
      <w:pPr>
        <w:pStyle w:val="SCtext"/>
        <w:numPr>
          <w:ilvl w:val="0"/>
          <w:numId w:val="0"/>
        </w:numPr>
        <w:ind w:left="720"/>
        <w:rPr>
          <w:rFonts w:asciiTheme="minorHAnsi" w:hAnsiTheme="minorHAnsi" w:cstheme="minorHAnsi"/>
          <w:lang w:val="en-US"/>
        </w:rPr>
      </w:pPr>
    </w:p>
    <w:p w14:paraId="4DDD29D1" w14:textId="586FD557" w:rsidR="00A824A6" w:rsidRPr="00B845AF" w:rsidRDefault="009857F7" w:rsidP="00DD2A3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lastRenderedPageBreak/>
        <w:t xml:space="preserve">He explained that the JWG had put forward a new candidate harvest control rule (HCR 17/18, shown as the purple shape in the HCR figure) with its own target level and control points, but that because the request came late, PBFWG could not run a full MSE simulation and instead provided the would-be TAC under this HCR. He noted this was the first of the requests made by the JWG. On the question of vulnerability to a recruitment drop, he reported that the results did not show any </w:t>
      </w:r>
      <w:proofErr w:type="gramStart"/>
      <w:r w:rsidRPr="00B845AF">
        <w:rPr>
          <w:rFonts w:asciiTheme="minorHAnsi" w:hAnsiTheme="minorHAnsi" w:cstheme="minorHAnsi"/>
          <w:lang w:val="en-US"/>
        </w:rPr>
        <w:t>particular concerning</w:t>
      </w:r>
      <w:proofErr w:type="gramEnd"/>
      <w:r w:rsidRPr="00B845AF">
        <w:rPr>
          <w:rFonts w:asciiTheme="minorHAnsi" w:hAnsiTheme="minorHAnsi" w:cstheme="minorHAnsi"/>
          <w:lang w:val="en-US"/>
        </w:rPr>
        <w:t xml:space="preserve"> trend, and that PBFWG concluded the recruitment trend is not concerning at this stage. He briefly listed the other elements considered (stock status, CPUE, stock and fleet dynamics, and application/implementation), noting there </w:t>
      </w:r>
      <w:proofErr w:type="gramStart"/>
      <w:r w:rsidRPr="00B845AF">
        <w:rPr>
          <w:rFonts w:asciiTheme="minorHAnsi" w:hAnsiTheme="minorHAnsi" w:cstheme="minorHAnsi"/>
          <w:lang w:val="en-US"/>
        </w:rPr>
        <w:t>was not</w:t>
      </w:r>
      <w:proofErr w:type="gramEnd"/>
      <w:r w:rsidRPr="00B845AF">
        <w:rPr>
          <w:rFonts w:asciiTheme="minorHAnsi" w:hAnsiTheme="minorHAnsi" w:cstheme="minorHAnsi"/>
          <w:lang w:val="en-US"/>
        </w:rPr>
        <w:t xml:space="preserve"> much additional analytical work on these. He stated that this information was presented to the JWG in July in Japan, but the JWG could not agree on an MP at that time. He summarized that the ISC had provided the requested additional MSE information and that the JWG</w:t>
      </w:r>
      <w:r w:rsidR="00A824A6" w:rsidRPr="00B845AF">
        <w:rPr>
          <w:rFonts w:asciiTheme="minorHAnsi" w:hAnsiTheme="minorHAnsi" w:cstheme="minorHAnsi"/>
          <w:lang w:val="en-US"/>
        </w:rPr>
        <w:t>’</w:t>
      </w:r>
      <w:r w:rsidRPr="00B845AF">
        <w:rPr>
          <w:rFonts w:asciiTheme="minorHAnsi" w:hAnsiTheme="minorHAnsi" w:cstheme="minorHAnsi"/>
          <w:lang w:val="en-US"/>
        </w:rPr>
        <w:t>s discussion on MP selection continues.</w:t>
      </w:r>
    </w:p>
    <w:p w14:paraId="0B3D32D4" w14:textId="45D3A929" w:rsidR="00A824A6" w:rsidRPr="00B845AF" w:rsidRDefault="00A824A6" w:rsidP="00A824A6">
      <w:pPr>
        <w:pStyle w:val="SCtext"/>
        <w:numPr>
          <w:ilvl w:val="0"/>
          <w:numId w:val="0"/>
        </w:numPr>
        <w:rPr>
          <w:rFonts w:asciiTheme="minorHAnsi" w:hAnsiTheme="minorHAnsi" w:cstheme="minorHAnsi"/>
          <w:lang w:val="en-US"/>
        </w:rPr>
      </w:pPr>
    </w:p>
    <w:p w14:paraId="05A3BA1C" w14:textId="7D777E2F" w:rsidR="00A824A6" w:rsidRPr="00B845AF" w:rsidRDefault="00A824A6" w:rsidP="00A824A6">
      <w:pPr>
        <w:pStyle w:val="SCDR"/>
        <w:rPr>
          <w:rFonts w:asciiTheme="minorHAnsi" w:hAnsiTheme="minorHAnsi" w:cstheme="minorHAnsi"/>
        </w:rPr>
      </w:pPr>
      <w:r w:rsidRPr="00B845AF">
        <w:rPr>
          <w:rFonts w:asciiTheme="minorHAnsi" w:hAnsiTheme="minorHAnsi" w:cstheme="minorHAnsi"/>
        </w:rPr>
        <w:t>Discussion</w:t>
      </w:r>
    </w:p>
    <w:p w14:paraId="3603488D" w14:textId="469511D2" w:rsidR="00A824A6" w:rsidRPr="00B845AF" w:rsidRDefault="00A824A6">
      <w:pPr>
        <w:pStyle w:val="SCtext"/>
        <w:rPr>
          <w:rFonts w:asciiTheme="minorHAnsi" w:hAnsiTheme="minorHAnsi" w:cstheme="minorHAnsi"/>
          <w:lang w:val="en-US"/>
        </w:rPr>
      </w:pPr>
      <w:r w:rsidRPr="00B845AF">
        <w:rPr>
          <w:rFonts w:asciiTheme="minorHAnsi" w:hAnsiTheme="minorHAnsi" w:cstheme="minorHAnsi"/>
          <w:lang w:val="en-US"/>
        </w:rPr>
        <w:t>Australia, on behalf of the FFA members, thanked the JWG for its efforts and recognized the significant technical work undertaken, reiterating support for the development of science-based harvest control rules. FFA members emphasized that any management measures should be supported by appropriate scientific evaluation, and while noting that no agreement had been reached this year despite considerable progress, expressed support for continued work toward consensus. Australia recalled that, consistent with Article 10, proposals relying on scientific advice should be considered by the Scientific Committee, which promotes transparency, and encouraged consistent application of science-based decision-making subject to the same standards of scrutiny.</w:t>
      </w:r>
    </w:p>
    <w:p w14:paraId="5FD9857F" w14:textId="77777777" w:rsidR="00EC4DC0" w:rsidRPr="00B845AF" w:rsidRDefault="00EC4DC0" w:rsidP="00EC4DC0">
      <w:pPr>
        <w:pStyle w:val="SCtext"/>
        <w:numPr>
          <w:ilvl w:val="0"/>
          <w:numId w:val="0"/>
        </w:numPr>
        <w:rPr>
          <w:rFonts w:asciiTheme="minorHAnsi" w:hAnsiTheme="minorHAnsi" w:cstheme="minorHAnsi"/>
          <w:lang w:val="en-US"/>
        </w:rPr>
      </w:pPr>
    </w:p>
    <w:p w14:paraId="50C8E8BA" w14:textId="52291F83" w:rsidR="00EC4DC0" w:rsidRPr="00B845AF" w:rsidRDefault="009A29D2">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PBFWG Chair clarified that the Pacific bluefin management procedure had already been thoroughly reviewed by the Scientific Committee the previous year, when ISC gave a full presentation and the Committee spent approximately an hour in discussion. He explained that this year</w:t>
      </w:r>
      <w:r w:rsidR="001751C8"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s task, by contrast, had been limited to calculating a TAC for the new candidate HCR requested by the JWG, without a full MSE test, but noted that because the new HCR fell between HCRs that had already been tested, its performance and safety with respect to the Limit Reference Point could reasonably be inferred, and that ISC would formally test it once adopted by the Commission. He drew a parallel to the skipjack management procedure, which was similarly not formally tested before adoption, and expressed hope that the same rigor eventually applied to skipjack would also be applied to the forthcoming bigeye discussion. Separately, he clarified for the Committee</w:t>
      </w:r>
      <w:r w:rsidR="00A6392B"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s benefit a conversion factor under discussion at the Joint Working Group and Northern Committee, explaining that it addresses the differing stock impact of catching Pacific bluefin at different sizes and is intended to allow catch to be converted between size classes at equivalent impact when TAC is calculated; he noted this factor had previously been presented to SC21 and is documented in SC21-SA-WP04.</w:t>
      </w:r>
    </w:p>
    <w:p w14:paraId="0168DD13" w14:textId="77777777" w:rsidR="00EC4DC0" w:rsidRPr="00B845AF" w:rsidRDefault="00EC4DC0" w:rsidP="00EC4DC0">
      <w:pPr>
        <w:pStyle w:val="SCtext"/>
        <w:numPr>
          <w:ilvl w:val="0"/>
          <w:numId w:val="0"/>
        </w:numPr>
        <w:rPr>
          <w:rFonts w:asciiTheme="minorHAnsi" w:hAnsiTheme="minorHAnsi" w:cstheme="minorHAnsi"/>
          <w:lang w:val="en-US"/>
        </w:rPr>
      </w:pPr>
    </w:p>
    <w:p w14:paraId="5D5ECFA7" w14:textId="25651880" w:rsidR="00D27EB9" w:rsidRPr="00B845AF" w:rsidRDefault="00D27EB9">
      <w:pPr>
        <w:pStyle w:val="SCtext"/>
        <w:rPr>
          <w:rFonts w:asciiTheme="minorHAnsi" w:hAnsiTheme="minorHAnsi" w:cstheme="minorHAnsi"/>
          <w:lang w:val="en-US"/>
        </w:rPr>
      </w:pPr>
      <w:r w:rsidRPr="00B845AF">
        <w:rPr>
          <w:rFonts w:asciiTheme="minorHAnsi" w:hAnsiTheme="minorHAnsi" w:cstheme="minorHAnsi"/>
          <w:lang w:val="en-US"/>
        </w:rPr>
        <w:t xml:space="preserve">Responding to Australia, the PBFWG Chair, speaking as head of the Japanese delegation, stated he agreed in principle that all management procedures should be thoroughly simulated and reviewed, but noted that in practice this was not always achievable within negotiation timelines, and that a balance was sometimes needed between that principle and practical constraints. He observed that because the new HCR fell within the range of previously tested HCRs, its performance could reasonably be expected to be comparable. He acknowledged that delaying adoption by a year to allow full testing was one option, as was proceeding with some flexibility followed by later </w:t>
      </w:r>
      <w:r w:rsidR="004E2763" w:rsidRPr="00B845AF">
        <w:rPr>
          <w:rFonts w:asciiTheme="minorHAnsi" w:hAnsiTheme="minorHAnsi" w:cstheme="minorHAnsi"/>
          <w:lang w:val="en-US"/>
        </w:rPr>
        <w:t>validation but</w:t>
      </w:r>
      <w:r w:rsidRPr="00B845AF">
        <w:rPr>
          <w:rFonts w:asciiTheme="minorHAnsi" w:hAnsiTheme="minorHAnsi" w:cstheme="minorHAnsi"/>
          <w:lang w:val="en-US"/>
        </w:rPr>
        <w:t xml:space="preserve"> characterized that choice as a matter for the Commission rather than the Scientific Committee.</w:t>
      </w:r>
    </w:p>
    <w:p w14:paraId="5F6BC745" w14:textId="77777777" w:rsidR="00DD3A21" w:rsidRPr="00B845AF" w:rsidRDefault="00DD3A21" w:rsidP="00DD3A21">
      <w:pPr>
        <w:pStyle w:val="SCtext"/>
        <w:numPr>
          <w:ilvl w:val="0"/>
          <w:numId w:val="0"/>
        </w:numPr>
        <w:rPr>
          <w:rFonts w:asciiTheme="minorHAnsi" w:hAnsiTheme="minorHAnsi" w:cstheme="minorHAnsi"/>
          <w:lang w:val="en-US"/>
        </w:rPr>
      </w:pPr>
    </w:p>
    <w:p w14:paraId="7FF5044A" w14:textId="3269B15B" w:rsidR="00DD3A21" w:rsidRPr="00B845AF" w:rsidRDefault="00DD3A21">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Pew stated that, from a scientific perspective, sufficient justification existed to proceed with the new HCR at this stage, since it fell between two fully tested HCRs and the combined range of uncertainty across both could reasonably be considered a tested range. Pew noted it was unfortunate that standard procedure would not be followed if the HCR were adopted in </w:t>
      </w:r>
      <w:r w:rsidR="004E2763" w:rsidRPr="00B845AF">
        <w:rPr>
          <w:rFonts w:asciiTheme="minorHAnsi" w:hAnsiTheme="minorHAnsi" w:cstheme="minorHAnsi"/>
          <w:lang w:val="en-US"/>
        </w:rPr>
        <w:t>December and</w:t>
      </w:r>
      <w:r w:rsidRPr="00B845AF">
        <w:rPr>
          <w:rFonts w:asciiTheme="minorHAnsi" w:hAnsiTheme="minorHAnsi" w:cstheme="minorHAnsi"/>
          <w:lang w:val="en-US"/>
        </w:rPr>
        <w:t xml:space="preserve"> expressed hope that the HCR would be endorsed by the JWG the following week, but stressed it was critical that the HCR be fully tested and validated, ideally before a special Scientific Committee session this year.</w:t>
      </w:r>
    </w:p>
    <w:p w14:paraId="7D1E53F1" w14:textId="77777777" w:rsidR="00393CCF" w:rsidRPr="00B845AF" w:rsidRDefault="00393CCF" w:rsidP="00393CCF">
      <w:pPr>
        <w:pStyle w:val="SCtext"/>
        <w:numPr>
          <w:ilvl w:val="0"/>
          <w:numId w:val="0"/>
        </w:numPr>
        <w:rPr>
          <w:rFonts w:asciiTheme="minorHAnsi" w:hAnsiTheme="minorHAnsi" w:cstheme="minorHAnsi"/>
          <w:lang w:val="en-US"/>
        </w:rPr>
      </w:pPr>
    </w:p>
    <w:p w14:paraId="3DC66089" w14:textId="31165DE4" w:rsidR="00393CCF" w:rsidRPr="00B845AF" w:rsidRDefault="00393CCF">
      <w:pPr>
        <w:pStyle w:val="SCtext"/>
        <w:rPr>
          <w:rFonts w:asciiTheme="minorHAnsi" w:hAnsiTheme="minorHAnsi" w:cstheme="minorHAnsi"/>
          <w:lang w:val="en-US"/>
        </w:rPr>
      </w:pPr>
      <w:r w:rsidRPr="00B845AF">
        <w:rPr>
          <w:rFonts w:asciiTheme="minorHAnsi" w:hAnsiTheme="minorHAnsi" w:cstheme="minorHAnsi"/>
          <w:lang w:val="en-US"/>
        </w:rPr>
        <w:t>New Zealand, on behalf of the FFA members, thanked the convener for the presentation and stated that FFA members recognized the importance of the work and the potential implications of any recommendation ultimately forwarded to the Commission. New Zealand stated that FFA members remained willing to consider options for providing advice to the Commission, but noted that the material had only just been presented and, in light of the Committee’s discussion on Article 30, FFA members required additional time to properly consider the information and its implications. New Zealand requested that the agenda item remain open to allow FFA members sufficient time to evaluate the material.</w:t>
      </w:r>
    </w:p>
    <w:p w14:paraId="421CB4DE" w14:textId="77777777" w:rsidR="00393CCF" w:rsidRPr="00B845AF" w:rsidRDefault="00393CCF" w:rsidP="00393CCF">
      <w:pPr>
        <w:pStyle w:val="SCtext"/>
        <w:numPr>
          <w:ilvl w:val="0"/>
          <w:numId w:val="0"/>
        </w:numPr>
        <w:rPr>
          <w:rFonts w:asciiTheme="minorHAnsi" w:hAnsiTheme="minorHAnsi" w:cstheme="minorHAnsi"/>
          <w:lang w:val="en-US"/>
        </w:rPr>
      </w:pPr>
    </w:p>
    <w:p w14:paraId="1628AA35" w14:textId="0B6C56F4" w:rsidR="00393CCF" w:rsidRPr="00B845AF" w:rsidRDefault="00393CCF">
      <w:pPr>
        <w:pStyle w:val="SCtext"/>
        <w:rPr>
          <w:rFonts w:asciiTheme="minorHAnsi" w:hAnsiTheme="minorHAnsi" w:cstheme="minorHAnsi"/>
          <w:lang w:val="en-US"/>
        </w:rPr>
      </w:pPr>
      <w:r w:rsidRPr="00B845AF">
        <w:rPr>
          <w:rFonts w:asciiTheme="minorHAnsi" w:hAnsiTheme="minorHAnsi" w:cstheme="minorHAnsi"/>
          <w:lang w:val="en-US"/>
        </w:rPr>
        <w:t>The convener thanked New Zealand for the comment and agreed to keep the item open, noting that the intent was to secure an indication that no obstacle to Commission-level progress would arise from a scientific review perspective, rather than formal endorsement from SC22.</w:t>
      </w:r>
    </w:p>
    <w:p w14:paraId="4A75F2DB" w14:textId="29F29360" w:rsidR="00A824A6" w:rsidRPr="00B845AF" w:rsidRDefault="00A824A6" w:rsidP="00A824A6">
      <w:pPr>
        <w:pStyle w:val="SCtext"/>
        <w:numPr>
          <w:ilvl w:val="0"/>
          <w:numId w:val="0"/>
        </w:numPr>
        <w:rPr>
          <w:rFonts w:asciiTheme="minorHAnsi" w:hAnsiTheme="minorHAnsi" w:cstheme="minorHAnsi"/>
          <w:lang w:val="en-US"/>
        </w:rPr>
      </w:pPr>
    </w:p>
    <w:p w14:paraId="149152C2" w14:textId="48B43B09" w:rsidR="00A824A6" w:rsidRPr="00B845AF" w:rsidRDefault="00A824A6" w:rsidP="00A824A6">
      <w:pPr>
        <w:pStyle w:val="SCDR"/>
        <w:rPr>
          <w:rFonts w:asciiTheme="minorHAnsi" w:hAnsiTheme="minorHAnsi" w:cstheme="minorHAnsi"/>
        </w:rPr>
      </w:pPr>
      <w:r w:rsidRPr="00B845AF">
        <w:rPr>
          <w:rFonts w:asciiTheme="minorHAnsi" w:hAnsiTheme="minorHAnsi" w:cstheme="minorHAnsi"/>
        </w:rPr>
        <w:t>Outcomes</w:t>
      </w:r>
    </w:p>
    <w:p w14:paraId="7AD537D7" w14:textId="1BC5B525" w:rsidR="00A824A6" w:rsidRPr="00B845AF" w:rsidRDefault="00635C3F">
      <w:pPr>
        <w:pStyle w:val="SCtext"/>
        <w:rPr>
          <w:rFonts w:asciiTheme="minorHAnsi" w:hAnsiTheme="minorHAnsi" w:cstheme="minorHAnsi"/>
          <w:lang w:val="en-US"/>
        </w:rPr>
      </w:pPr>
      <w:r w:rsidRPr="00B845AF">
        <w:rPr>
          <w:rFonts w:asciiTheme="minorHAnsi" w:hAnsiTheme="minorHAnsi" w:cstheme="minorHAnsi"/>
          <w:lang w:val="en-US"/>
        </w:rPr>
        <w:t>ISC provided updated information on PBF MSE</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including TAC1 calculation of newly requested HCRs by JWG in March 2026</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and re-introduced the method to calculate conversion factors among different management categories. It was noted that the full PBF MSE results were presented at SC21, while the newly proposed HCRs were not yet fully simulated due to time constraints. However, ISC noted that, as they fall between the HCRs already tested, their performance can be generally inferred and the risk to the PBF stock would not be problematic. Once an MP is adopted, it will be fully simulation tested by ISC.</w:t>
      </w:r>
    </w:p>
    <w:p w14:paraId="350E9172" w14:textId="77777777" w:rsidR="007660DE" w:rsidRPr="00B845AF" w:rsidRDefault="007660DE" w:rsidP="007660DE">
      <w:pPr>
        <w:pStyle w:val="SCtext"/>
        <w:numPr>
          <w:ilvl w:val="0"/>
          <w:numId w:val="0"/>
        </w:numPr>
        <w:rPr>
          <w:rFonts w:asciiTheme="minorHAnsi" w:hAnsiTheme="minorHAnsi" w:cstheme="minorHAnsi"/>
          <w:b/>
          <w:bCs/>
          <w:lang w:val="en-US"/>
        </w:rPr>
      </w:pPr>
    </w:p>
    <w:p w14:paraId="02F7CBE6" w14:textId="616E1D99" w:rsidR="007660DE" w:rsidRPr="00B845AF" w:rsidRDefault="007660DE">
      <w:pPr>
        <w:pStyle w:val="SCtext"/>
        <w:rPr>
          <w:rFonts w:asciiTheme="minorHAnsi" w:hAnsiTheme="minorHAnsi" w:cstheme="minorHAnsi"/>
          <w:b/>
          <w:bCs/>
          <w:lang w:val="en-US"/>
        </w:rPr>
      </w:pPr>
      <w:r w:rsidRPr="00B845AF">
        <w:rPr>
          <w:rFonts w:asciiTheme="minorHAnsi" w:hAnsiTheme="minorHAnsi" w:cstheme="minorHAnsi"/>
          <w:b/>
          <w:bCs/>
          <w:lang w:val="en-US"/>
        </w:rPr>
        <w:t>SC22 welcomed the progress made by the ISC PBFWG and the JWG on the development of a long-term harvest strategy for Pacific bluefin tuna and encouraged the continued application of science-based decision-making in the development of the harvest control rule, consistent with the WCPFC harvest strategy approach.</w:t>
      </w:r>
    </w:p>
    <w:p w14:paraId="5872701D" w14:textId="77777777" w:rsidR="007660DE" w:rsidRPr="00B845AF" w:rsidRDefault="007660DE" w:rsidP="007660DE">
      <w:pPr>
        <w:pStyle w:val="SCtext"/>
        <w:numPr>
          <w:ilvl w:val="0"/>
          <w:numId w:val="0"/>
        </w:numPr>
        <w:rPr>
          <w:rFonts w:asciiTheme="minorHAnsi" w:hAnsiTheme="minorHAnsi" w:cstheme="minorHAnsi"/>
          <w:b/>
          <w:bCs/>
          <w:lang w:val="en-US"/>
        </w:rPr>
      </w:pPr>
    </w:p>
    <w:p w14:paraId="593F034A" w14:textId="6E4CC684" w:rsidR="007660DE" w:rsidRPr="00B845AF" w:rsidRDefault="00D52C51">
      <w:pPr>
        <w:pStyle w:val="SCtext"/>
        <w:rPr>
          <w:rFonts w:asciiTheme="minorHAnsi" w:hAnsiTheme="minorHAnsi" w:cstheme="minorHAnsi"/>
          <w:b/>
          <w:bCs/>
          <w:lang w:val="en-US"/>
        </w:rPr>
      </w:pPr>
      <w:r w:rsidRPr="00B845AF">
        <w:rPr>
          <w:rFonts w:asciiTheme="minorHAnsi" w:hAnsiTheme="minorHAnsi" w:cstheme="minorHAnsi"/>
          <w:lang w:val="en-US"/>
        </w:rPr>
        <w:t xml:space="preserve">SC22 considered that in principle any management procedure to be adopted by the Commission should be fully simulation tested through MSE and reviewed by the SC before its adoption. </w:t>
      </w:r>
      <w:sdt>
        <w:sdtPr>
          <w:rPr>
            <w:rFonts w:asciiTheme="minorHAnsi" w:hAnsiTheme="minorHAnsi" w:cstheme="minorHAnsi"/>
            <w:lang w:val="en-US"/>
          </w:rPr>
          <w:tag w:val="goog_rdk_29"/>
          <w:id w:val="-1428608375"/>
        </w:sdtPr>
        <w:sdtContent>
          <w:r w:rsidRPr="00B845AF">
            <w:rPr>
              <w:rFonts w:asciiTheme="minorHAnsi" w:hAnsiTheme="minorHAnsi" w:cstheme="minorHAnsi"/>
              <w:lang w:val="en-US"/>
            </w:rPr>
            <w:t xml:space="preserve">SC22 </w:t>
          </w:r>
          <w:sdt>
            <w:sdtPr>
              <w:rPr>
                <w:rFonts w:asciiTheme="minorHAnsi" w:hAnsiTheme="minorHAnsi" w:cstheme="minorHAnsi"/>
                <w:lang w:val="en-US"/>
              </w:rPr>
              <w:tag w:val="goog_rdk_30"/>
              <w:id w:val="-1940049548"/>
            </w:sdtPr>
            <w:sdtContent>
              <w:r w:rsidRPr="00B845AF">
                <w:rPr>
                  <w:rFonts w:asciiTheme="minorHAnsi" w:hAnsiTheme="minorHAnsi" w:cstheme="minorHAnsi"/>
                  <w:lang w:val="en-US"/>
                </w:rPr>
                <w:t>noted</w:t>
              </w:r>
            </w:sdtContent>
          </w:sdt>
          <w:sdt>
            <w:sdtPr>
              <w:rPr>
                <w:rFonts w:asciiTheme="minorHAnsi" w:hAnsiTheme="minorHAnsi" w:cstheme="minorHAnsi"/>
                <w:lang w:val="en-US"/>
              </w:rPr>
              <w:tag w:val="goog_rdk_31"/>
              <w:id w:val="-437887682"/>
            </w:sdtPr>
            <w:sdtContent>
              <w:r w:rsidRPr="00B845AF">
                <w:rPr>
                  <w:rFonts w:asciiTheme="minorHAnsi" w:hAnsiTheme="minorHAnsi" w:cstheme="minorHAnsi"/>
                  <w:lang w:val="en-US"/>
                </w:rPr>
                <w:t xml:space="preserve"> that, despite the considerable progress made by the Joint Working Group, no agreement was reached before SC22 on a Management Procedure recommendation, and no proposal from NC22 was tabled to SC22 for recommendation to the Commission.</w:t>
              </w:r>
            </w:sdtContent>
          </w:sdt>
        </w:sdtContent>
      </w:sdt>
      <w:r w:rsidRPr="00B845AF">
        <w:rPr>
          <w:rFonts w:asciiTheme="minorHAnsi" w:hAnsiTheme="minorHAnsi" w:cstheme="minorHAnsi"/>
          <w:lang w:val="en-US"/>
        </w:rPr>
        <w:t xml:space="preserve"> SC22 further noted that the ISC explained that the performance of PBF MSE is mainly dictated by its target level and that the newly proposed HCR falls in between the candidate HCRs, both of which do not pose substantial risk to the stock. However, it was noted that the newly proposed HCRs were not tested through MSE. SC22 noted that some CCMs proposed to revisit this and any progress made intersessionally at the special SC taking place adjacent to WCPFC23 (subject to intersessional confirmation).</w:t>
      </w:r>
      <w:r w:rsidRPr="00B845AF">
        <w:rPr>
          <w:rFonts w:asciiTheme="minorHAnsi" w:hAnsiTheme="minorHAnsi" w:cstheme="minorHAnsi"/>
          <w:b/>
          <w:bCs/>
          <w:lang w:val="en-US"/>
        </w:rPr>
        <w:t xml:space="preserve"> Given that there is no consensus</w:t>
      </w:r>
      <w:r w:rsidR="004550FB" w:rsidRPr="00B845AF">
        <w:rPr>
          <w:rFonts w:asciiTheme="minorHAnsi" w:eastAsia="MS Mincho" w:hAnsiTheme="minorHAnsi" w:cstheme="minorHAnsi"/>
          <w:b/>
          <w:bCs/>
          <w:lang w:val="en-US" w:eastAsia="ja-JP"/>
        </w:rPr>
        <w:t>,</w:t>
      </w:r>
      <w:r w:rsidRPr="00B845AF">
        <w:rPr>
          <w:rFonts w:asciiTheme="minorHAnsi" w:hAnsiTheme="minorHAnsi" w:cstheme="minorHAnsi"/>
          <w:b/>
          <w:bCs/>
          <w:lang w:val="en-US"/>
        </w:rPr>
        <w:t xml:space="preserve"> SC22 agreed to revisit this item in the special SC.</w:t>
      </w:r>
    </w:p>
    <w:p w14:paraId="66C109F1" w14:textId="16A73F9D" w:rsidR="00F0186C" w:rsidRPr="00B845AF" w:rsidRDefault="00F0186C" w:rsidP="00F0186C">
      <w:pPr>
        <w:pStyle w:val="SCtext"/>
        <w:numPr>
          <w:ilvl w:val="0"/>
          <w:numId w:val="0"/>
        </w:numPr>
        <w:rPr>
          <w:rFonts w:asciiTheme="minorHAnsi" w:hAnsiTheme="minorHAnsi" w:cstheme="minorHAnsi"/>
          <w:lang w:val="en-US"/>
        </w:rPr>
      </w:pPr>
    </w:p>
    <w:p w14:paraId="29403471" w14:textId="1FE74122" w:rsidR="00F0186C" w:rsidRPr="00B845AF" w:rsidRDefault="00F0186C">
      <w:pPr>
        <w:pStyle w:val="SC3"/>
        <w:rPr>
          <w:rFonts w:asciiTheme="minorHAnsi" w:hAnsiTheme="minorHAnsi" w:cstheme="minorHAnsi"/>
        </w:rPr>
      </w:pPr>
      <w:r w:rsidRPr="00B845AF">
        <w:rPr>
          <w:rFonts w:asciiTheme="minorHAnsi" w:hAnsiTheme="minorHAnsi" w:cstheme="minorHAnsi"/>
        </w:rPr>
        <w:lastRenderedPageBreak/>
        <w:t xml:space="preserve">Southwest Pacific swordfish management procedure </w:t>
      </w:r>
    </w:p>
    <w:p w14:paraId="7789ACA3" w14:textId="77777777" w:rsidR="00B262EC" w:rsidRPr="00B845AF" w:rsidRDefault="00B262EC">
      <w:pPr>
        <w:pStyle w:val="SCtext"/>
        <w:rPr>
          <w:rFonts w:asciiTheme="minorHAnsi" w:eastAsia="Calibri" w:hAnsiTheme="minorHAnsi" w:cstheme="minorHAnsi"/>
          <w:lang w:val="en-US"/>
        </w:rPr>
      </w:pPr>
      <w:r w:rsidRPr="00B845AF">
        <w:rPr>
          <w:rFonts w:asciiTheme="minorHAnsi" w:hAnsiTheme="minorHAnsi" w:cstheme="minorHAnsi"/>
          <w:lang w:val="en-US"/>
        </w:rPr>
        <w:t xml:space="preserve">Australia presented </w:t>
      </w:r>
      <w:hyperlink r:id="rId82" w:history="1">
        <w:r w:rsidRPr="00B845AF">
          <w:rPr>
            <w:rStyle w:val="Hyperlink"/>
            <w:rFonts w:asciiTheme="minorHAnsi" w:hAnsiTheme="minorHAnsi" w:cstheme="minorHAnsi"/>
            <w:lang w:val="en-US"/>
          </w:rPr>
          <w:t>WCPFC-SC22-2026-MI-WP-11</w:t>
        </w:r>
      </w:hyperlink>
      <w:r w:rsidRPr="00B845AF">
        <w:rPr>
          <w:rFonts w:asciiTheme="minorHAnsi" w:hAnsiTheme="minorHAnsi" w:cstheme="minorHAnsi"/>
          <w:lang w:val="en-US"/>
        </w:rPr>
        <w:t xml:space="preserve">, which provides considerations for developing a management procedure for South Pacific swordfish. </w:t>
      </w:r>
    </w:p>
    <w:p w14:paraId="57BB4DD8" w14:textId="77777777" w:rsidR="00B262EC" w:rsidRPr="00B845AF" w:rsidRDefault="00B262EC" w:rsidP="00B262EC">
      <w:pPr>
        <w:pStyle w:val="SCtext"/>
        <w:numPr>
          <w:ilvl w:val="0"/>
          <w:numId w:val="0"/>
        </w:numPr>
        <w:rPr>
          <w:rFonts w:asciiTheme="minorHAnsi" w:hAnsiTheme="minorHAnsi" w:cstheme="minorHAnsi"/>
          <w:lang w:val="en-US"/>
        </w:rPr>
      </w:pPr>
    </w:p>
    <w:p w14:paraId="2AC26EC0" w14:textId="47A630DC" w:rsidR="00405CF8" w:rsidRPr="00B845AF" w:rsidRDefault="00B262EC" w:rsidP="00B262EC">
      <w:pPr>
        <w:pStyle w:val="SCtext"/>
        <w:numPr>
          <w:ilvl w:val="0"/>
          <w:numId w:val="0"/>
        </w:numPr>
        <w:ind w:left="720"/>
        <w:rPr>
          <w:rFonts w:asciiTheme="minorHAnsi" w:eastAsia="Calibri" w:hAnsiTheme="minorHAnsi" w:cstheme="minorHAnsi"/>
          <w:lang w:val="en-US"/>
        </w:rPr>
      </w:pPr>
      <w:r w:rsidRPr="00B845AF">
        <w:rPr>
          <w:rFonts w:asciiTheme="minorHAnsi" w:hAnsiTheme="minorHAnsi" w:cstheme="minorHAnsi"/>
          <w:lang w:val="en-US"/>
        </w:rPr>
        <w:t>Australia recalled that SC21 endorsed Project 131 to develop and test candidate MPs for Southwest Pacific swordfish, and that the Commission adopted a Southwest Pacific Swordfish Harvest Strategy Work Plan. Following that work plan, SC22 is due to consider operating models for use in MSE, advise on potential MPs to evaluate, and advise on baseline swordfish catch levels and candidate management controls for all fisheries catching Southwest Pacific swordfish within the WCPFC-CA, while the Commission at WCPFC23 is due to consider objectives for management of the stock and provide advice on candidate MPs to evaluate. Noting some initial delays in commencing Project 131, the paper offered preliminary suggestions on the work plan milestones for discussion at SC22, and Australia requested feedback on those suggestions and proposed establishing a steering committee to guide the project. Recognizing that some elements span both science and management, Australia suggested this could take the form of an intersessional group to enable wider participation than SC attendees alone, meeting informally in the margins of other meetings or online, with no budget implications. Given the scope of the material and time available, Australia proposed that interested members convene for a small discussion of the paper with P. Neubauer (Dragonfly Data Science), who will lead the project, and report back to plenary, while inviting initial comments before that meeting.</w:t>
      </w:r>
    </w:p>
    <w:p w14:paraId="19D7B5F5" w14:textId="77777777" w:rsidR="00405CF8" w:rsidRPr="00B845AF" w:rsidRDefault="00405CF8" w:rsidP="00B262EC">
      <w:pPr>
        <w:jc w:val="both"/>
        <w:rPr>
          <w:rFonts w:asciiTheme="minorHAnsi" w:eastAsia="Calibri" w:hAnsiTheme="minorHAnsi" w:cstheme="minorHAnsi"/>
          <w:color w:val="000000"/>
          <w:szCs w:val="22"/>
        </w:rPr>
      </w:pPr>
    </w:p>
    <w:p w14:paraId="036C3167" w14:textId="606EE0FD" w:rsidR="00405CF8" w:rsidRPr="00B845AF" w:rsidRDefault="00700B67">
      <w:pPr>
        <w:pStyle w:val="SCtext"/>
        <w:rPr>
          <w:rFonts w:asciiTheme="minorHAnsi" w:hAnsiTheme="minorHAnsi" w:cstheme="minorHAnsi"/>
          <w:lang w:val="en-US"/>
        </w:rPr>
      </w:pPr>
      <w:r w:rsidRPr="00B845AF">
        <w:rPr>
          <w:rFonts w:asciiTheme="minorHAnsi" w:hAnsiTheme="minorHAnsi" w:cstheme="minorHAnsi"/>
          <w:lang w:val="en-US"/>
        </w:rPr>
        <w:t>The theme convener noted that the paper spans both science and management and asked who would make up the steering committee’s membership, and suggested Australia’s proposal for an interested group to discuss further and report back next week.</w:t>
      </w:r>
    </w:p>
    <w:p w14:paraId="68AFF523" w14:textId="77777777" w:rsidR="00405CF8" w:rsidRPr="00B845AF" w:rsidRDefault="00405CF8" w:rsidP="00405CF8">
      <w:pPr>
        <w:widowControl w:val="0"/>
        <w:jc w:val="both"/>
        <w:rPr>
          <w:rFonts w:asciiTheme="minorHAnsi" w:eastAsia="Calibri" w:hAnsiTheme="minorHAnsi" w:cstheme="minorHAnsi"/>
          <w:szCs w:val="22"/>
        </w:rPr>
      </w:pPr>
    </w:p>
    <w:p w14:paraId="415C2CD0" w14:textId="24CF8450" w:rsidR="00405CF8" w:rsidRPr="00B845AF" w:rsidRDefault="00700B67">
      <w:pPr>
        <w:pStyle w:val="SCtext"/>
        <w:rPr>
          <w:rFonts w:asciiTheme="minorHAnsi" w:hAnsiTheme="minorHAnsi" w:cstheme="minorHAnsi"/>
          <w:lang w:val="en-US"/>
        </w:rPr>
      </w:pPr>
      <w:r w:rsidRPr="00B845AF">
        <w:rPr>
          <w:rFonts w:asciiTheme="minorHAnsi" w:hAnsiTheme="minorHAnsi" w:cstheme="minorHAnsi"/>
          <w:lang w:val="en-US" w:bidi="mn-Mong-CN"/>
        </w:rPr>
        <w:t>The EU thanked Australia and agreed the proposed approach was sensible, supporting use of the latest assessment's structural uncertainty grid together with the additional uncertainties identified at SC21 as the basis for the operating model reference set, while remaining open to modification following the bycatch methods workshop. The EU stated that managing fishing mortality in non-target fisheries, where catch may be difficult to manage, would be an important consideration for MP design.</w:t>
      </w:r>
    </w:p>
    <w:p w14:paraId="4813AE21" w14:textId="77777777" w:rsidR="00700B67" w:rsidRPr="00B845AF" w:rsidRDefault="00700B67" w:rsidP="00700B67">
      <w:pPr>
        <w:pStyle w:val="SCtext"/>
        <w:numPr>
          <w:ilvl w:val="0"/>
          <w:numId w:val="0"/>
        </w:numPr>
        <w:rPr>
          <w:rFonts w:asciiTheme="minorHAnsi" w:hAnsiTheme="minorHAnsi" w:cstheme="minorHAnsi"/>
          <w:lang w:val="en-US"/>
        </w:rPr>
      </w:pPr>
    </w:p>
    <w:p w14:paraId="2DC2CA16" w14:textId="2869B914" w:rsidR="00700B67" w:rsidRPr="00B845AF" w:rsidRDefault="00346EDE">
      <w:pPr>
        <w:pStyle w:val="SCtext"/>
        <w:rPr>
          <w:rFonts w:asciiTheme="minorHAnsi" w:hAnsiTheme="minorHAnsi" w:cstheme="minorHAnsi"/>
          <w:lang w:val="en-US"/>
        </w:rPr>
      </w:pPr>
      <w:r w:rsidRPr="00B845AF">
        <w:rPr>
          <w:rFonts w:asciiTheme="minorHAnsi" w:hAnsiTheme="minorHAnsi" w:cstheme="minorHAnsi"/>
          <w:lang w:val="en-US"/>
        </w:rPr>
        <w:t>Niue, on behalf of the FFA members, thanked Australia for the paper and its proposed stepwise process for defining objectives, reference points, and candidate MPs to test through MSE. FFA members fully supported adoption of the Project 131 work plan and the establishment of a steering committee to guide progress, while noting the need to consider SIDS capacity to engage effectively in the process.</w:t>
      </w:r>
    </w:p>
    <w:p w14:paraId="7AEDEB56" w14:textId="77777777" w:rsidR="00346EDE" w:rsidRPr="00B845AF" w:rsidRDefault="00346EDE" w:rsidP="00346EDE">
      <w:pPr>
        <w:pStyle w:val="SCtext"/>
        <w:numPr>
          <w:ilvl w:val="0"/>
          <w:numId w:val="0"/>
        </w:numPr>
        <w:rPr>
          <w:rFonts w:asciiTheme="minorHAnsi" w:hAnsiTheme="minorHAnsi" w:cstheme="minorHAnsi"/>
          <w:lang w:val="en-US"/>
        </w:rPr>
      </w:pPr>
    </w:p>
    <w:p w14:paraId="2F0D32FC" w14:textId="0AC3120E" w:rsidR="00346EDE" w:rsidRPr="00B845AF" w:rsidRDefault="00346EDE">
      <w:pPr>
        <w:pStyle w:val="SCtext"/>
        <w:rPr>
          <w:rFonts w:asciiTheme="minorHAnsi" w:hAnsiTheme="minorHAnsi" w:cstheme="minorHAnsi"/>
          <w:lang w:val="en-US"/>
        </w:rPr>
      </w:pPr>
      <w:r w:rsidRPr="00B845AF">
        <w:rPr>
          <w:rFonts w:asciiTheme="minorHAnsi" w:hAnsiTheme="minorHAnsi" w:cstheme="minorHAnsi"/>
          <w:lang w:val="en-US"/>
        </w:rPr>
        <w:t xml:space="preserve">Vanuatu, on behalf of PNA and Vanuatu, thanked Australia for </w:t>
      </w:r>
      <w:proofErr w:type="gramStart"/>
      <w:r w:rsidRPr="00B845AF">
        <w:rPr>
          <w:rFonts w:asciiTheme="minorHAnsi" w:hAnsiTheme="minorHAnsi" w:cstheme="minorHAnsi"/>
          <w:lang w:val="en-US"/>
        </w:rPr>
        <w:t>taking into account</w:t>
      </w:r>
      <w:proofErr w:type="gramEnd"/>
      <w:r w:rsidRPr="00B845AF">
        <w:rPr>
          <w:rFonts w:asciiTheme="minorHAnsi" w:hAnsiTheme="minorHAnsi" w:cstheme="minorHAnsi"/>
          <w:lang w:val="en-US"/>
        </w:rPr>
        <w:t xml:space="preserve"> previous concerns regarding management of a stock landed as both target and </w:t>
      </w:r>
      <w:proofErr w:type="gramStart"/>
      <w:r w:rsidRPr="00B845AF">
        <w:rPr>
          <w:rFonts w:asciiTheme="minorHAnsi" w:hAnsiTheme="minorHAnsi" w:cstheme="minorHAnsi"/>
          <w:lang w:val="en-US"/>
        </w:rPr>
        <w:t>bycatch, and</w:t>
      </w:r>
      <w:proofErr w:type="gramEnd"/>
      <w:r w:rsidRPr="00B845AF">
        <w:rPr>
          <w:rFonts w:asciiTheme="minorHAnsi" w:hAnsiTheme="minorHAnsi" w:cstheme="minorHAnsi"/>
          <w:lang w:val="en-US"/>
        </w:rPr>
        <w:t xml:space="preserve"> supported a differentiated approach for target and bycatch fisheries as a pragmatic starting point for the robustness set. PNA and Vanuatu noted that analysis indicated only about 20% of swordfish arriving at the vessel in the longline fishery are alive, and of those discarded, only about 5% are likely to survive, and asked whether Australia had considered that some vessels may resist discarding large, valuable fish as wasteful. PNA and Vanuatu also raised the possibility of banning light sticks seasonally or once a catch allocation is </w:t>
      </w:r>
      <w:proofErr w:type="gramStart"/>
      <w:r w:rsidRPr="00B845AF">
        <w:rPr>
          <w:rFonts w:asciiTheme="minorHAnsi" w:hAnsiTheme="minorHAnsi" w:cstheme="minorHAnsi"/>
          <w:lang w:val="en-US"/>
        </w:rPr>
        <w:t>reached, and</w:t>
      </w:r>
      <w:proofErr w:type="gramEnd"/>
      <w:r w:rsidRPr="00B845AF">
        <w:rPr>
          <w:rFonts w:asciiTheme="minorHAnsi" w:hAnsiTheme="minorHAnsi" w:cstheme="minorHAnsi"/>
          <w:lang w:val="en-US"/>
        </w:rPr>
        <w:t xml:space="preserve"> asked whether Australia had considered this as a management measure. They further noted that catch is currently concentrated among a few developed states with no catch allocation framework </w:t>
      </w:r>
      <w:r w:rsidR="004E2763" w:rsidRPr="00B845AF">
        <w:rPr>
          <w:rFonts w:asciiTheme="minorHAnsi" w:hAnsiTheme="minorHAnsi" w:cstheme="minorHAnsi"/>
          <w:lang w:val="en-US"/>
        </w:rPr>
        <w:t>proposed and</w:t>
      </w:r>
      <w:r w:rsidRPr="00B845AF">
        <w:rPr>
          <w:rFonts w:asciiTheme="minorHAnsi" w:hAnsiTheme="minorHAnsi" w:cstheme="minorHAnsi"/>
          <w:lang w:val="en-US"/>
        </w:rPr>
        <w:t xml:space="preserve"> stated that a catch limit should include an allocation process that allows for development opportunities for SIDS and transition of a portion of the allocation to SIDS over time.</w:t>
      </w:r>
    </w:p>
    <w:p w14:paraId="37E4B6EB" w14:textId="77777777" w:rsidR="00426D35" w:rsidRPr="00B845AF" w:rsidRDefault="00426D35" w:rsidP="00426D35">
      <w:pPr>
        <w:pStyle w:val="SCtext"/>
        <w:numPr>
          <w:ilvl w:val="0"/>
          <w:numId w:val="0"/>
        </w:numPr>
        <w:rPr>
          <w:rFonts w:asciiTheme="minorHAnsi" w:hAnsiTheme="minorHAnsi" w:cstheme="minorHAnsi"/>
          <w:lang w:val="en-US"/>
        </w:rPr>
      </w:pPr>
    </w:p>
    <w:p w14:paraId="5B2EDB7C" w14:textId="26F2FD93" w:rsidR="00426D35" w:rsidRPr="00B845AF" w:rsidRDefault="00426D35">
      <w:pPr>
        <w:pStyle w:val="SCtext"/>
        <w:rPr>
          <w:rFonts w:asciiTheme="minorHAnsi" w:hAnsiTheme="minorHAnsi" w:cstheme="minorHAnsi"/>
          <w:lang w:val="en-US"/>
        </w:rPr>
      </w:pPr>
      <w:r w:rsidRPr="00B845AF">
        <w:rPr>
          <w:rFonts w:asciiTheme="minorHAnsi" w:hAnsiTheme="minorHAnsi" w:cstheme="minorHAnsi"/>
          <w:lang w:val="en-US"/>
        </w:rPr>
        <w:t>The USA thanked Australia and generally agreed with the paper’s proposals, supporting use of the South Pacific albacore MSE as a guide for performance indicators and the 2025 South Pacific swordfish assessment as the basis for the operating model. The USA encouraged Australia to consider additional sources of uncertainty, including stock structure, and highlighted the large non-target catch from tropical tuna longline fisheries along the equator in the western WCPFC-CA, noting continuing scientific uncertainty as to stock affiliation of that catch. The USA encouraged Australia to consult with the ISC Billfish Working Group, which is conducting a North Pacific swordfish MSE facing similar challenges, and recommended aligning assumptions between the two MSEs where possible given overlapping fleets, to allow easier comparison between the stocks.</w:t>
      </w:r>
    </w:p>
    <w:p w14:paraId="52F6C2AC" w14:textId="77777777" w:rsidR="00426D35" w:rsidRPr="00B845AF" w:rsidRDefault="00426D35" w:rsidP="00426D35">
      <w:pPr>
        <w:pStyle w:val="SCtext"/>
        <w:numPr>
          <w:ilvl w:val="0"/>
          <w:numId w:val="0"/>
        </w:numPr>
        <w:rPr>
          <w:rFonts w:asciiTheme="minorHAnsi" w:hAnsiTheme="minorHAnsi" w:cstheme="minorHAnsi"/>
          <w:lang w:val="en-US"/>
        </w:rPr>
      </w:pPr>
    </w:p>
    <w:p w14:paraId="05A50665" w14:textId="009B341C" w:rsidR="00426D35" w:rsidRPr="00B845AF" w:rsidRDefault="00426D35">
      <w:pPr>
        <w:pStyle w:val="SCtext"/>
        <w:rPr>
          <w:rFonts w:asciiTheme="minorHAnsi" w:hAnsiTheme="minorHAnsi" w:cstheme="minorHAnsi"/>
          <w:lang w:val="en-US"/>
        </w:rPr>
      </w:pPr>
      <w:r w:rsidRPr="00B845AF">
        <w:rPr>
          <w:rFonts w:asciiTheme="minorHAnsi" w:hAnsiTheme="minorHAnsi" w:cstheme="minorHAnsi"/>
          <w:lang w:val="en-US"/>
        </w:rPr>
        <w:t>Japan thanked Australia for tabling the proposal and echoed views expressed by the convener and other delegations, stating concern that the proposal did not sufficiently distinguish scientific matters from policy matters, which Japan hoped could be clarified within the steering committee if established. Japan also raised concern regarding the balance in MP design between target and non-target species relative to existing MPs.</w:t>
      </w:r>
    </w:p>
    <w:p w14:paraId="5D2AB9A5" w14:textId="77777777" w:rsidR="00426D35" w:rsidRPr="00B845AF" w:rsidRDefault="00426D35" w:rsidP="00426D35">
      <w:pPr>
        <w:pStyle w:val="SCtext"/>
        <w:numPr>
          <w:ilvl w:val="0"/>
          <w:numId w:val="0"/>
        </w:numPr>
        <w:rPr>
          <w:rFonts w:asciiTheme="minorHAnsi" w:hAnsiTheme="minorHAnsi" w:cstheme="minorHAnsi"/>
          <w:lang w:val="en-US"/>
        </w:rPr>
      </w:pPr>
    </w:p>
    <w:p w14:paraId="06A8463D" w14:textId="049F47C4" w:rsidR="00426D35" w:rsidRPr="00B845AF" w:rsidRDefault="00426D35">
      <w:pPr>
        <w:pStyle w:val="SCtext"/>
        <w:rPr>
          <w:rFonts w:asciiTheme="minorHAnsi" w:hAnsiTheme="minorHAnsi" w:cstheme="minorHAnsi"/>
          <w:lang w:val="en-US"/>
        </w:rPr>
      </w:pPr>
      <w:r w:rsidRPr="00B845AF">
        <w:rPr>
          <w:rFonts w:asciiTheme="minorHAnsi" w:hAnsiTheme="minorHAnsi" w:cstheme="minorHAnsi"/>
          <w:lang w:val="en-US"/>
        </w:rPr>
        <w:t>Chinese Taipei echoed comments from other CCMs and recommended continued discussion and consideration of broader uncertainty in the operating models, continued discussion and evaluation of alternative harvest control rules and management options, and further assessment of their performance through MSE as MP development progresses.</w:t>
      </w:r>
    </w:p>
    <w:p w14:paraId="6D90CB2B" w14:textId="77777777" w:rsidR="00426D35" w:rsidRPr="00B845AF" w:rsidRDefault="00426D35" w:rsidP="00426D35">
      <w:pPr>
        <w:pStyle w:val="SCtext"/>
        <w:numPr>
          <w:ilvl w:val="0"/>
          <w:numId w:val="0"/>
        </w:numPr>
        <w:rPr>
          <w:rFonts w:asciiTheme="minorHAnsi" w:hAnsiTheme="minorHAnsi" w:cstheme="minorHAnsi"/>
          <w:lang w:val="en-US"/>
        </w:rPr>
      </w:pPr>
    </w:p>
    <w:p w14:paraId="1DD80E0A" w14:textId="108D6646" w:rsidR="00426D35" w:rsidRPr="00B845AF" w:rsidRDefault="00426D35">
      <w:pPr>
        <w:pStyle w:val="SCtext"/>
        <w:rPr>
          <w:rFonts w:asciiTheme="minorHAnsi" w:hAnsiTheme="minorHAnsi" w:cstheme="minorHAnsi"/>
          <w:lang w:val="en-US"/>
        </w:rPr>
      </w:pPr>
      <w:r w:rsidRPr="00B845AF">
        <w:rPr>
          <w:rFonts w:asciiTheme="minorHAnsi" w:hAnsiTheme="minorHAnsi" w:cstheme="minorHAnsi"/>
          <w:lang w:val="en-US"/>
        </w:rPr>
        <w:t>New Zealand thanked Australia for preparing the paper, considered it a useful basis for initial thinking on key elements of a robust harvest strategy for swordfish, and supported the proposed stepwise approach and establishment of an informal steering committee, welcoming the opportunity to participate.</w:t>
      </w:r>
    </w:p>
    <w:p w14:paraId="1B993910" w14:textId="77777777" w:rsidR="00077F15" w:rsidRPr="00B845AF" w:rsidRDefault="00077F15" w:rsidP="00077F15">
      <w:pPr>
        <w:pStyle w:val="SCtext"/>
        <w:numPr>
          <w:ilvl w:val="0"/>
          <w:numId w:val="0"/>
        </w:numPr>
        <w:rPr>
          <w:rFonts w:asciiTheme="minorHAnsi" w:hAnsiTheme="minorHAnsi" w:cstheme="minorHAnsi"/>
          <w:lang w:val="en-US"/>
        </w:rPr>
      </w:pPr>
    </w:p>
    <w:p w14:paraId="46038836" w14:textId="029A5C27" w:rsidR="00077F15" w:rsidRPr="00B845AF" w:rsidRDefault="00077F15">
      <w:pPr>
        <w:pStyle w:val="SCtext"/>
        <w:rPr>
          <w:rFonts w:asciiTheme="minorHAnsi" w:hAnsiTheme="minorHAnsi" w:cstheme="minorHAnsi"/>
          <w:lang w:val="en-US"/>
        </w:rPr>
      </w:pPr>
      <w:r w:rsidRPr="00B845AF">
        <w:rPr>
          <w:rFonts w:asciiTheme="minorHAnsi" w:hAnsiTheme="minorHAnsi" w:cstheme="minorHAnsi"/>
          <w:lang w:val="en-US"/>
        </w:rPr>
        <w:t>Australia thanked members for their feedback and constructive comments, noting the issues raised span a broader scope than science alone, and suggested that a steering committee could first be established for the scientific project, with separate intersessional meetings potentially including managers to address management-related issues, to be worked out at the group's first informal meeting.</w:t>
      </w:r>
    </w:p>
    <w:p w14:paraId="76CE0547" w14:textId="58AD6F14" w:rsidR="003C3605" w:rsidRPr="00B845AF" w:rsidRDefault="003C3605" w:rsidP="003C3605">
      <w:pPr>
        <w:pStyle w:val="SCtext"/>
        <w:numPr>
          <w:ilvl w:val="0"/>
          <w:numId w:val="0"/>
        </w:numPr>
        <w:rPr>
          <w:rFonts w:asciiTheme="minorHAnsi" w:hAnsiTheme="minorHAnsi" w:cstheme="minorHAnsi"/>
          <w:lang w:val="en-US"/>
        </w:rPr>
      </w:pPr>
    </w:p>
    <w:p w14:paraId="108B2D9B" w14:textId="446D3D5D" w:rsidR="003C3605" w:rsidRPr="00B845AF" w:rsidRDefault="003C3605" w:rsidP="003C3605">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6107C841" w14:textId="508612D0" w:rsidR="003C3605" w:rsidRPr="00B845AF" w:rsidRDefault="007660DE">
      <w:pPr>
        <w:pStyle w:val="SCtext"/>
        <w:rPr>
          <w:rFonts w:asciiTheme="minorHAnsi" w:hAnsiTheme="minorHAnsi" w:cstheme="minorHAnsi"/>
          <w:b/>
          <w:bCs/>
          <w:lang w:val="en-US"/>
        </w:rPr>
      </w:pPr>
      <w:r w:rsidRPr="00B845AF">
        <w:rPr>
          <w:rFonts w:asciiTheme="minorHAnsi" w:hAnsiTheme="minorHAnsi" w:cstheme="minorHAnsi"/>
          <w:lang w:val="en-US"/>
        </w:rPr>
        <w:t xml:space="preserve">SC22 thanked Australia for leading the discussion on the Southwest Pacific swordfish MSE. </w:t>
      </w:r>
      <w:r w:rsidRPr="00B845AF">
        <w:rPr>
          <w:rFonts w:asciiTheme="minorHAnsi" w:hAnsiTheme="minorHAnsi" w:cstheme="minorHAnsi"/>
          <w:b/>
          <w:bCs/>
          <w:lang w:val="en-US"/>
        </w:rPr>
        <w:t>Given the number of questions and comments provided by CCMs, SC22 encouraged interested members to further discuss intersessionally based on the proposal from Australia, which includes the formation of an informal steering committee.</w:t>
      </w:r>
    </w:p>
    <w:p w14:paraId="428C9878" w14:textId="77777777" w:rsidR="007660DE" w:rsidRPr="00B845AF" w:rsidRDefault="007660DE" w:rsidP="007660DE">
      <w:pPr>
        <w:pStyle w:val="SCtext"/>
        <w:numPr>
          <w:ilvl w:val="0"/>
          <w:numId w:val="0"/>
        </w:numPr>
        <w:rPr>
          <w:rFonts w:asciiTheme="minorHAnsi" w:hAnsiTheme="minorHAnsi" w:cstheme="minorHAnsi"/>
          <w:b/>
          <w:bCs/>
          <w:lang w:val="en-US"/>
        </w:rPr>
      </w:pPr>
    </w:p>
    <w:p w14:paraId="38B9F202" w14:textId="07EB6926" w:rsidR="007660DE" w:rsidRPr="00B845AF" w:rsidRDefault="007660DE">
      <w:pPr>
        <w:pStyle w:val="SCtext"/>
        <w:rPr>
          <w:rFonts w:asciiTheme="minorHAnsi" w:hAnsiTheme="minorHAnsi" w:cstheme="minorHAnsi"/>
          <w:b/>
          <w:bCs/>
          <w:lang w:val="en-US"/>
        </w:rPr>
      </w:pPr>
      <w:r w:rsidRPr="00B845AF">
        <w:rPr>
          <w:rFonts w:asciiTheme="minorHAnsi" w:hAnsiTheme="minorHAnsi" w:cstheme="minorHAnsi"/>
          <w:b/>
          <w:bCs/>
          <w:lang w:val="en-US"/>
        </w:rPr>
        <w:t>Some of the priorities identified by SC22 in the development of the harvest strategy for SWP swordfish included the balance between bycatch and target fisheries, the consideration of discard survival under catch-limit scenarios in bycatch fisheries, the importance of including stock and regional structure as one important uncertainty, and the need to separate scientific and management discussions.</w:t>
      </w:r>
    </w:p>
    <w:p w14:paraId="4FA6686A" w14:textId="246AD36F" w:rsidR="00D37709" w:rsidRPr="00B845AF" w:rsidRDefault="00405CF8" w:rsidP="00B262EC">
      <w:pPr>
        <w:widowControl w:val="0"/>
        <w:jc w:val="both"/>
        <w:rPr>
          <w:rFonts w:asciiTheme="minorHAnsi" w:eastAsia="Calibri" w:hAnsiTheme="minorHAnsi" w:cstheme="minorHAnsi"/>
          <w:b/>
          <w:szCs w:val="22"/>
        </w:rPr>
      </w:pPr>
      <w:r w:rsidRPr="00B845AF">
        <w:rPr>
          <w:rFonts w:asciiTheme="minorHAnsi" w:hAnsiTheme="minorHAnsi" w:cstheme="minorHAnsi"/>
          <w:b/>
          <w:szCs w:val="22"/>
          <w:lang w:eastAsia="ko-KR" w:bidi="th-TH"/>
        </w:rPr>
        <w:t xml:space="preserve"> </w:t>
      </w:r>
    </w:p>
    <w:p w14:paraId="6873B4B2" w14:textId="4C1A8A57" w:rsidR="003A2857" w:rsidRPr="00B845AF" w:rsidRDefault="002B6901">
      <w:pPr>
        <w:pStyle w:val="SC2"/>
        <w:rPr>
          <w:rFonts w:asciiTheme="minorHAnsi" w:eastAsiaTheme="minorEastAsia" w:hAnsiTheme="minorHAnsi" w:cstheme="minorHAnsi"/>
          <w:lang w:eastAsia="ko-KR"/>
        </w:rPr>
      </w:pPr>
      <w:r w:rsidRPr="00B845AF">
        <w:rPr>
          <w:rFonts w:asciiTheme="minorHAnsi" w:eastAsiaTheme="minorEastAsia" w:hAnsiTheme="minorHAnsi" w:cstheme="minorHAnsi"/>
          <w:lang w:eastAsia="ko-KR"/>
        </w:rPr>
        <w:t>Review of effectiveness of CMM 2025-02</w:t>
      </w:r>
    </w:p>
    <w:p w14:paraId="27918284" w14:textId="3BABCEDC" w:rsidR="00A65916" w:rsidRPr="00B845AF" w:rsidRDefault="00350752">
      <w:pPr>
        <w:pStyle w:val="SCtext"/>
        <w:rPr>
          <w:rFonts w:asciiTheme="minorHAnsi" w:eastAsia="Times New Roman" w:hAnsiTheme="minorHAnsi" w:cstheme="minorHAnsi"/>
          <w:lang w:val="en-US"/>
        </w:rPr>
      </w:pPr>
      <w:r w:rsidRPr="00B845AF">
        <w:rPr>
          <w:rFonts w:asciiTheme="minorHAnsi" w:eastAsia="Times New Roman" w:hAnsiTheme="minorHAnsi" w:cstheme="minorHAnsi"/>
          <w:lang w:val="en-US"/>
        </w:rPr>
        <w:t xml:space="preserve">The theme convener introduced </w:t>
      </w:r>
      <w:hyperlink r:id="rId83" w:history="1">
        <w:r w:rsidRPr="00B845AF">
          <w:rPr>
            <w:rStyle w:val="Hyperlink"/>
            <w:rFonts w:asciiTheme="minorHAnsi" w:eastAsia="Times New Roman" w:hAnsiTheme="minorHAnsi" w:cstheme="minorHAnsi"/>
            <w:lang w:val="en-US"/>
          </w:rPr>
          <w:t>WCPFC-SC22-2026-MI-IP04</w:t>
        </w:r>
      </w:hyperlink>
      <w:r w:rsidRPr="00B845AF">
        <w:rPr>
          <w:rFonts w:asciiTheme="minorHAnsi" w:eastAsia="Times New Roman" w:hAnsiTheme="minorHAnsi" w:cstheme="minorHAnsi"/>
          <w:lang w:val="en-US"/>
        </w:rPr>
        <w:t xml:space="preserve">, noting that this paper has historically been an important standing item for the Commission, but that as management procedures are </w:t>
      </w:r>
      <w:r w:rsidRPr="00B845AF">
        <w:rPr>
          <w:rFonts w:asciiTheme="minorHAnsi" w:eastAsia="Times New Roman" w:hAnsiTheme="minorHAnsi" w:cstheme="minorHAnsi"/>
          <w:lang w:val="en-US"/>
        </w:rPr>
        <w:lastRenderedPageBreak/>
        <w:t>progressively adopted and become subject to simulation testing and monitoring strategies, an ongoing question arises as to whether this exercise remains necessary.</w:t>
      </w:r>
    </w:p>
    <w:p w14:paraId="613739FA" w14:textId="77777777" w:rsidR="00AB4BD9" w:rsidRPr="00B845AF" w:rsidRDefault="00AB4BD9" w:rsidP="00AB4BD9">
      <w:pPr>
        <w:pStyle w:val="SCtext"/>
        <w:numPr>
          <w:ilvl w:val="0"/>
          <w:numId w:val="0"/>
        </w:numPr>
        <w:rPr>
          <w:rFonts w:asciiTheme="minorHAnsi" w:hAnsiTheme="minorHAnsi" w:cstheme="minorHAnsi"/>
          <w:lang w:val="en-US"/>
        </w:rPr>
      </w:pPr>
    </w:p>
    <w:p w14:paraId="037FA8A9" w14:textId="1A6B135B" w:rsidR="007A7087" w:rsidRPr="00B845AF" w:rsidRDefault="007A7087" w:rsidP="007A7087">
      <w:pPr>
        <w:pStyle w:val="SCDR"/>
        <w:rPr>
          <w:rFonts w:asciiTheme="minorHAnsi" w:hAnsiTheme="minorHAnsi" w:cstheme="minorHAnsi"/>
        </w:rPr>
      </w:pPr>
      <w:r w:rsidRPr="00B845AF">
        <w:rPr>
          <w:rFonts w:asciiTheme="minorHAnsi" w:hAnsiTheme="minorHAnsi" w:cstheme="minorHAnsi"/>
        </w:rPr>
        <w:t>Discussion</w:t>
      </w:r>
    </w:p>
    <w:p w14:paraId="1B375789" w14:textId="27C17322" w:rsidR="00264F12" w:rsidRPr="00B845AF" w:rsidRDefault="00350752">
      <w:pPr>
        <w:pStyle w:val="SCtext"/>
        <w:rPr>
          <w:rFonts w:asciiTheme="minorHAnsi" w:hAnsiTheme="minorHAnsi" w:cstheme="minorHAnsi"/>
          <w:lang w:val="en-US"/>
        </w:rPr>
      </w:pPr>
      <w:r w:rsidRPr="00B845AF">
        <w:rPr>
          <w:rFonts w:asciiTheme="minorHAnsi" w:hAnsiTheme="minorHAnsi" w:cstheme="minorHAnsi"/>
          <w:lang w:val="en-US"/>
        </w:rPr>
        <w:t>The SSP agreed with the theme convener’s observation, stating that once all management procedures are adopted, this paper should, in theory, no longer be needed, since the testing conducted for each MP and the associated monitoring strategy would in effect replace the scenario analysis presented in this paper.</w:t>
      </w:r>
    </w:p>
    <w:p w14:paraId="17DA323F" w14:textId="77777777" w:rsidR="00AB4BD9" w:rsidRPr="00B845AF" w:rsidRDefault="00AB4BD9" w:rsidP="00AB4BD9">
      <w:pPr>
        <w:pStyle w:val="SCtext"/>
        <w:numPr>
          <w:ilvl w:val="0"/>
          <w:numId w:val="0"/>
        </w:numPr>
        <w:rPr>
          <w:rFonts w:asciiTheme="minorHAnsi" w:hAnsiTheme="minorHAnsi" w:cstheme="minorHAnsi"/>
          <w:lang w:val="en-US"/>
        </w:rPr>
      </w:pPr>
    </w:p>
    <w:p w14:paraId="700EBDDD" w14:textId="4DB610C2" w:rsidR="00311D5C" w:rsidRPr="00B845AF" w:rsidRDefault="0065432A">
      <w:pPr>
        <w:pStyle w:val="SCtext"/>
        <w:rPr>
          <w:rFonts w:asciiTheme="minorHAnsi" w:hAnsiTheme="minorHAnsi" w:cstheme="minorHAnsi"/>
          <w:lang w:val="en-US"/>
        </w:rPr>
      </w:pPr>
      <w:r w:rsidRPr="00B845AF">
        <w:rPr>
          <w:rFonts w:asciiTheme="minorHAnsi" w:hAnsiTheme="minorHAnsi" w:cstheme="minorHAnsi"/>
          <w:lang w:val="en-US"/>
        </w:rPr>
        <w:t>The</w:t>
      </w:r>
      <w:r w:rsidR="00FD04FB" w:rsidRPr="00B845AF">
        <w:rPr>
          <w:rFonts w:asciiTheme="minorHAnsi" w:hAnsiTheme="minorHAnsi" w:cstheme="minorHAnsi"/>
          <w:lang w:val="en-US"/>
        </w:rPr>
        <w:t xml:space="preserve"> theme</w:t>
      </w:r>
      <w:r w:rsidR="00350752" w:rsidRPr="00B845AF">
        <w:rPr>
          <w:rFonts w:asciiTheme="minorHAnsi" w:hAnsiTheme="minorHAnsi" w:cstheme="minorHAnsi"/>
          <w:lang w:val="en-US"/>
        </w:rPr>
        <w:t xml:space="preserve"> convener put to the floor the question of whether CCMs wished to continue this exercise, proposing that SC22 not request the SSP to continue producing the paper, </w:t>
      </w:r>
      <w:proofErr w:type="gramStart"/>
      <w:r w:rsidR="00350752" w:rsidRPr="00B845AF">
        <w:rPr>
          <w:rFonts w:asciiTheme="minorHAnsi" w:hAnsiTheme="minorHAnsi" w:cstheme="minorHAnsi"/>
          <w:lang w:val="en-US"/>
        </w:rPr>
        <w:t>in order to</w:t>
      </w:r>
      <w:proofErr w:type="gramEnd"/>
      <w:r w:rsidR="00350752" w:rsidRPr="00B845AF">
        <w:rPr>
          <w:rFonts w:asciiTheme="minorHAnsi" w:hAnsiTheme="minorHAnsi" w:cstheme="minorHAnsi"/>
          <w:lang w:val="en-US"/>
        </w:rPr>
        <w:t xml:space="preserve"> reduce the SSP</w:t>
      </w:r>
      <w:r w:rsidR="00FD04FB" w:rsidRPr="00B845AF">
        <w:rPr>
          <w:rFonts w:asciiTheme="minorHAnsi" w:hAnsiTheme="minorHAnsi" w:cstheme="minorHAnsi"/>
          <w:lang w:val="en-US"/>
        </w:rPr>
        <w:t>’</w:t>
      </w:r>
      <w:r w:rsidR="00350752" w:rsidRPr="00B845AF">
        <w:rPr>
          <w:rFonts w:asciiTheme="minorHAnsi" w:hAnsiTheme="minorHAnsi" w:cstheme="minorHAnsi"/>
          <w:lang w:val="en-US"/>
        </w:rPr>
        <w:t>s workloa</w:t>
      </w:r>
      <w:r w:rsidR="00FD04FB" w:rsidRPr="00B845AF">
        <w:rPr>
          <w:rFonts w:asciiTheme="minorHAnsi" w:hAnsiTheme="minorHAnsi" w:cstheme="minorHAnsi"/>
          <w:lang w:val="en-US"/>
        </w:rPr>
        <w:t>d</w:t>
      </w:r>
      <w:r w:rsidR="00350752" w:rsidRPr="00B845AF">
        <w:rPr>
          <w:rFonts w:asciiTheme="minorHAnsi" w:hAnsiTheme="minorHAnsi" w:cstheme="minorHAnsi"/>
          <w:lang w:val="en-US"/>
        </w:rPr>
        <w:t>.</w:t>
      </w:r>
    </w:p>
    <w:p w14:paraId="5C0F2811" w14:textId="77777777" w:rsidR="00AB4BD9" w:rsidRPr="00B845AF" w:rsidRDefault="00AB4BD9" w:rsidP="00AB4BD9">
      <w:pPr>
        <w:pStyle w:val="SCtext"/>
        <w:numPr>
          <w:ilvl w:val="0"/>
          <w:numId w:val="0"/>
        </w:numPr>
        <w:rPr>
          <w:rFonts w:asciiTheme="minorHAnsi" w:hAnsiTheme="minorHAnsi" w:cstheme="minorHAnsi"/>
          <w:lang w:val="en-US"/>
        </w:rPr>
      </w:pPr>
    </w:p>
    <w:p w14:paraId="463B9E81" w14:textId="44E561A9" w:rsidR="003107A0" w:rsidRPr="00B845AF" w:rsidRDefault="00FD04FB">
      <w:pPr>
        <w:pStyle w:val="SCtext"/>
        <w:rPr>
          <w:rFonts w:asciiTheme="minorHAnsi" w:hAnsiTheme="minorHAnsi" w:cstheme="minorHAnsi"/>
          <w:lang w:val="en-US"/>
        </w:rPr>
      </w:pPr>
      <w:r w:rsidRPr="00B845AF">
        <w:rPr>
          <w:rFonts w:asciiTheme="minorHAnsi" w:hAnsiTheme="minorHAnsi" w:cstheme="minorHAnsi"/>
          <w:lang w:val="en-US"/>
        </w:rPr>
        <w:t>The EU supported the theme convener’s recommendation, stating that CCMs have had difficulty following the assumptions underlying the paper’s simulations, that the analysis is no longer necessary given the adopted MPs and monitoring strategies, and that the Committee has other priorities to address.</w:t>
      </w:r>
    </w:p>
    <w:p w14:paraId="4A0A0D91" w14:textId="77777777" w:rsidR="003107A0" w:rsidRPr="00B845AF" w:rsidRDefault="003107A0" w:rsidP="003107A0">
      <w:pPr>
        <w:pStyle w:val="SCtext"/>
        <w:numPr>
          <w:ilvl w:val="0"/>
          <w:numId w:val="0"/>
        </w:numPr>
        <w:rPr>
          <w:rFonts w:asciiTheme="minorHAnsi" w:hAnsiTheme="minorHAnsi" w:cstheme="minorHAnsi"/>
          <w:lang w:val="en-US"/>
        </w:rPr>
      </w:pPr>
    </w:p>
    <w:p w14:paraId="58D67D1C" w14:textId="73C11AF4" w:rsidR="005C7D20" w:rsidRPr="00B845AF" w:rsidRDefault="00FD04FB">
      <w:pPr>
        <w:pStyle w:val="SCtext"/>
        <w:rPr>
          <w:rFonts w:asciiTheme="minorHAnsi" w:hAnsiTheme="minorHAnsi" w:cstheme="minorHAnsi"/>
          <w:lang w:val="en-US"/>
        </w:rPr>
      </w:pPr>
      <w:r w:rsidRPr="00B845AF">
        <w:rPr>
          <w:rFonts w:asciiTheme="minorHAnsi" w:hAnsiTheme="minorHAnsi" w:cstheme="minorHAnsi"/>
          <w:lang w:val="en-US"/>
        </w:rPr>
        <w:t>Australia, speaking as SC Vice-Chair, strongly supported the convener’s suggestion given competing workload priorities, and further suggested establishing a standing agenda item to periodically identify papers that are no longer required, noting that some standing papers put in place for good reason may be superseded by changes in advice or the introduction of other systems.</w:t>
      </w:r>
    </w:p>
    <w:p w14:paraId="095CD9D4" w14:textId="77777777" w:rsidR="005C7D20" w:rsidRPr="00B845AF" w:rsidRDefault="005C7D20" w:rsidP="00290BE9">
      <w:pPr>
        <w:pStyle w:val="SCtext"/>
        <w:numPr>
          <w:ilvl w:val="0"/>
          <w:numId w:val="0"/>
        </w:numPr>
        <w:rPr>
          <w:rFonts w:asciiTheme="minorHAnsi" w:hAnsiTheme="minorHAnsi" w:cstheme="minorHAnsi"/>
          <w:spacing w:val="-5"/>
          <w:lang w:val="en-US"/>
        </w:rPr>
      </w:pPr>
    </w:p>
    <w:p w14:paraId="23AFE00C" w14:textId="4C5F6E78" w:rsidR="0070081C" w:rsidRPr="00B845AF" w:rsidRDefault="00FD04FB">
      <w:pPr>
        <w:pStyle w:val="SCtext"/>
        <w:rPr>
          <w:rFonts w:asciiTheme="minorHAnsi" w:hAnsiTheme="minorHAnsi" w:cstheme="minorHAnsi"/>
          <w:lang w:val="en-US"/>
        </w:rPr>
      </w:pPr>
      <w:r w:rsidRPr="00B845AF">
        <w:rPr>
          <w:rFonts w:asciiTheme="minorHAnsi" w:hAnsiTheme="minorHAnsi" w:cstheme="minorHAnsi"/>
          <w:lang w:val="en-US"/>
        </w:rPr>
        <w:t>Canada aligned with the views of the EU and Australia and supported Australia’s suggestion regarding a periodic review of standing papers.</w:t>
      </w:r>
    </w:p>
    <w:p w14:paraId="041DC43E" w14:textId="04FE3F6A" w:rsidR="00FD04FB" w:rsidRPr="00B845AF" w:rsidRDefault="00FD04FB" w:rsidP="00FD04FB">
      <w:pPr>
        <w:pStyle w:val="SCtext"/>
        <w:numPr>
          <w:ilvl w:val="0"/>
          <w:numId w:val="0"/>
        </w:numPr>
        <w:rPr>
          <w:rFonts w:asciiTheme="minorHAnsi" w:hAnsiTheme="minorHAnsi" w:cstheme="minorHAnsi"/>
          <w:lang w:val="en-US"/>
        </w:rPr>
      </w:pPr>
    </w:p>
    <w:p w14:paraId="0A9049E6" w14:textId="2DE5905E" w:rsidR="00FD04FB" w:rsidRPr="00B845AF" w:rsidRDefault="00FD04FB" w:rsidP="00FD04FB">
      <w:pPr>
        <w:pStyle w:val="SCDR"/>
        <w:rPr>
          <w:rFonts w:asciiTheme="minorHAnsi" w:hAnsiTheme="minorHAnsi" w:cstheme="minorHAnsi"/>
        </w:rPr>
      </w:pPr>
      <w:r w:rsidRPr="00B845AF">
        <w:rPr>
          <w:rFonts w:asciiTheme="minorHAnsi" w:hAnsiTheme="minorHAnsi" w:cstheme="minorHAnsi"/>
        </w:rPr>
        <w:t>Outcome</w:t>
      </w:r>
    </w:p>
    <w:p w14:paraId="78CF8648" w14:textId="3B790C9C" w:rsidR="00FD04FB" w:rsidRPr="00B845AF" w:rsidRDefault="00915723">
      <w:pPr>
        <w:pStyle w:val="SCtext"/>
        <w:rPr>
          <w:rFonts w:asciiTheme="minorHAnsi" w:hAnsiTheme="minorHAnsi" w:cstheme="minorHAnsi"/>
          <w:b/>
          <w:bCs/>
          <w:lang w:val="en-US"/>
        </w:rPr>
      </w:pPr>
      <w:r w:rsidRPr="00B845AF">
        <w:rPr>
          <w:rFonts w:asciiTheme="minorHAnsi" w:hAnsiTheme="minorHAnsi" w:cstheme="minorHAnsi"/>
          <w:lang w:val="en-US"/>
        </w:rPr>
        <w:t xml:space="preserve">SC22 acknowledged that the information contained in this long-standing analysis is no longer critical for the operations of the Commission once stocks begin to be managed through MPs and their performance monitored through the monitoring strategies. </w:t>
      </w:r>
      <w:r w:rsidRPr="00B845AF">
        <w:rPr>
          <w:rFonts w:asciiTheme="minorHAnsi" w:hAnsiTheme="minorHAnsi" w:cstheme="minorHAnsi"/>
          <w:b/>
          <w:bCs/>
          <w:lang w:val="en-US"/>
        </w:rPr>
        <w:t>Therefore, SC22 recommends that the Commission approve discontinuing this analysis, which will reduce the workload of SSP.</w:t>
      </w:r>
    </w:p>
    <w:p w14:paraId="0CE54DDD" w14:textId="77777777" w:rsidR="00D2122C" w:rsidRPr="00B845AF" w:rsidRDefault="00D2122C" w:rsidP="00D2122C">
      <w:pPr>
        <w:pStyle w:val="SCtext"/>
        <w:numPr>
          <w:ilvl w:val="0"/>
          <w:numId w:val="0"/>
        </w:numPr>
        <w:rPr>
          <w:rFonts w:asciiTheme="minorHAnsi" w:hAnsiTheme="minorHAnsi" w:cstheme="minorHAnsi"/>
          <w:b/>
          <w:bCs/>
          <w:lang w:val="en-US"/>
        </w:rPr>
      </w:pPr>
    </w:p>
    <w:p w14:paraId="67A5C99C" w14:textId="45B48B6F" w:rsidR="003A2857" w:rsidRPr="00D60D99" w:rsidRDefault="002B6901">
      <w:pPr>
        <w:pStyle w:val="SC2"/>
        <w:rPr>
          <w:rFonts w:asciiTheme="minorHAnsi" w:eastAsiaTheme="minorEastAsia" w:hAnsiTheme="minorHAnsi" w:cstheme="minorHAnsi"/>
          <w:lang w:eastAsia="ko-KR"/>
        </w:rPr>
      </w:pPr>
      <w:r w:rsidRPr="00D60D99">
        <w:rPr>
          <w:rFonts w:asciiTheme="minorHAnsi" w:eastAsiaTheme="minorEastAsia" w:hAnsiTheme="minorHAnsi" w:cstheme="minorHAnsi"/>
          <w:lang w:eastAsia="ko-KR"/>
        </w:rPr>
        <w:t>Other MI Theme issues</w:t>
      </w:r>
    </w:p>
    <w:p w14:paraId="11FD58E3" w14:textId="0CE50BDB" w:rsidR="00F84CD4" w:rsidRPr="00B845AF" w:rsidRDefault="00F84CD4" w:rsidP="00F84CD4">
      <w:pPr>
        <w:pStyle w:val="SCtext"/>
        <w:numPr>
          <w:ilvl w:val="0"/>
          <w:numId w:val="0"/>
        </w:numPr>
        <w:rPr>
          <w:rFonts w:asciiTheme="minorHAnsi" w:eastAsia="MS Mincho" w:hAnsiTheme="minorHAnsi" w:cstheme="minorHAnsi"/>
          <w:bCs/>
          <w:i/>
          <w:iCs/>
          <w:lang w:val="en-US" w:eastAsia="ja-JP"/>
        </w:rPr>
      </w:pPr>
      <w:r w:rsidRPr="00B845AF">
        <w:rPr>
          <w:rFonts w:asciiTheme="minorHAnsi" w:eastAsia="MS Mincho" w:hAnsiTheme="minorHAnsi" w:cstheme="minorHAnsi"/>
          <w:bCs/>
          <w:i/>
          <w:iCs/>
          <w:lang w:val="en-US" w:eastAsia="ja-JP"/>
        </w:rPr>
        <w:t>Global blue shark MSE workshop</w:t>
      </w:r>
    </w:p>
    <w:p w14:paraId="4A049558" w14:textId="77777777" w:rsidR="00F84CD4" w:rsidRPr="00B845AF" w:rsidRDefault="00F84CD4" w:rsidP="00F84CD4">
      <w:pPr>
        <w:pStyle w:val="SCtext"/>
        <w:numPr>
          <w:ilvl w:val="0"/>
          <w:numId w:val="0"/>
        </w:numPr>
        <w:rPr>
          <w:rFonts w:asciiTheme="minorHAnsi" w:eastAsia="MS Mincho" w:hAnsiTheme="minorHAnsi" w:cstheme="minorHAnsi"/>
          <w:bCs/>
          <w:i/>
          <w:iCs/>
          <w:lang w:val="en-US" w:eastAsia="ja-JP"/>
        </w:rPr>
      </w:pPr>
    </w:p>
    <w:p w14:paraId="2F5132C8" w14:textId="1D4F9B16" w:rsidR="002D45A5" w:rsidRPr="00B845AF" w:rsidRDefault="0076333B">
      <w:pPr>
        <w:pStyle w:val="SCtext"/>
        <w:rPr>
          <w:rFonts w:asciiTheme="minorHAnsi" w:hAnsiTheme="minorHAnsi" w:cstheme="minorHAnsi"/>
          <w:bCs/>
          <w:lang w:val="en-US"/>
        </w:rPr>
      </w:pPr>
      <w:r w:rsidRPr="00B845AF">
        <w:rPr>
          <w:rFonts w:asciiTheme="minorHAnsi" w:hAnsiTheme="minorHAnsi" w:cstheme="minorHAnsi"/>
          <w:bCs/>
          <w:lang w:val="en-US"/>
        </w:rPr>
        <w:t xml:space="preserve">P. Neubauer (Dragonfly Data Science) gave a brief presentation on </w:t>
      </w:r>
      <w:hyperlink r:id="rId84" w:history="1">
        <w:r w:rsidRPr="00B845AF">
          <w:rPr>
            <w:rStyle w:val="Hyperlink"/>
            <w:rFonts w:asciiTheme="minorHAnsi" w:hAnsiTheme="minorHAnsi" w:cstheme="minorHAnsi"/>
            <w:bCs/>
            <w:lang w:val="en-US"/>
          </w:rPr>
          <w:t>WCPFC-SC22-2026</w:t>
        </w:r>
        <w:r w:rsidR="002D45A5" w:rsidRPr="00B845AF">
          <w:rPr>
            <w:rStyle w:val="Hyperlink"/>
            <w:rFonts w:asciiTheme="minorHAnsi" w:hAnsiTheme="minorHAnsi" w:cstheme="minorHAnsi"/>
            <w:bCs/>
            <w:lang w:val="en-US"/>
          </w:rPr>
          <w:t>-</w:t>
        </w:r>
        <w:r w:rsidRPr="00B845AF">
          <w:rPr>
            <w:rStyle w:val="Hyperlink"/>
            <w:rFonts w:asciiTheme="minorHAnsi" w:hAnsiTheme="minorHAnsi" w:cstheme="minorHAnsi"/>
            <w:bCs/>
            <w:lang w:val="en-US"/>
          </w:rPr>
          <w:t>MI-IP06</w:t>
        </w:r>
      </w:hyperlink>
      <w:r w:rsidRPr="00B845AF">
        <w:rPr>
          <w:rFonts w:asciiTheme="minorHAnsi" w:hAnsiTheme="minorHAnsi" w:cstheme="minorHAnsi"/>
          <w:bCs/>
          <w:lang w:val="en-US"/>
        </w:rPr>
        <w:t xml:space="preserve">, </w:t>
      </w:r>
      <w:r w:rsidRPr="00B845AF">
        <w:rPr>
          <w:rFonts w:asciiTheme="minorHAnsi" w:hAnsiTheme="minorHAnsi" w:cstheme="minorHAnsi"/>
          <w:bCs/>
          <w:i/>
          <w:iCs/>
          <w:lang w:val="en-US"/>
        </w:rPr>
        <w:t>Global blue shark management strategy</w:t>
      </w:r>
      <w:r w:rsidRPr="00B845AF">
        <w:rPr>
          <w:rFonts w:asciiTheme="minorHAnsi" w:hAnsiTheme="minorHAnsi" w:cstheme="minorHAnsi"/>
          <w:bCs/>
          <w:lang w:val="en-US"/>
        </w:rPr>
        <w:t xml:space="preserve">, reporting on a blue shark MSE workshop hosted by the FAO and the Ocean Foundation in Rome in October 2025. </w:t>
      </w:r>
    </w:p>
    <w:p w14:paraId="3A569363" w14:textId="77777777" w:rsidR="002D45A5" w:rsidRPr="00B845AF" w:rsidRDefault="002D45A5" w:rsidP="002D45A5">
      <w:pPr>
        <w:pStyle w:val="SCtext"/>
        <w:numPr>
          <w:ilvl w:val="0"/>
          <w:numId w:val="0"/>
        </w:numPr>
        <w:rPr>
          <w:rFonts w:asciiTheme="minorHAnsi" w:hAnsiTheme="minorHAnsi" w:cstheme="minorHAnsi"/>
          <w:bCs/>
          <w:lang w:val="en-US"/>
        </w:rPr>
      </w:pPr>
    </w:p>
    <w:p w14:paraId="7347422A" w14:textId="5AE03BDD" w:rsidR="002B6901" w:rsidRPr="00B845AF" w:rsidRDefault="0076333B" w:rsidP="002D45A5">
      <w:pPr>
        <w:pStyle w:val="SCtext"/>
        <w:numPr>
          <w:ilvl w:val="0"/>
          <w:numId w:val="0"/>
        </w:numPr>
        <w:ind w:left="360"/>
        <w:rPr>
          <w:rFonts w:asciiTheme="minorHAnsi" w:hAnsiTheme="minorHAnsi" w:cstheme="minorHAnsi"/>
          <w:bCs/>
          <w:lang w:val="en-US"/>
        </w:rPr>
      </w:pPr>
      <w:r w:rsidRPr="00B845AF">
        <w:rPr>
          <w:rFonts w:asciiTheme="minorHAnsi" w:hAnsiTheme="minorHAnsi" w:cstheme="minorHAnsi"/>
          <w:bCs/>
          <w:lang w:val="en-US"/>
        </w:rPr>
        <w:t xml:space="preserve">Blue shark accounts for roughly 60% of reported global shark catches and is typically caught in mixed fisheries alongside swordfish, yet direct catch controls remain rare, with ICCAT the only RFMO currently setting blue shark catch limits, though ICCAT and </w:t>
      </w:r>
      <w:proofErr w:type="gramStart"/>
      <w:r w:rsidRPr="00B845AF">
        <w:rPr>
          <w:rFonts w:asciiTheme="minorHAnsi" w:hAnsiTheme="minorHAnsi" w:cstheme="minorHAnsi"/>
          <w:bCs/>
          <w:lang w:val="en-US"/>
        </w:rPr>
        <w:t>the IOTC</w:t>
      </w:r>
      <w:proofErr w:type="gramEnd"/>
      <w:r w:rsidRPr="00B845AF">
        <w:rPr>
          <w:rFonts w:asciiTheme="minorHAnsi" w:hAnsiTheme="minorHAnsi" w:cstheme="minorHAnsi"/>
          <w:bCs/>
          <w:lang w:val="en-US"/>
        </w:rPr>
        <w:t xml:space="preserve"> have both progressed toward blue shark </w:t>
      </w:r>
      <w:proofErr w:type="spellStart"/>
      <w:r w:rsidRPr="00B845AF">
        <w:rPr>
          <w:rFonts w:asciiTheme="minorHAnsi" w:hAnsiTheme="minorHAnsi" w:cstheme="minorHAnsi"/>
          <w:bCs/>
          <w:lang w:val="en-US"/>
        </w:rPr>
        <w:t>MSEs.</w:t>
      </w:r>
      <w:proofErr w:type="spellEnd"/>
      <w:r w:rsidRPr="00B845AF">
        <w:rPr>
          <w:rFonts w:asciiTheme="minorHAnsi" w:hAnsiTheme="minorHAnsi" w:cstheme="minorHAnsi"/>
          <w:bCs/>
          <w:lang w:val="en-US"/>
        </w:rPr>
        <w:t xml:space="preserve"> No mandate currently exists for a blue shark MSE in the Pacific, and the workshop served as an initial forum on how one might work in the region, including exploratory use of the </w:t>
      </w:r>
      <w:proofErr w:type="spellStart"/>
      <w:r w:rsidRPr="00B845AF">
        <w:rPr>
          <w:rFonts w:asciiTheme="minorHAnsi" w:hAnsiTheme="minorHAnsi" w:cstheme="minorHAnsi"/>
          <w:bCs/>
          <w:lang w:val="en-US"/>
        </w:rPr>
        <w:t>OpenMSE</w:t>
      </w:r>
      <w:proofErr w:type="spellEnd"/>
      <w:r w:rsidRPr="00B845AF">
        <w:rPr>
          <w:rFonts w:asciiTheme="minorHAnsi" w:hAnsiTheme="minorHAnsi" w:cstheme="minorHAnsi"/>
          <w:bCs/>
          <w:lang w:val="en-US"/>
        </w:rPr>
        <w:t xml:space="preserve"> framework for capacity-building purposes. P. Neubauer noted that, given blue shark and swordfish are often caught in the same fisheries, running a blue shark MSE alongside the Southwest Pacific swordfish MSE under Project 131 could be more efficient than a separate process, while </w:t>
      </w:r>
      <w:r w:rsidRPr="00B845AF">
        <w:rPr>
          <w:rFonts w:asciiTheme="minorHAnsi" w:hAnsiTheme="minorHAnsi" w:cstheme="minorHAnsi"/>
          <w:bCs/>
          <w:lang w:val="en-US"/>
        </w:rPr>
        <w:lastRenderedPageBreak/>
        <w:t>clarifying this was a technical observation only and did not presume any push toward a blue shark MSE at this stage.</w:t>
      </w:r>
    </w:p>
    <w:p w14:paraId="676585B1" w14:textId="1201DD11" w:rsidR="00915723" w:rsidRPr="00B845AF" w:rsidRDefault="00915723" w:rsidP="00915723">
      <w:pPr>
        <w:pStyle w:val="SCtext"/>
        <w:numPr>
          <w:ilvl w:val="0"/>
          <w:numId w:val="0"/>
        </w:numPr>
        <w:rPr>
          <w:rFonts w:asciiTheme="minorHAnsi" w:hAnsiTheme="minorHAnsi" w:cstheme="minorHAnsi"/>
          <w:bCs/>
          <w:lang w:val="en-US"/>
        </w:rPr>
      </w:pPr>
    </w:p>
    <w:p w14:paraId="6C8A9157" w14:textId="27DFCD00" w:rsidR="00915723" w:rsidRPr="00B845AF" w:rsidRDefault="00915723" w:rsidP="00915723">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71101BA8" w14:textId="4032FCC3" w:rsidR="00915723" w:rsidRPr="00B845AF" w:rsidRDefault="0046750D">
      <w:pPr>
        <w:pStyle w:val="SCtext"/>
        <w:rPr>
          <w:rFonts w:asciiTheme="minorHAnsi" w:hAnsiTheme="minorHAnsi" w:cstheme="minorHAnsi"/>
          <w:bCs/>
          <w:lang w:val="en-US"/>
        </w:rPr>
      </w:pPr>
      <w:r w:rsidRPr="00B845AF">
        <w:rPr>
          <w:rFonts w:asciiTheme="minorHAnsi" w:hAnsiTheme="minorHAnsi" w:cstheme="minorHAnsi"/>
          <w:bCs/>
          <w:lang w:val="en-US"/>
        </w:rPr>
        <w:t>SC22 received a brief presentation on the FAO global blue shark MSE workshop and acknowledged that future MSE</w:t>
      </w:r>
      <w:r w:rsidR="006E660D"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such as of swordfish or sharks</w:t>
      </w:r>
      <w:r w:rsidR="006E660D" w:rsidRPr="00B845AF">
        <w:rPr>
          <w:rFonts w:asciiTheme="minorHAnsi" w:eastAsia="MS Mincho" w:hAnsiTheme="minorHAnsi" w:cstheme="minorHAnsi"/>
          <w:bCs/>
          <w:lang w:val="en-US" w:eastAsia="ja-JP"/>
        </w:rPr>
        <w:t>,</w:t>
      </w:r>
      <w:r w:rsidRPr="00B845AF">
        <w:rPr>
          <w:rFonts w:asciiTheme="minorHAnsi" w:hAnsiTheme="minorHAnsi" w:cstheme="minorHAnsi"/>
          <w:bCs/>
          <w:lang w:val="en-US"/>
        </w:rPr>
        <w:t xml:space="preserve"> may benefit from the outcome and resources therein</w:t>
      </w:r>
      <w:r w:rsidR="00915723" w:rsidRPr="00B845AF">
        <w:rPr>
          <w:rFonts w:asciiTheme="minorHAnsi" w:hAnsiTheme="minorHAnsi" w:cstheme="minorHAnsi"/>
          <w:bCs/>
          <w:lang w:val="en-US"/>
        </w:rPr>
        <w:t xml:space="preserve">. </w:t>
      </w:r>
    </w:p>
    <w:p w14:paraId="7A1B69AE" w14:textId="4ADE98C0" w:rsidR="00F84CD4" w:rsidRPr="00B845AF" w:rsidRDefault="00F84CD4" w:rsidP="00F84CD4">
      <w:pPr>
        <w:pStyle w:val="SCtext"/>
        <w:numPr>
          <w:ilvl w:val="0"/>
          <w:numId w:val="0"/>
        </w:numPr>
        <w:rPr>
          <w:rFonts w:asciiTheme="minorHAnsi" w:hAnsiTheme="minorHAnsi" w:cstheme="minorHAnsi"/>
          <w:bCs/>
          <w:lang w:val="en-US"/>
        </w:rPr>
      </w:pPr>
    </w:p>
    <w:p w14:paraId="2068D9C6" w14:textId="49F72038" w:rsidR="00F84CD4" w:rsidRPr="00B845AF" w:rsidRDefault="00F84CD4" w:rsidP="00F84CD4">
      <w:pPr>
        <w:pStyle w:val="SCtext"/>
        <w:numPr>
          <w:ilvl w:val="0"/>
          <w:numId w:val="0"/>
        </w:numPr>
        <w:rPr>
          <w:rFonts w:asciiTheme="minorHAnsi" w:eastAsia="MS Mincho" w:hAnsiTheme="minorHAnsi" w:cstheme="minorHAnsi"/>
          <w:bCs/>
          <w:i/>
          <w:iCs/>
          <w:lang w:val="en-US" w:eastAsia="ja-JP"/>
        </w:rPr>
      </w:pPr>
      <w:r w:rsidRPr="00B845AF">
        <w:rPr>
          <w:rFonts w:asciiTheme="minorHAnsi" w:eastAsia="MS Mincho" w:hAnsiTheme="minorHAnsi" w:cstheme="minorHAnsi"/>
          <w:bCs/>
          <w:i/>
          <w:iCs/>
          <w:lang w:val="en-US" w:eastAsia="ja-JP"/>
        </w:rPr>
        <w:t>Effort data analysis</w:t>
      </w:r>
    </w:p>
    <w:p w14:paraId="289BE048" w14:textId="77777777" w:rsidR="000F3949" w:rsidRPr="00B845AF" w:rsidRDefault="000F3949" w:rsidP="00F84CD4">
      <w:pPr>
        <w:pStyle w:val="SCtext"/>
        <w:numPr>
          <w:ilvl w:val="0"/>
          <w:numId w:val="0"/>
        </w:numPr>
        <w:rPr>
          <w:rFonts w:asciiTheme="minorHAnsi" w:eastAsia="MS Mincho" w:hAnsiTheme="minorHAnsi" w:cstheme="minorHAnsi"/>
          <w:bCs/>
          <w:i/>
          <w:iCs/>
          <w:lang w:val="en-US" w:eastAsia="ja-JP"/>
        </w:rPr>
      </w:pPr>
    </w:p>
    <w:p w14:paraId="5F0B0458" w14:textId="1F6C423C" w:rsidR="000F3949" w:rsidRPr="00B845AF" w:rsidRDefault="000F3949" w:rsidP="000F3949">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04FF2296" w14:textId="2E9DEFE9" w:rsidR="00F84CD4" w:rsidRPr="00B845AF" w:rsidRDefault="000F3949">
      <w:pPr>
        <w:pStyle w:val="SCtext"/>
        <w:rPr>
          <w:rFonts w:asciiTheme="minorHAnsi" w:hAnsiTheme="minorHAnsi" w:cstheme="minorHAnsi"/>
          <w:b/>
          <w:lang w:val="en-US"/>
        </w:rPr>
      </w:pPr>
      <w:r w:rsidRPr="00B845AF">
        <w:rPr>
          <w:rFonts w:asciiTheme="minorHAnsi" w:hAnsiTheme="minorHAnsi" w:cstheme="minorHAnsi"/>
          <w:b/>
          <w:lang w:val="en-US"/>
        </w:rPr>
        <w:t xml:space="preserve">Noting that TCC21 requested the SSP to continue monitoring the trends between effort and catch in the purse seine fishery, including effort creep, and to report those trends to TCC22, SC22 agreed to forward </w:t>
      </w:r>
      <w:r w:rsidR="005B3682" w:rsidRPr="00B845AF">
        <w:rPr>
          <w:rFonts w:asciiTheme="minorHAnsi" w:hAnsiTheme="minorHAnsi" w:cstheme="minorHAnsi"/>
          <w:b/>
          <w:lang w:val="en-US"/>
        </w:rPr>
        <w:t>WCPFC-SC22-2026-MI-IP01</w:t>
      </w:r>
      <w:r w:rsidRPr="00B845AF">
        <w:rPr>
          <w:rFonts w:asciiTheme="minorHAnsi" w:hAnsiTheme="minorHAnsi" w:cstheme="minorHAnsi"/>
          <w:b/>
          <w:lang w:val="en-US"/>
        </w:rPr>
        <w:t xml:space="preserve"> and </w:t>
      </w:r>
      <w:r w:rsidR="00E72681" w:rsidRPr="00B845AF">
        <w:rPr>
          <w:rFonts w:asciiTheme="minorHAnsi" w:hAnsiTheme="minorHAnsi" w:cstheme="minorHAnsi"/>
          <w:b/>
          <w:lang w:val="en-US"/>
        </w:rPr>
        <w:t>WCPFC-SC22-2026-MI-IP05</w:t>
      </w:r>
      <w:r w:rsidRPr="00B845AF">
        <w:rPr>
          <w:rFonts w:asciiTheme="minorHAnsi" w:hAnsiTheme="minorHAnsi" w:cstheme="minorHAnsi"/>
          <w:b/>
          <w:lang w:val="en-US"/>
        </w:rPr>
        <w:t xml:space="preserve"> to TCC</w:t>
      </w:r>
      <w:r w:rsidR="00E72681" w:rsidRPr="00B845AF">
        <w:rPr>
          <w:rFonts w:asciiTheme="minorHAnsi" w:eastAsia="MS Mincho" w:hAnsiTheme="minorHAnsi" w:cstheme="minorHAnsi"/>
          <w:b/>
          <w:lang w:val="en-US" w:eastAsia="ja-JP"/>
        </w:rPr>
        <w:t>22</w:t>
      </w:r>
      <w:r w:rsidRPr="00B845AF">
        <w:rPr>
          <w:rFonts w:asciiTheme="minorHAnsi" w:hAnsiTheme="minorHAnsi" w:cstheme="minorHAnsi"/>
          <w:b/>
          <w:lang w:val="en-US"/>
        </w:rPr>
        <w:t>.</w:t>
      </w:r>
    </w:p>
    <w:p w14:paraId="01DC0DEF" w14:textId="77777777" w:rsidR="002B6901" w:rsidRPr="00B845AF" w:rsidRDefault="002B6901" w:rsidP="002B6901">
      <w:pPr>
        <w:pStyle w:val="SCtext"/>
        <w:numPr>
          <w:ilvl w:val="0"/>
          <w:numId w:val="0"/>
        </w:numPr>
        <w:rPr>
          <w:rFonts w:asciiTheme="minorHAnsi" w:eastAsia="MS Mincho" w:hAnsiTheme="minorHAnsi" w:cstheme="minorHAnsi"/>
          <w:lang w:val="en-US" w:eastAsia="ja-JP"/>
        </w:rPr>
      </w:pPr>
    </w:p>
    <w:p w14:paraId="77504BB0" w14:textId="77777777" w:rsidR="00176D8A" w:rsidRPr="00B845AF" w:rsidRDefault="00176D8A" w:rsidP="003F6119">
      <w:pPr>
        <w:pStyle w:val="Heading1"/>
        <w:numPr>
          <w:ilvl w:val="0"/>
          <w:numId w:val="0"/>
        </w:numPr>
        <w:adjustRightInd w:val="0"/>
        <w:snapToGrid w:val="0"/>
        <w:spacing w:after="0"/>
        <w:ind w:left="360"/>
        <w:rPr>
          <w:rFonts w:asciiTheme="minorHAnsi" w:hAnsiTheme="minorHAnsi" w:cstheme="minorHAnsi"/>
        </w:rPr>
      </w:pPr>
    </w:p>
    <w:p w14:paraId="6DF73137" w14:textId="52A0A114" w:rsidR="00E41D57" w:rsidRPr="00B845AF" w:rsidRDefault="000B096E" w:rsidP="003F6119">
      <w:pPr>
        <w:pStyle w:val="Heading1"/>
        <w:numPr>
          <w:ilvl w:val="0"/>
          <w:numId w:val="0"/>
        </w:numPr>
        <w:adjustRightInd w:val="0"/>
        <w:snapToGrid w:val="0"/>
        <w:spacing w:after="0"/>
        <w:ind w:left="360"/>
        <w:rPr>
          <w:rFonts w:asciiTheme="minorHAnsi" w:hAnsiTheme="minorHAnsi" w:cstheme="minorHAnsi"/>
        </w:rPr>
      </w:pPr>
      <w:r w:rsidRPr="00B845AF">
        <w:rPr>
          <w:rFonts w:asciiTheme="minorHAnsi" w:hAnsiTheme="minorHAnsi" w:cstheme="minorHAnsi"/>
        </w:rPr>
        <w:t xml:space="preserve">AGENDA ITEM </w:t>
      </w:r>
      <w:r w:rsidR="003576B6" w:rsidRPr="00B845AF">
        <w:rPr>
          <w:rFonts w:asciiTheme="minorHAnsi" w:hAnsiTheme="minorHAnsi" w:cstheme="minorHAnsi"/>
        </w:rPr>
        <w:t>6</w:t>
      </w:r>
      <w:r w:rsidRPr="00B845AF">
        <w:rPr>
          <w:rFonts w:asciiTheme="minorHAnsi" w:hAnsiTheme="minorHAnsi" w:cstheme="minorHAnsi"/>
        </w:rPr>
        <w:t xml:space="preserve"> </w:t>
      </w:r>
      <w:r w:rsidR="00A15147" w:rsidRPr="00B845AF">
        <w:rPr>
          <w:rFonts w:asciiTheme="minorHAnsi" w:hAnsiTheme="minorHAnsi" w:cstheme="minorHAnsi"/>
        </w:rPr>
        <w:t>—</w:t>
      </w:r>
      <w:r w:rsidR="00CE049C" w:rsidRPr="00B845AF">
        <w:rPr>
          <w:rFonts w:asciiTheme="minorHAnsi" w:hAnsiTheme="minorHAnsi" w:cstheme="minorHAnsi"/>
        </w:rPr>
        <w:t>ECOSYSTEM AND BYCATCH MITIGATION THEME</w:t>
      </w:r>
    </w:p>
    <w:p w14:paraId="1D7D0440" w14:textId="60D5DFD4" w:rsidR="009F4B28" w:rsidRPr="00B845AF" w:rsidRDefault="00016AF5" w:rsidP="009A74D6">
      <w:pPr>
        <w:pStyle w:val="Heading1"/>
        <w:numPr>
          <w:ilvl w:val="0"/>
          <w:numId w:val="0"/>
        </w:numPr>
        <w:adjustRightInd w:val="0"/>
        <w:snapToGrid w:val="0"/>
        <w:spacing w:after="0"/>
        <w:ind w:left="360"/>
        <w:jc w:val="both"/>
        <w:rPr>
          <w:rFonts w:asciiTheme="minorHAnsi" w:hAnsiTheme="minorHAnsi" w:cstheme="minorHAnsi"/>
        </w:rPr>
      </w:pPr>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58" w:name="_Toc522810371"/>
      <w:bookmarkStart w:id="59" w:name="_Toc239261428"/>
      <w:r w:rsidRPr="00B845AF">
        <w:rPr>
          <w:rFonts w:asciiTheme="minorHAnsi" w:hAnsiTheme="minorHAnsi" w:cstheme="minorHAnsi"/>
        </w:rPr>
        <w:instrText xml:space="preserve">AGENDA ITEM 6 — </w:instrText>
      </w:r>
      <w:bookmarkEnd w:id="58"/>
      <w:r w:rsidRPr="00B845AF">
        <w:rPr>
          <w:rFonts w:asciiTheme="minorHAnsi" w:hAnsiTheme="minorHAnsi" w:cstheme="minorHAnsi"/>
        </w:rPr>
        <w:instrText>ECOSYSTEM AND BYCATCH MITIGATION THEME</w:instrText>
      </w:r>
      <w:bookmarkEnd w:id="59"/>
      <w:r w:rsidRPr="00B845AF">
        <w:rPr>
          <w:rFonts w:asciiTheme="minorHAnsi" w:hAnsiTheme="minorHAnsi" w:cstheme="minorHAnsi"/>
        </w:rPr>
        <w:instrText xml:space="preserve"> " \f C \l "1" </w:instrText>
      </w:r>
      <w:r w:rsidRPr="00B845AF">
        <w:rPr>
          <w:rFonts w:asciiTheme="minorHAnsi" w:hAnsiTheme="minorHAnsi" w:cstheme="minorHAnsi"/>
        </w:rPr>
        <w:fldChar w:fldCharType="end"/>
      </w:r>
    </w:p>
    <w:p w14:paraId="38A7E339" w14:textId="77777777" w:rsidR="00523F87" w:rsidRPr="00B845AF" w:rsidRDefault="00523F87" w:rsidP="0043688B">
      <w:pPr>
        <w:pStyle w:val="ListParagraph"/>
        <w:ind w:left="360"/>
        <w:rPr>
          <w:rFonts w:asciiTheme="minorHAnsi" w:hAnsiTheme="minorHAnsi" w:cstheme="minorHAnsi"/>
          <w:b/>
          <w:vanish/>
          <w:szCs w:val="22"/>
        </w:rPr>
      </w:pPr>
      <w:bookmarkStart w:id="60" w:name="_Hlk166061756"/>
    </w:p>
    <w:p w14:paraId="698F0262" w14:textId="77777777" w:rsidR="00523F87" w:rsidRPr="00B845AF" w:rsidRDefault="00523F87" w:rsidP="0043688B">
      <w:pPr>
        <w:pStyle w:val="ListParagraph"/>
        <w:ind w:left="360"/>
        <w:rPr>
          <w:rFonts w:asciiTheme="minorHAnsi" w:hAnsiTheme="minorHAnsi" w:cstheme="minorHAnsi"/>
          <w:b/>
          <w:vanish/>
          <w:szCs w:val="22"/>
        </w:rPr>
      </w:pPr>
    </w:p>
    <w:p w14:paraId="6B4FEA91" w14:textId="77777777" w:rsidR="0043688B" w:rsidRPr="00B845AF" w:rsidRDefault="0043688B">
      <w:pPr>
        <w:pStyle w:val="ListParagraph"/>
        <w:keepNext/>
        <w:numPr>
          <w:ilvl w:val="0"/>
          <w:numId w:val="7"/>
        </w:numPr>
        <w:suppressLineNumbers/>
        <w:adjustRightInd w:val="0"/>
        <w:snapToGrid w:val="0"/>
        <w:spacing w:after="220"/>
        <w:jc w:val="both"/>
        <w:outlineLvl w:val="1"/>
        <w:rPr>
          <w:rFonts w:asciiTheme="minorHAnsi" w:hAnsiTheme="minorHAnsi" w:cstheme="minorHAnsi"/>
          <w:b/>
          <w:vanish/>
          <w:szCs w:val="22"/>
        </w:rPr>
      </w:pPr>
    </w:p>
    <w:p w14:paraId="65DEEEB4" w14:textId="28A95662" w:rsidR="004512E4" w:rsidRPr="00B845AF" w:rsidRDefault="00CE049C">
      <w:pPr>
        <w:pStyle w:val="SC2"/>
        <w:rPr>
          <w:rFonts w:asciiTheme="minorHAnsi" w:hAnsiTheme="minorHAnsi" w:cstheme="minorHAnsi"/>
        </w:rPr>
      </w:pPr>
      <w:r w:rsidRPr="00B845AF">
        <w:rPr>
          <w:rFonts w:asciiTheme="minorHAnsi" w:hAnsiTheme="minorHAnsi" w:cstheme="minorHAnsi"/>
        </w:rPr>
        <w:t>Ecosystem and Climate Indicators</w:t>
      </w:r>
    </w:p>
    <w:p w14:paraId="446D23A5" w14:textId="3139FBD5" w:rsidR="00CE049C" w:rsidRPr="00B845AF" w:rsidRDefault="00115244">
      <w:pPr>
        <w:pStyle w:val="SC3"/>
        <w:rPr>
          <w:rFonts w:asciiTheme="minorHAnsi" w:hAnsiTheme="minorHAnsi" w:cstheme="minorHAnsi"/>
        </w:rPr>
      </w:pPr>
      <w:r w:rsidRPr="00B845AF">
        <w:rPr>
          <w:rFonts w:asciiTheme="minorHAnsi" w:hAnsiTheme="minorHAnsi" w:cstheme="minorHAnsi"/>
        </w:rPr>
        <w:t>Progress of Project 121 (Ecosystem and Climate Indicators)</w:t>
      </w:r>
    </w:p>
    <w:p w14:paraId="1912D24B" w14:textId="021A4990" w:rsidR="006C56DC" w:rsidRPr="00B845AF" w:rsidRDefault="00C07008">
      <w:pPr>
        <w:pStyle w:val="SCtext"/>
        <w:rPr>
          <w:rFonts w:asciiTheme="minorHAnsi" w:hAnsiTheme="minorHAnsi" w:cstheme="minorHAnsi"/>
          <w:b/>
          <w:bCs/>
          <w:lang w:val="en-US" w:eastAsia="en-US"/>
        </w:rPr>
      </w:pPr>
      <w:r w:rsidRPr="00B845AF">
        <w:rPr>
          <w:rFonts w:asciiTheme="minorHAnsi" w:hAnsiTheme="minorHAnsi" w:cstheme="minorHAnsi"/>
          <w:lang w:val="en-US"/>
        </w:rPr>
        <w:t xml:space="preserve">The EB </w:t>
      </w:r>
      <w:r w:rsidR="00D75B0E" w:rsidRPr="00B845AF">
        <w:rPr>
          <w:rFonts w:asciiTheme="minorHAnsi" w:hAnsiTheme="minorHAnsi" w:cstheme="minorHAnsi"/>
          <w:lang w:val="en-US"/>
        </w:rPr>
        <w:t>t</w:t>
      </w:r>
      <w:r w:rsidRPr="00B845AF">
        <w:rPr>
          <w:rFonts w:asciiTheme="minorHAnsi" w:hAnsiTheme="minorHAnsi" w:cstheme="minorHAnsi"/>
          <w:lang w:val="en-US"/>
        </w:rPr>
        <w:t xml:space="preserve">heme convener noted that </w:t>
      </w:r>
      <w:hyperlink r:id="rId85" w:history="1">
        <w:r w:rsidRPr="00B845AF">
          <w:rPr>
            <w:rStyle w:val="Hyperlink"/>
            <w:rFonts w:asciiTheme="minorHAnsi" w:hAnsiTheme="minorHAnsi" w:cstheme="minorHAnsi"/>
            <w:lang w:val="en-US"/>
          </w:rPr>
          <w:t>WCPFC-SC22-2026-EB-IP01</w:t>
        </w:r>
      </w:hyperlink>
      <w:r w:rsidRPr="00B845AF">
        <w:rPr>
          <w:rFonts w:asciiTheme="minorHAnsi" w:hAnsiTheme="minorHAnsi" w:cstheme="minorHAnsi"/>
          <w:lang w:val="en-US"/>
        </w:rPr>
        <w:t xml:space="preserve"> and </w:t>
      </w:r>
      <w:hyperlink r:id="rId86" w:history="1">
        <w:r w:rsidRPr="00B845AF">
          <w:rPr>
            <w:rStyle w:val="Hyperlink"/>
            <w:rFonts w:asciiTheme="minorHAnsi" w:hAnsiTheme="minorHAnsi" w:cstheme="minorHAnsi"/>
            <w:lang w:val="en-US"/>
          </w:rPr>
          <w:t>WCPFC-SC22-2026-EB-IP02</w:t>
        </w:r>
      </w:hyperlink>
      <w:r w:rsidRPr="00B845AF">
        <w:rPr>
          <w:rFonts w:asciiTheme="minorHAnsi" w:hAnsiTheme="minorHAnsi" w:cstheme="minorHAnsi"/>
          <w:lang w:val="en-US"/>
        </w:rPr>
        <w:t xml:space="preserve"> were available for consideration and were posted on the ODF.</w:t>
      </w:r>
    </w:p>
    <w:p w14:paraId="4584C346" w14:textId="77777777" w:rsidR="006C56DC" w:rsidRPr="00B845AF" w:rsidRDefault="006C56DC" w:rsidP="006C56DC">
      <w:pPr>
        <w:pStyle w:val="SCtext"/>
        <w:numPr>
          <w:ilvl w:val="0"/>
          <w:numId w:val="0"/>
        </w:numPr>
        <w:rPr>
          <w:rFonts w:asciiTheme="minorHAnsi" w:hAnsiTheme="minorHAnsi" w:cstheme="minorHAnsi"/>
          <w:b/>
          <w:bCs/>
          <w:lang w:val="en-US" w:eastAsia="en-US"/>
        </w:rPr>
      </w:pPr>
    </w:p>
    <w:p w14:paraId="5F606E8E" w14:textId="78984CBE" w:rsidR="006C56DC" w:rsidRPr="00B845AF" w:rsidRDefault="006C56DC" w:rsidP="003B7A3E">
      <w:pPr>
        <w:pStyle w:val="SCtext"/>
        <w:numPr>
          <w:ilvl w:val="0"/>
          <w:numId w:val="0"/>
        </w:numPr>
        <w:ind w:leftChars="300" w:left="660"/>
        <w:rPr>
          <w:rFonts w:asciiTheme="minorHAnsi" w:hAnsiTheme="minorHAnsi" w:cstheme="minorHAnsi"/>
          <w:b/>
          <w:bCs/>
          <w:lang w:val="en-US" w:eastAsia="en-US"/>
        </w:rPr>
      </w:pPr>
      <w:r w:rsidRPr="00B845AF">
        <w:rPr>
          <w:rFonts w:asciiTheme="minorHAnsi" w:hAnsiTheme="minorHAnsi" w:cstheme="minorHAnsi"/>
          <w:lang w:val="en-US"/>
        </w:rPr>
        <w:t xml:space="preserve">EB-IP01 updates work from 2025 and </w:t>
      </w:r>
      <w:proofErr w:type="gramStart"/>
      <w:r w:rsidRPr="00B845AF">
        <w:rPr>
          <w:rFonts w:asciiTheme="minorHAnsi" w:hAnsiTheme="minorHAnsi" w:cstheme="minorHAnsi"/>
          <w:lang w:val="en-US"/>
        </w:rPr>
        <w:t>includes</w:t>
      </w:r>
      <w:proofErr w:type="gramEnd"/>
      <w:r w:rsidRPr="00B845AF">
        <w:rPr>
          <w:rFonts w:asciiTheme="minorHAnsi" w:hAnsiTheme="minorHAnsi" w:cstheme="minorHAnsi"/>
          <w:lang w:val="en-US"/>
        </w:rPr>
        <w:t xml:space="preserve"> 3 new regions covering the WCPO and WPEA regions as requested by WCPFC22. The paper advised that the indicators </w:t>
      </w:r>
      <w:r w:rsidR="004E2763" w:rsidRPr="00B845AF">
        <w:rPr>
          <w:rFonts w:asciiTheme="minorHAnsi" w:hAnsiTheme="minorHAnsi" w:cstheme="minorHAnsi"/>
          <w:lang w:val="en-US"/>
        </w:rPr>
        <w:t>would</w:t>
      </w:r>
      <w:r w:rsidRPr="00B845AF">
        <w:rPr>
          <w:rFonts w:asciiTheme="minorHAnsi" w:hAnsiTheme="minorHAnsi" w:cstheme="minorHAnsi"/>
          <w:lang w:val="en-US"/>
        </w:rPr>
        <w:t xml:space="preserve"> provide the basis for reporting to WCPFC23. It requests that any proposed revisions to the proposed reporting to WCPFC23 by SC22 be provided to the SSP by the conclusion of SC22.</w:t>
      </w:r>
    </w:p>
    <w:p w14:paraId="315D73D8" w14:textId="77777777" w:rsidR="006C56DC" w:rsidRPr="00B845AF" w:rsidRDefault="006C56DC" w:rsidP="003B7A3E">
      <w:pPr>
        <w:pStyle w:val="SCtext"/>
        <w:numPr>
          <w:ilvl w:val="0"/>
          <w:numId w:val="0"/>
        </w:numPr>
        <w:ind w:leftChars="300" w:left="660"/>
        <w:rPr>
          <w:rFonts w:asciiTheme="minorHAnsi" w:hAnsiTheme="minorHAnsi" w:cstheme="minorHAnsi"/>
          <w:b/>
          <w:bCs/>
          <w:lang w:val="en-US" w:eastAsia="en-US"/>
        </w:rPr>
      </w:pPr>
    </w:p>
    <w:p w14:paraId="4CEA9555" w14:textId="05C514EE" w:rsidR="006C56DC" w:rsidRPr="00B845AF" w:rsidRDefault="006C56DC" w:rsidP="00872823">
      <w:pPr>
        <w:pStyle w:val="SCtext"/>
        <w:numPr>
          <w:ilvl w:val="0"/>
          <w:numId w:val="0"/>
        </w:numPr>
        <w:ind w:leftChars="300" w:left="660"/>
        <w:rPr>
          <w:rFonts w:asciiTheme="minorHAnsi" w:hAnsiTheme="minorHAnsi" w:cstheme="minorHAnsi"/>
          <w:b/>
          <w:bCs/>
          <w:lang w:val="en-US" w:eastAsia="en-US"/>
        </w:rPr>
      </w:pPr>
      <w:r w:rsidRPr="00B845AF">
        <w:rPr>
          <w:rFonts w:asciiTheme="minorHAnsi" w:hAnsiTheme="minorHAnsi" w:cstheme="minorHAnsi"/>
          <w:lang w:val="en-US"/>
        </w:rPr>
        <w:t xml:space="preserve">EB-IP02 provides a report, as requested by SC21, for a Working Paper to SC22 on outcomes of the March 2026 workshop on Ecosystem Indicators and Climate Indicators. The workshop titled “Implementation of the Ecosystem Approach to Fisheries Management: Advancing the Development of Ecosystem Indicators” was held at SPC in Noumea (New Caledonia) from 2–6 March 2026 and brought together experts from tuna Regional Fisheries Management Organizations (tRFMOs) and partner institutions to advance the development and application of ecosystem and climate indicators in support of an Ecosystem Approach to Fisheries Management (EAFM) in tRFMOs. </w:t>
      </w:r>
    </w:p>
    <w:p w14:paraId="6FACFEFC" w14:textId="5ABF05C7" w:rsidR="00C07008" w:rsidRPr="00B845AF" w:rsidRDefault="00C07008" w:rsidP="00C07008">
      <w:pPr>
        <w:pStyle w:val="SCtext"/>
        <w:numPr>
          <w:ilvl w:val="0"/>
          <w:numId w:val="0"/>
        </w:numPr>
        <w:rPr>
          <w:rFonts w:asciiTheme="minorHAnsi" w:hAnsiTheme="minorHAnsi" w:cstheme="minorHAnsi"/>
          <w:lang w:val="en-US"/>
        </w:rPr>
      </w:pPr>
    </w:p>
    <w:p w14:paraId="20739880" w14:textId="7EFA4D8D" w:rsidR="0088253B" w:rsidRPr="00B845AF" w:rsidRDefault="00C07008" w:rsidP="00872823">
      <w:pPr>
        <w:pStyle w:val="SCDR"/>
        <w:rPr>
          <w:rFonts w:asciiTheme="minorHAnsi" w:hAnsiTheme="minorHAnsi" w:cstheme="minorHAnsi"/>
        </w:rPr>
      </w:pPr>
      <w:r w:rsidRPr="00B845AF">
        <w:rPr>
          <w:rFonts w:asciiTheme="minorHAnsi" w:hAnsiTheme="minorHAnsi" w:cstheme="minorHAnsi"/>
        </w:rPr>
        <w:t>Discussion</w:t>
      </w:r>
    </w:p>
    <w:p w14:paraId="424257FD" w14:textId="5769492F" w:rsidR="002775FD" w:rsidRPr="00B845AF" w:rsidRDefault="00C07008">
      <w:pPr>
        <w:pStyle w:val="SCtext"/>
        <w:rPr>
          <w:rFonts w:asciiTheme="minorHAnsi" w:hAnsiTheme="minorHAnsi" w:cstheme="minorHAnsi"/>
          <w:lang w:val="en-US"/>
        </w:rPr>
      </w:pPr>
      <w:r w:rsidRPr="00B845AF">
        <w:rPr>
          <w:rFonts w:asciiTheme="minorHAnsi" w:hAnsiTheme="minorHAnsi" w:cstheme="minorHAnsi"/>
          <w:lang w:val="en-US"/>
        </w:rPr>
        <w:t>Niue, on behalf of the FFA members, provided a statement in relation to IP01. FFA members expressed continuing concern regarding the trend of ocean warming across the WCPO, including record global ocean heat content in 2025 and the past 11 years being the warmest on record. FFA members acknowledged the continued progress made under Project 121 in developing ecosystem indicators for climate for the WCPO. FFA members encouraged the SSP to ensure that the WCPFC Ecosystem and Climate Report Card clearly distinguishes between short-term climate variability, including ENSO, longer-term climate trends, and observed fishery responses or changes that may instead reflect stock abundance or fishing behavior.</w:t>
      </w:r>
    </w:p>
    <w:p w14:paraId="5189D022" w14:textId="2F0288B6" w:rsidR="007364CF" w:rsidRPr="00B845AF" w:rsidRDefault="007364CF" w:rsidP="007364CF">
      <w:pPr>
        <w:pStyle w:val="SCtext"/>
        <w:numPr>
          <w:ilvl w:val="0"/>
          <w:numId w:val="0"/>
        </w:numPr>
        <w:rPr>
          <w:rFonts w:asciiTheme="minorHAnsi" w:hAnsiTheme="minorHAnsi" w:cstheme="minorHAnsi"/>
          <w:lang w:val="en-US"/>
        </w:rPr>
      </w:pPr>
    </w:p>
    <w:p w14:paraId="0F437839" w14:textId="02742AB4" w:rsidR="007364CF" w:rsidRPr="00B845AF" w:rsidRDefault="007364CF" w:rsidP="007364CF">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760275AC" w14:textId="03F270C2" w:rsidR="007364CF" w:rsidRPr="00B845AF" w:rsidRDefault="007364CF">
      <w:pPr>
        <w:pStyle w:val="SCtext"/>
        <w:rPr>
          <w:rFonts w:asciiTheme="minorHAnsi" w:hAnsiTheme="minorHAnsi" w:cstheme="minorHAnsi"/>
          <w:lang w:val="en-US"/>
        </w:rPr>
      </w:pPr>
      <w:r w:rsidRPr="00B845AF">
        <w:rPr>
          <w:rFonts w:asciiTheme="minorHAnsi" w:hAnsiTheme="minorHAnsi" w:cstheme="minorHAnsi"/>
          <w:lang w:val="en-US"/>
        </w:rPr>
        <w:t>SC22 noted with concern the continuing trend of ocean warming across the WCPO, including record global ocean heat content in 2025 and the past eleven years being the warmest on record.</w:t>
      </w:r>
    </w:p>
    <w:p w14:paraId="06DC8025" w14:textId="77777777" w:rsidR="00167251" w:rsidRPr="00B845AF" w:rsidRDefault="00167251" w:rsidP="00167251">
      <w:pPr>
        <w:pStyle w:val="SCtext"/>
        <w:numPr>
          <w:ilvl w:val="0"/>
          <w:numId w:val="0"/>
        </w:numPr>
        <w:rPr>
          <w:rFonts w:asciiTheme="minorHAnsi" w:hAnsiTheme="minorHAnsi" w:cstheme="minorHAnsi"/>
          <w:lang w:val="en-US"/>
        </w:rPr>
      </w:pPr>
    </w:p>
    <w:p w14:paraId="1B578716" w14:textId="7B5D341F" w:rsidR="00167251" w:rsidRPr="00B845AF" w:rsidRDefault="00167251">
      <w:pPr>
        <w:pStyle w:val="SCtext"/>
        <w:rPr>
          <w:rFonts w:asciiTheme="minorHAnsi" w:hAnsiTheme="minorHAnsi" w:cstheme="minorHAnsi"/>
          <w:lang w:val="en-US"/>
        </w:rPr>
      </w:pPr>
      <w:r w:rsidRPr="00B845AF">
        <w:rPr>
          <w:rFonts w:asciiTheme="minorHAnsi" w:hAnsiTheme="minorHAnsi" w:cstheme="minorHAnsi"/>
          <w:lang w:val="en-US"/>
        </w:rPr>
        <w:t>SC22 acknowledged the progress made within Project 121, including the addition of three new regions covering the West Pacific East Asia (WPEA) region.</w:t>
      </w:r>
    </w:p>
    <w:p w14:paraId="41A581AC" w14:textId="77777777" w:rsidR="00167251" w:rsidRPr="00B845AF" w:rsidRDefault="00167251" w:rsidP="00167251">
      <w:pPr>
        <w:pStyle w:val="SCtext"/>
        <w:numPr>
          <w:ilvl w:val="0"/>
          <w:numId w:val="0"/>
        </w:numPr>
        <w:rPr>
          <w:rFonts w:asciiTheme="minorHAnsi" w:hAnsiTheme="minorHAnsi" w:cstheme="minorHAnsi"/>
          <w:lang w:val="en-US"/>
        </w:rPr>
      </w:pPr>
    </w:p>
    <w:p w14:paraId="3F9D7680" w14:textId="1926AD79" w:rsidR="00167251" w:rsidRPr="00B845AF" w:rsidRDefault="00167251">
      <w:pPr>
        <w:pStyle w:val="SCtext"/>
        <w:rPr>
          <w:rFonts w:asciiTheme="minorHAnsi" w:hAnsiTheme="minorHAnsi" w:cstheme="minorHAnsi"/>
          <w:lang w:val="en-US"/>
        </w:rPr>
      </w:pPr>
      <w:r w:rsidRPr="00B845AF">
        <w:rPr>
          <w:rFonts w:asciiTheme="minorHAnsi" w:hAnsiTheme="minorHAnsi" w:cstheme="minorHAnsi"/>
          <w:lang w:val="en-US"/>
        </w:rPr>
        <w:t>Some members requested that the ecosystem and climate indicators developed under Project 121 be presented to WCPFC23.</w:t>
      </w:r>
    </w:p>
    <w:bookmarkEnd w:id="60"/>
    <w:p w14:paraId="535ECA27" w14:textId="77777777" w:rsidR="00082EEF" w:rsidRPr="00B845AF" w:rsidRDefault="00082EEF" w:rsidP="00115244">
      <w:pPr>
        <w:pStyle w:val="ListParagraph"/>
        <w:ind w:left="0"/>
        <w:rPr>
          <w:rFonts w:asciiTheme="minorHAnsi" w:hAnsiTheme="minorHAnsi" w:cstheme="minorHAnsi"/>
        </w:rPr>
      </w:pPr>
    </w:p>
    <w:p w14:paraId="331EE988" w14:textId="35F1F346" w:rsidR="00CE049C" w:rsidRPr="00B845AF" w:rsidRDefault="006D79C7">
      <w:pPr>
        <w:pStyle w:val="SC3"/>
        <w:rPr>
          <w:rFonts w:asciiTheme="minorHAnsi" w:hAnsiTheme="minorHAnsi" w:cstheme="minorHAnsi"/>
        </w:rPr>
      </w:pPr>
      <w:r w:rsidRPr="00B845AF">
        <w:rPr>
          <w:rFonts w:asciiTheme="minorHAnsi" w:hAnsiTheme="minorHAnsi" w:cstheme="minorHAnsi"/>
        </w:rPr>
        <w:t>Development of early warning tools and expanded climate impact assessment</w:t>
      </w:r>
    </w:p>
    <w:p w14:paraId="4AF3FB91" w14:textId="0010FDC8" w:rsidR="002C2E64" w:rsidRPr="00B845AF" w:rsidRDefault="00970432">
      <w:pPr>
        <w:pStyle w:val="SCtext"/>
        <w:rPr>
          <w:rFonts w:asciiTheme="minorHAnsi" w:hAnsiTheme="minorHAnsi" w:cstheme="minorHAnsi"/>
          <w:lang w:val="en-US"/>
        </w:rPr>
      </w:pPr>
      <w:r w:rsidRPr="00B845AF">
        <w:rPr>
          <w:rFonts w:asciiTheme="minorHAnsi" w:hAnsiTheme="minorHAnsi" w:cstheme="minorHAnsi"/>
          <w:lang w:val="en-US"/>
        </w:rPr>
        <w:t xml:space="preserve">The EB </w:t>
      </w:r>
      <w:r w:rsidR="00D75B0E" w:rsidRPr="00B845AF">
        <w:rPr>
          <w:rFonts w:asciiTheme="minorHAnsi" w:hAnsiTheme="minorHAnsi" w:cstheme="minorHAnsi"/>
          <w:lang w:val="en-US"/>
        </w:rPr>
        <w:t>t</w:t>
      </w:r>
      <w:r w:rsidRPr="00B845AF">
        <w:rPr>
          <w:rFonts w:asciiTheme="minorHAnsi" w:hAnsiTheme="minorHAnsi" w:cstheme="minorHAnsi"/>
          <w:lang w:val="en-US"/>
        </w:rPr>
        <w:t xml:space="preserve">heme convener noted that </w:t>
      </w:r>
      <w:hyperlink r:id="rId87" w:history="1">
        <w:r w:rsidRPr="00B845AF">
          <w:rPr>
            <w:rStyle w:val="Hyperlink"/>
            <w:rFonts w:asciiTheme="minorHAnsi" w:hAnsiTheme="minorHAnsi" w:cstheme="minorHAnsi"/>
            <w:lang w:val="en-US"/>
          </w:rPr>
          <w:t>WCPFC-SC22-2026-EB-IP03</w:t>
        </w:r>
      </w:hyperlink>
      <w:r w:rsidRPr="00B845AF">
        <w:rPr>
          <w:rFonts w:asciiTheme="minorHAnsi" w:hAnsiTheme="minorHAnsi" w:cstheme="minorHAnsi"/>
          <w:lang w:val="en-US"/>
        </w:rPr>
        <w:t xml:space="preserve"> was available for consideration and was posted on the ODF.</w:t>
      </w:r>
    </w:p>
    <w:p w14:paraId="6F9D4495" w14:textId="77777777" w:rsidR="00AF2482" w:rsidRPr="00B845AF" w:rsidRDefault="00AF2482" w:rsidP="00AF2482">
      <w:pPr>
        <w:pStyle w:val="SCtext"/>
        <w:numPr>
          <w:ilvl w:val="0"/>
          <w:numId w:val="0"/>
        </w:numPr>
        <w:rPr>
          <w:rFonts w:asciiTheme="minorHAnsi" w:hAnsiTheme="minorHAnsi" w:cstheme="minorHAnsi"/>
          <w:lang w:val="en-US"/>
        </w:rPr>
      </w:pPr>
    </w:p>
    <w:p w14:paraId="3504AA21" w14:textId="74C0A455" w:rsidR="00AF2482" w:rsidRPr="00B845AF" w:rsidRDefault="00AF2482" w:rsidP="00AF2482">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EB-IP03 provided SC22 </w:t>
      </w:r>
      <w:r w:rsidR="004E2763" w:rsidRPr="00B845AF">
        <w:rPr>
          <w:rFonts w:asciiTheme="minorHAnsi" w:hAnsiTheme="minorHAnsi" w:cstheme="minorHAnsi"/>
          <w:lang w:val="en-US"/>
        </w:rPr>
        <w:t xml:space="preserve">with </w:t>
      </w:r>
      <w:r w:rsidRPr="00B845AF">
        <w:rPr>
          <w:rFonts w:asciiTheme="minorHAnsi" w:hAnsiTheme="minorHAnsi" w:cstheme="minorHAnsi"/>
          <w:lang w:val="en-US"/>
        </w:rPr>
        <w:t>an update on the request from WCPFC22, which tasked the SSP and the WCPFC Secretariat to explore the development of early warning tools to anticipate climate-driven changes and encouraged CCM support for associated data and resource needs. The paper provides a dot point summary of related activities and advises SC22 that</w:t>
      </w:r>
      <w:r w:rsidR="004E2763" w:rsidRPr="00B845AF">
        <w:rPr>
          <w:rFonts w:asciiTheme="minorHAnsi" w:hAnsiTheme="minorHAnsi" w:cstheme="minorHAnsi"/>
          <w:lang w:val="en-US"/>
        </w:rPr>
        <w:t>,</w:t>
      </w:r>
      <w:r w:rsidRPr="00B845AF">
        <w:rPr>
          <w:rFonts w:asciiTheme="minorHAnsi" w:hAnsiTheme="minorHAnsi" w:cstheme="minorHAnsi"/>
          <w:lang w:val="en-US"/>
        </w:rPr>
        <w:t xml:space="preserve"> to develop early warning tools further, it would be efficient to establish an SC project, or revise the ToRs of P121, to facilitate access to WCPFC-held data by project participants (subject to standard WCPFC data request and data confidentiality practices); and recommends they consider tasking the SSP and Secretariat to prepare a more detailed workplan for the development of early warning tools for 2028 and onwards to be considered by SC23. The paper notes </w:t>
      </w:r>
      <w:r w:rsidR="004E2763" w:rsidRPr="00B845AF">
        <w:rPr>
          <w:rFonts w:asciiTheme="minorHAnsi" w:hAnsiTheme="minorHAnsi" w:cstheme="minorHAnsi"/>
          <w:lang w:val="en-US"/>
        </w:rPr>
        <w:t>that</w:t>
      </w:r>
      <w:r w:rsidRPr="00B845AF">
        <w:rPr>
          <w:rFonts w:asciiTheme="minorHAnsi" w:hAnsiTheme="minorHAnsi" w:cstheme="minorHAnsi"/>
          <w:lang w:val="en-US"/>
        </w:rPr>
        <w:t xml:space="preserve"> applying existing tools to incorporate a climate change component into CMM evaluations would require a budget of approximately USD 50,000 per evaluation. The paper also notes that to facilitate participation of WCPFC members in scheduled informal climate change consultative process in 2027, who are not currently resourced through external project funds, may require financial support to participate (e.g., territories and WPEA countries). </w:t>
      </w:r>
    </w:p>
    <w:p w14:paraId="470B43FC" w14:textId="77777777" w:rsidR="007458E4" w:rsidRPr="00B845AF" w:rsidRDefault="007458E4" w:rsidP="0092269D">
      <w:pPr>
        <w:pStyle w:val="SCtext"/>
        <w:numPr>
          <w:ilvl w:val="0"/>
          <w:numId w:val="0"/>
        </w:numPr>
        <w:rPr>
          <w:rFonts w:asciiTheme="minorHAnsi" w:hAnsiTheme="minorHAnsi" w:cstheme="minorHAnsi"/>
          <w:lang w:val="en-US"/>
        </w:rPr>
      </w:pPr>
    </w:p>
    <w:p w14:paraId="3EB063E1" w14:textId="6537F6C9" w:rsidR="008313DF" w:rsidRPr="00B845AF" w:rsidRDefault="0088253B" w:rsidP="007458E4">
      <w:pPr>
        <w:pStyle w:val="SCDR"/>
        <w:rPr>
          <w:rFonts w:asciiTheme="minorHAnsi" w:hAnsiTheme="minorHAnsi" w:cstheme="minorHAnsi"/>
        </w:rPr>
      </w:pPr>
      <w:r w:rsidRPr="00B845AF">
        <w:rPr>
          <w:rFonts w:asciiTheme="minorHAnsi" w:hAnsiTheme="minorHAnsi" w:cstheme="minorHAnsi"/>
        </w:rPr>
        <w:t>Discussion</w:t>
      </w:r>
    </w:p>
    <w:p w14:paraId="47B68096" w14:textId="04A86E6F" w:rsidR="008313DF" w:rsidRPr="00B845AF" w:rsidRDefault="00970432">
      <w:pPr>
        <w:pStyle w:val="SCtext"/>
        <w:rPr>
          <w:rFonts w:asciiTheme="minorHAnsi" w:hAnsiTheme="minorHAnsi" w:cstheme="minorHAnsi"/>
          <w:lang w:val="en-US"/>
        </w:rPr>
      </w:pPr>
      <w:bookmarkStart w:id="61" w:name="_Hlk237421693"/>
      <w:r w:rsidRPr="00B845AF">
        <w:rPr>
          <w:rFonts w:asciiTheme="minorHAnsi" w:hAnsiTheme="minorHAnsi" w:cstheme="minorHAnsi"/>
          <w:lang w:val="en-US"/>
        </w:rPr>
        <w:t>Palau, on behalf of the FFA members, sought clarification on the intended users, outputs, and decision timeframes of the proposed early warning tools, including whether they are intended to support annual interpretation of fishery conditions, medium-term monitoring and planning, long-term climate projections, or future harvest strategy and MSE development. FFA members stated it would also be useful for future early warning products to provide practical information for interpreting changes in catch, CPUE, fishing location, and fish availability, including the likelihood that observed changes are temporary and season-related or reflect evidence of longer-term distributional change.</w:t>
      </w:r>
    </w:p>
    <w:bookmarkEnd w:id="61"/>
    <w:p w14:paraId="25F45008" w14:textId="77777777" w:rsidR="006F5A43" w:rsidRPr="00B845AF" w:rsidRDefault="006F5A43" w:rsidP="00527F56">
      <w:pPr>
        <w:pStyle w:val="SCtext"/>
        <w:numPr>
          <w:ilvl w:val="0"/>
          <w:numId w:val="0"/>
        </w:numPr>
        <w:rPr>
          <w:rFonts w:asciiTheme="minorHAnsi" w:hAnsiTheme="minorHAnsi" w:cstheme="minorHAnsi"/>
          <w:lang w:val="en-US"/>
        </w:rPr>
      </w:pPr>
    </w:p>
    <w:p w14:paraId="16B52533" w14:textId="4D907EF3" w:rsidR="006F5A43" w:rsidRPr="00B845AF" w:rsidRDefault="00970432">
      <w:pPr>
        <w:pStyle w:val="SCtext"/>
        <w:rPr>
          <w:rFonts w:asciiTheme="minorHAnsi" w:hAnsiTheme="minorHAnsi" w:cstheme="minorHAnsi"/>
          <w:lang w:val="en-US"/>
        </w:rPr>
      </w:pPr>
      <w:r w:rsidRPr="00B845AF">
        <w:rPr>
          <w:rFonts w:asciiTheme="minorHAnsi" w:hAnsiTheme="minorHAnsi" w:cstheme="minorHAnsi"/>
          <w:lang w:val="en-US"/>
        </w:rPr>
        <w:t xml:space="preserve">The SSP responded, noting that its role was limited to the assistance SPC-OFP can provide the Commission on early warning indicators. The SSP recalled that this work stemmed from the climate change risk assessment process initiated the previous year, in which SC and the Commission decided to step back from investing heavily in risk assessment tools and instead review existing work occurring in the region. The SSP stated that the paper describes work SPC is undertaking on behalf of 14 Pacific Island countries under a Green Climate Fund program, which also gives the Commission access to information relevant to its climate change work, including the development of early warning tools associated with </w:t>
      </w:r>
      <w:r w:rsidRPr="00B845AF">
        <w:rPr>
          <w:rFonts w:asciiTheme="minorHAnsi" w:hAnsiTheme="minorHAnsi" w:cstheme="minorHAnsi"/>
          <w:lang w:val="en-US"/>
        </w:rPr>
        <w:lastRenderedPageBreak/>
        <w:t>improved short-term forecasting, such as the capacity to look one to two years in advance with greater reliability around El Niño-Southern Oscillation phases, as well as longer-term projections. The SSP stated that this work helps SC differentiate between variability associated with seasonal and interannual tuna population dynamics and the effect of climate change on tuna stocks, allowing existing processes to be refined with updated information at no additional substantive cost. The SSP noted that direct incorporation of this information into stock assessment or harvest strategy processes remains a work in progress, though MSE-based harvest strategy work already incorporates a degree of environmental variability. The SSP noted that consultation on this information is enabled through the Green Climate Fund grant to 14 Pacific Island countries, and that the associated funds do not allow for participation by territories or other Pacific Island countries not party to the grant.</w:t>
      </w:r>
    </w:p>
    <w:p w14:paraId="3B630612" w14:textId="60ECB98D" w:rsidR="007364CF" w:rsidRPr="00B845AF" w:rsidRDefault="007364CF" w:rsidP="007364CF">
      <w:pPr>
        <w:pStyle w:val="SCtext"/>
        <w:numPr>
          <w:ilvl w:val="0"/>
          <w:numId w:val="0"/>
        </w:numPr>
        <w:rPr>
          <w:rFonts w:asciiTheme="minorHAnsi" w:hAnsiTheme="minorHAnsi" w:cstheme="minorHAnsi"/>
          <w:lang w:val="en-US"/>
        </w:rPr>
      </w:pPr>
    </w:p>
    <w:p w14:paraId="74974E54" w14:textId="2A1FB43D" w:rsidR="007364CF" w:rsidRPr="00B845AF" w:rsidRDefault="007364CF" w:rsidP="007364CF">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3D24F324" w14:textId="658C9BC4" w:rsidR="007364CF" w:rsidRPr="00B845AF" w:rsidRDefault="003E0974">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SC22 encouraged the SSP to ensure that reporting of ecosystem and climate indicators to WCPFC23 distinguishes between short-term climate variability, longer-term climate trends, and changes that may instead reflect stock abundance or fishing behaviour.</w:t>
      </w:r>
    </w:p>
    <w:p w14:paraId="5E408A5D" w14:textId="77777777" w:rsidR="003E0974" w:rsidRPr="00B845AF" w:rsidRDefault="003E0974" w:rsidP="003E0974">
      <w:pPr>
        <w:pStyle w:val="SCtext"/>
        <w:numPr>
          <w:ilvl w:val="0"/>
          <w:numId w:val="0"/>
        </w:numPr>
        <w:rPr>
          <w:rFonts w:asciiTheme="minorHAnsi" w:hAnsiTheme="minorHAnsi" w:cstheme="minorHAnsi"/>
          <w:b/>
          <w:bCs/>
          <w:lang w:val="en-US"/>
        </w:rPr>
      </w:pPr>
    </w:p>
    <w:p w14:paraId="19EAF383" w14:textId="2307321A" w:rsidR="003E0974" w:rsidRPr="00B845AF" w:rsidRDefault="003E0974">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the SSP strengthen the links between Project 121 and the fishery indicators considered under Agenda Item 4.3.3, so that observed changes in catch rates, fishing distributions and fish size might be better interpreted in the context of oceanographic variability and longer-term climate change.</w:t>
      </w:r>
    </w:p>
    <w:p w14:paraId="29D3B5CA" w14:textId="081D50E1" w:rsidR="007364CF" w:rsidRPr="00B845AF" w:rsidRDefault="007364CF" w:rsidP="007364CF">
      <w:pPr>
        <w:pStyle w:val="SCtext"/>
        <w:numPr>
          <w:ilvl w:val="0"/>
          <w:numId w:val="0"/>
        </w:numPr>
        <w:rPr>
          <w:rFonts w:asciiTheme="minorHAnsi" w:hAnsiTheme="minorHAnsi" w:cstheme="minorHAnsi"/>
          <w:lang w:val="en-US"/>
        </w:rPr>
      </w:pPr>
    </w:p>
    <w:p w14:paraId="47895A6E" w14:textId="5A4D0AE2" w:rsidR="007364CF" w:rsidRPr="00B845AF" w:rsidRDefault="007364CF">
      <w:pPr>
        <w:pStyle w:val="SC3"/>
        <w:rPr>
          <w:rFonts w:asciiTheme="minorHAnsi" w:hAnsiTheme="minorHAnsi" w:cstheme="minorHAnsi"/>
        </w:rPr>
      </w:pPr>
      <w:r w:rsidRPr="00B845AF">
        <w:rPr>
          <w:rFonts w:asciiTheme="minorHAnsi" w:hAnsiTheme="minorHAnsi" w:cstheme="minorHAnsi"/>
        </w:rPr>
        <w:t>Climate Change Workplan</w:t>
      </w:r>
    </w:p>
    <w:p w14:paraId="2408CAA7" w14:textId="1A4B48C7" w:rsidR="007364CF" w:rsidRPr="00B845AF" w:rsidRDefault="007364CF">
      <w:pPr>
        <w:pStyle w:val="SCtext"/>
        <w:rPr>
          <w:rFonts w:asciiTheme="minorHAnsi" w:hAnsiTheme="minorHAnsi" w:cstheme="minorHAnsi"/>
          <w:lang w:val="en-US"/>
        </w:rPr>
      </w:pPr>
      <w:r w:rsidRPr="00B845AF">
        <w:rPr>
          <w:rFonts w:asciiTheme="minorHAnsi" w:eastAsia="MS Mincho" w:hAnsiTheme="minorHAnsi" w:cstheme="minorHAnsi"/>
          <w:lang w:val="en-US" w:eastAsia="ja-JP"/>
        </w:rPr>
        <w:t>No discussions were held on this item.</w:t>
      </w:r>
    </w:p>
    <w:p w14:paraId="7B1D366E" w14:textId="77777777" w:rsidR="002C2E64" w:rsidRPr="00B845AF" w:rsidRDefault="002C2E64" w:rsidP="00CE049C">
      <w:pPr>
        <w:rPr>
          <w:rFonts w:asciiTheme="minorHAnsi" w:hAnsiTheme="minorHAnsi" w:cstheme="minorHAnsi"/>
          <w:b/>
          <w:bCs/>
          <w:szCs w:val="22"/>
        </w:rPr>
      </w:pPr>
    </w:p>
    <w:p w14:paraId="41EAF52D" w14:textId="12E457D4" w:rsidR="00CE049C" w:rsidRPr="00B845AF" w:rsidRDefault="00082EEF">
      <w:pPr>
        <w:pStyle w:val="SC2"/>
        <w:rPr>
          <w:rFonts w:asciiTheme="minorHAnsi" w:hAnsiTheme="minorHAnsi" w:cstheme="minorHAnsi"/>
        </w:rPr>
      </w:pPr>
      <w:bookmarkStart w:id="62" w:name="_Hlk196224799"/>
      <w:r w:rsidRPr="00B845AF">
        <w:rPr>
          <w:rFonts w:asciiTheme="minorHAnsi" w:hAnsiTheme="minorHAnsi" w:cstheme="minorHAnsi"/>
        </w:rPr>
        <w:t>Updates on the 2019 SEAPODYM Review</w:t>
      </w:r>
      <w:r w:rsidR="00CE049C" w:rsidRPr="00B845AF">
        <w:rPr>
          <w:rFonts w:asciiTheme="minorHAnsi" w:hAnsiTheme="minorHAnsi" w:cstheme="minorHAnsi"/>
        </w:rPr>
        <w:t xml:space="preserve"> </w:t>
      </w:r>
    </w:p>
    <w:p w14:paraId="5B852541" w14:textId="77777777" w:rsidR="00DD2A36" w:rsidRPr="00B845AF" w:rsidRDefault="006D79C7">
      <w:pPr>
        <w:pStyle w:val="SCtext"/>
        <w:rPr>
          <w:rFonts w:asciiTheme="minorHAnsi" w:hAnsiTheme="minorHAnsi" w:cstheme="minorHAnsi"/>
          <w:lang w:val="en-US"/>
        </w:rPr>
      </w:pPr>
      <w:bookmarkStart w:id="63" w:name="_Hlk165275433"/>
      <w:r w:rsidRPr="00B845AF">
        <w:rPr>
          <w:rFonts w:asciiTheme="minorHAnsi" w:hAnsiTheme="minorHAnsi" w:cstheme="minorHAnsi"/>
          <w:lang w:val="en-US"/>
        </w:rPr>
        <w:t xml:space="preserve">I. Senina (SPC-OFP) presented </w:t>
      </w:r>
      <w:hyperlink r:id="rId88" w:history="1">
        <w:r w:rsidRPr="00B845AF">
          <w:rPr>
            <w:rStyle w:val="Hyperlink"/>
            <w:rFonts w:asciiTheme="minorHAnsi" w:hAnsiTheme="minorHAnsi" w:cstheme="minorHAnsi"/>
            <w:lang w:val="en-US"/>
          </w:rPr>
          <w:t>WCPFC-SC22-2026-EB-WP-01</w:t>
        </w:r>
      </w:hyperlink>
      <w:r w:rsidRPr="00B845AF">
        <w:rPr>
          <w:rFonts w:asciiTheme="minorHAnsi" w:hAnsiTheme="minorHAnsi" w:cstheme="minorHAnsi"/>
          <w:lang w:val="en-US"/>
        </w:rPr>
        <w:t xml:space="preserve">, which responds to outstanding recommendations from SC21 (paragraphs 676 and 677) and the remaining recommendation from the 2019 SEAPODYM Review. </w:t>
      </w:r>
    </w:p>
    <w:p w14:paraId="132752D2" w14:textId="77777777" w:rsidR="00DD2A36" w:rsidRPr="00B845AF" w:rsidRDefault="00DD2A36" w:rsidP="00DD2A36">
      <w:pPr>
        <w:pStyle w:val="SCtext"/>
        <w:numPr>
          <w:ilvl w:val="0"/>
          <w:numId w:val="0"/>
        </w:numPr>
        <w:rPr>
          <w:rFonts w:asciiTheme="minorHAnsi" w:hAnsiTheme="minorHAnsi" w:cstheme="minorHAnsi"/>
          <w:lang w:val="en-US"/>
        </w:rPr>
      </w:pPr>
    </w:p>
    <w:p w14:paraId="2B207618" w14:textId="1DF32035" w:rsidR="00537A07" w:rsidRPr="00B845AF" w:rsidRDefault="006D79C7" w:rsidP="00DD2A3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The paper addressed the bridging analysis by showing that each spatial and environmental mechanism in SEAPODYM is required by a distinct data type, with tagging data informing movement and fisheries data informing recruitment; results showed active movement components substantially reduced tagging misfit and removed catch likelihood deterioration, while incorporating larval food and predation into recruitment removed the residual catch misfit that an SST-only formulation could not resolve. In place of fitting to the Goethel et al. (2024) simulated dataset, which the authors found structurally incompatible with SEAPODYM on three critical points (spatio-temporal resolution, absence of fishing effort, and pre-aggregated tagging data), the recommendation was instead addressed through identical-twin experiments, which recovered known parameters within relative error, and through validation against independent data outside the model fitting window. The paper introduced Hessian-based convergence diagnostics, namely a positive-definite Hessian check and the Newton decrement, in place of a fixed gradient threshold, which the authors noted is not scale-invariant. Updated reference models for skipjack, yellowfin, bigeye, and South Pacific albacore showed </w:t>
      </w:r>
      <w:proofErr w:type="gramStart"/>
      <w:r w:rsidRPr="00B845AF">
        <w:rPr>
          <w:rFonts w:asciiTheme="minorHAnsi" w:hAnsiTheme="minorHAnsi" w:cstheme="minorHAnsi"/>
          <w:lang w:val="en-US"/>
        </w:rPr>
        <w:t>improved catch</w:t>
      </w:r>
      <w:proofErr w:type="gramEnd"/>
      <w:r w:rsidRPr="00B845AF">
        <w:rPr>
          <w:rFonts w:asciiTheme="minorHAnsi" w:hAnsiTheme="minorHAnsi" w:cstheme="minorHAnsi"/>
          <w:lang w:val="en-US"/>
        </w:rPr>
        <w:t xml:space="preserve"> data validation scores across all four species relative to previous models, with mixed results for length frequency and tagging data scores depending on species. The presen</w:t>
      </w:r>
      <w:r w:rsidR="008A7E6E" w:rsidRPr="00B845AF">
        <w:rPr>
          <w:rFonts w:asciiTheme="minorHAnsi" w:hAnsiTheme="minorHAnsi" w:cstheme="minorHAnsi"/>
          <w:lang w:val="en-US"/>
        </w:rPr>
        <w:t xml:space="preserve">tation </w:t>
      </w:r>
      <w:r w:rsidRPr="00B845AF">
        <w:rPr>
          <w:rFonts w:asciiTheme="minorHAnsi" w:hAnsiTheme="minorHAnsi" w:cstheme="minorHAnsi"/>
          <w:lang w:val="en-US"/>
        </w:rPr>
        <w:t xml:space="preserve">clarified that stock size estimation is not the primary objective of the framework, and that maximum likelihood </w:t>
      </w:r>
      <w:r w:rsidRPr="00B845AF">
        <w:rPr>
          <w:rFonts w:asciiTheme="minorHAnsi" w:hAnsiTheme="minorHAnsi" w:cstheme="minorHAnsi"/>
          <w:lang w:val="en-US"/>
        </w:rPr>
        <w:lastRenderedPageBreak/>
        <w:t>estimation solutions instead provide the minimal stock size compatible with observed fishing pressure.</w:t>
      </w:r>
    </w:p>
    <w:p w14:paraId="0EB49E8A" w14:textId="77777777" w:rsidR="00F422BD" w:rsidRPr="00B845AF" w:rsidRDefault="00F422BD" w:rsidP="00F422BD">
      <w:pPr>
        <w:pStyle w:val="SCtext"/>
        <w:numPr>
          <w:ilvl w:val="0"/>
          <w:numId w:val="0"/>
        </w:numPr>
        <w:rPr>
          <w:rFonts w:asciiTheme="minorHAnsi" w:hAnsiTheme="minorHAnsi" w:cstheme="minorHAnsi"/>
          <w:lang w:val="en-US"/>
        </w:rPr>
      </w:pPr>
    </w:p>
    <w:p w14:paraId="0748F69F" w14:textId="1B99AFE1" w:rsidR="00CF15B8" w:rsidRPr="00B845AF" w:rsidRDefault="007458E4" w:rsidP="007458E4">
      <w:pPr>
        <w:pStyle w:val="SCDR"/>
        <w:rPr>
          <w:rFonts w:asciiTheme="minorHAnsi" w:hAnsiTheme="minorHAnsi" w:cstheme="minorHAnsi"/>
        </w:rPr>
      </w:pPr>
      <w:r w:rsidRPr="00B845AF">
        <w:rPr>
          <w:rFonts w:asciiTheme="minorHAnsi" w:hAnsiTheme="minorHAnsi" w:cstheme="minorHAnsi"/>
        </w:rPr>
        <w:t>Discussion</w:t>
      </w:r>
    </w:p>
    <w:p w14:paraId="1A2EF6BB" w14:textId="630309F7" w:rsidR="00CC0D2C" w:rsidRPr="00B845AF" w:rsidRDefault="00880CEC">
      <w:pPr>
        <w:pStyle w:val="SCtext"/>
        <w:rPr>
          <w:rFonts w:asciiTheme="minorHAnsi" w:hAnsiTheme="minorHAnsi" w:cstheme="minorHAnsi"/>
          <w:lang w:val="en-US"/>
        </w:rPr>
      </w:pPr>
      <w:r w:rsidRPr="00B845AF">
        <w:rPr>
          <w:rFonts w:asciiTheme="minorHAnsi" w:hAnsiTheme="minorHAnsi" w:cstheme="minorHAnsi"/>
          <w:lang w:val="en-US"/>
        </w:rPr>
        <w:t>Vanuatu, on behalf of the FFA members, thanked SPC for the progress report on SEAPODYM improvements, including the tasks arising from SC21 recommendations. FFA members encouraged the continued development of the yellowfin and albacore reference models and the continued improvement of the integration of SEAPODYM outputs into WCPFC scientific advice. FFA members also supported the Secretariat’s engagement with the FAO ABNJ Tuna Project and the GCF Regional Tuna Programme to continue securing funding support for this work.</w:t>
      </w:r>
    </w:p>
    <w:p w14:paraId="71E20709" w14:textId="77777777" w:rsidR="006D79C7" w:rsidRPr="00B845AF" w:rsidRDefault="006D79C7" w:rsidP="006D79C7">
      <w:pPr>
        <w:pStyle w:val="SCtext"/>
        <w:numPr>
          <w:ilvl w:val="0"/>
          <w:numId w:val="0"/>
        </w:numPr>
        <w:rPr>
          <w:rFonts w:asciiTheme="minorHAnsi" w:hAnsiTheme="minorHAnsi" w:cstheme="minorHAnsi"/>
          <w:lang w:val="en-US"/>
        </w:rPr>
      </w:pPr>
    </w:p>
    <w:p w14:paraId="196BD9CE" w14:textId="018D6A03" w:rsidR="006D79C7" w:rsidRPr="00B845AF" w:rsidRDefault="00794981">
      <w:pPr>
        <w:pStyle w:val="SCtext"/>
        <w:rPr>
          <w:rFonts w:asciiTheme="minorHAnsi" w:hAnsiTheme="minorHAnsi" w:cstheme="minorHAnsi"/>
          <w:lang w:val="en-US"/>
        </w:rPr>
      </w:pPr>
      <w:r w:rsidRPr="00B845AF">
        <w:rPr>
          <w:rFonts w:asciiTheme="minorHAnsi" w:hAnsiTheme="minorHAnsi" w:cstheme="minorHAnsi"/>
          <w:lang w:val="en-US"/>
        </w:rPr>
        <w:t>New Zealand thanked the SSP for the substantial work put into SEAPODYM, encouraged its continued development, and encouraged careful integration of its outputs into scientific advice. New Zealand noted it had posted technical comments on the ODF but wished to briefly summarize them over the floor. New Zealand stated that the out-of-sample tag validation and the albacore cross-basin test were strong results, noting that the skipjack tag validation included a genuine spatial holdout, and asked whether the cross-basin test could be extended to other species. On forecast skill, New Zealand noted that current diagnostics score model fit across the time series, including outside the estimation window, and stated that given SEAPODYM’s growing role in projections to 2050, further focus on how well the model predicts forward would build confidence. New Zealand asked whether, for skipjack, stock size being set by a selected ceiling rather than estimated from the data also applies to the other species, and how much this affects regional results. On movement, New Zealand stated that aggregate scores are encouraging but can mask directional error, noting that fine-scale movement matters most for the tag mixing work raised under the stock assessment agenda item, and requested a closer look at this and at open ocean versus archipelagic performance.</w:t>
      </w:r>
    </w:p>
    <w:p w14:paraId="0943567E" w14:textId="77777777" w:rsidR="00794981" w:rsidRPr="00B845AF" w:rsidRDefault="00794981" w:rsidP="00794981">
      <w:pPr>
        <w:pStyle w:val="SCtext"/>
        <w:numPr>
          <w:ilvl w:val="0"/>
          <w:numId w:val="0"/>
        </w:numPr>
        <w:rPr>
          <w:rFonts w:asciiTheme="minorHAnsi" w:hAnsiTheme="minorHAnsi" w:cstheme="minorHAnsi"/>
          <w:lang w:val="en-US"/>
        </w:rPr>
      </w:pPr>
    </w:p>
    <w:p w14:paraId="243E353F" w14:textId="277622CA" w:rsidR="00794981" w:rsidRPr="00B845AF" w:rsidRDefault="00794981">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SSP responded to New Zealand’s questions. On the cross-basin validation, the SSP stated that the previous work served as the basis for a current project intending to extend the Pacific-calibrated tropical tuna reference models to the Indian and Atlantic Oceans, noting that success is not yet certain and that there are data collection caveats in both oceans, and that this work is ongoing. On uncertainty in climate change effect estimation, the SSP stated that the major uncertainty is not expected to come from SEAPODYM itself; several models were tested for skipjack under differing assumptions on stock size estimation and early life parameters, and the resulting uncertainty was found to be low compared to the uncertainty across the ensemble of forcing models, which diverge from one another and carry differing biases associated with differing ocean warming trends. The SSP stated this remains ongoing work, with existing methods from oceanographic research being considered. On the effect on the stock penalty, the SSP stated that likelihood profiling work for stock size is presented in the paper, and that the likelihood profile does not have a parabolic shape, meaning likelihood continues to improve as stock size increases; the SSP stated a preference for reporting the stock size that reflects the minimum acceptable error, which is considered the minimum stock size that, given the spatial distribution predicted by the environmental and mechanistic links in the model, sustains the observed fishing pressure. On fine-scale movement and addressing tag retention or FAD-driven associated behavior, the SSP stated that this could be better addressed once the model moves to a higher spatial resolution than currently used, noting that resolutions below 0.4 to 0.5 degrees already represent mesoscale processes, and that finer resolution still combined with parallel computation would allow testing of different mechanisms.</w:t>
      </w:r>
    </w:p>
    <w:p w14:paraId="7A216BBB" w14:textId="77777777" w:rsidR="00794981" w:rsidRPr="00B845AF" w:rsidRDefault="00794981" w:rsidP="00794981">
      <w:pPr>
        <w:pStyle w:val="SCtext"/>
        <w:numPr>
          <w:ilvl w:val="0"/>
          <w:numId w:val="0"/>
        </w:numPr>
        <w:rPr>
          <w:rFonts w:asciiTheme="minorHAnsi" w:hAnsiTheme="minorHAnsi" w:cstheme="minorHAnsi"/>
          <w:lang w:val="en-US"/>
        </w:rPr>
      </w:pPr>
    </w:p>
    <w:p w14:paraId="6AADC547" w14:textId="24DABA02" w:rsidR="00794981" w:rsidRPr="00B845AF" w:rsidRDefault="00794981">
      <w:pPr>
        <w:pStyle w:val="SCtext"/>
        <w:rPr>
          <w:rFonts w:asciiTheme="minorHAnsi" w:hAnsiTheme="minorHAnsi" w:cstheme="minorHAnsi"/>
          <w:lang w:val="en-US"/>
        </w:rPr>
      </w:pPr>
      <w:r w:rsidRPr="00B845AF">
        <w:rPr>
          <w:rFonts w:asciiTheme="minorHAnsi" w:hAnsiTheme="minorHAnsi" w:cstheme="minorHAnsi"/>
          <w:lang w:val="en-US"/>
        </w:rPr>
        <w:lastRenderedPageBreak/>
        <w:t>The USA thanked the SSP for the presentation and recognized the SSP’s SEAPODYM team for a comprehensive response to both the peer review recommendations and the SC21 requests, expressing appreciation for the level of detail provided on likelihood profiling, the discussion of structural uncertainty related to the underlying biogeochemical forcing, and the Hessian-based model convergence diagnostics. The USA stated it was encouraged by the two validation experiments conducted, covering both temporal and spatial out-of-sample comparisons, and noted it had additional technical follow-up questions that would be posted to the ODF. The USA stated one recommendation and one request across the floor. The USA recommended that, given the simulation experiment showed that estimates are sensitive to the underlying biogeochemical forcing, future SEAPODYM results be presented with uncertainty combining both estimated parameter uncertainty and structural uncertainty arising from the forcing and key model assumptions. The USA requested that the authors complete hindcast cross-validation for each of the four SEAPODYM tuna species models, noting this would be similar to the temporal validation work already presented, with models conditioned on data up to a given year and predictions carried forward and compared against actual biogeochemical observations and observed effort distributions, with prediction skill assessed for each year of the hindcast.</w:t>
      </w:r>
    </w:p>
    <w:p w14:paraId="761E9DAA" w14:textId="77777777" w:rsidR="00794981" w:rsidRPr="00B845AF" w:rsidRDefault="00794981" w:rsidP="00794981">
      <w:pPr>
        <w:pStyle w:val="SCtext"/>
        <w:numPr>
          <w:ilvl w:val="0"/>
          <w:numId w:val="0"/>
        </w:numPr>
        <w:rPr>
          <w:rFonts w:asciiTheme="minorHAnsi" w:hAnsiTheme="minorHAnsi" w:cstheme="minorHAnsi"/>
          <w:lang w:val="en-US"/>
        </w:rPr>
      </w:pPr>
    </w:p>
    <w:p w14:paraId="3C625EC7" w14:textId="0EF00A33" w:rsidR="00794981" w:rsidRPr="00B845AF" w:rsidRDefault="00E31EE6">
      <w:pPr>
        <w:pStyle w:val="SCtext"/>
        <w:rPr>
          <w:rFonts w:asciiTheme="minorHAnsi" w:hAnsiTheme="minorHAnsi" w:cstheme="minorHAnsi"/>
          <w:lang w:val="en-US"/>
        </w:rPr>
      </w:pPr>
      <w:r w:rsidRPr="00B845AF">
        <w:rPr>
          <w:rFonts w:asciiTheme="minorHAnsi" w:hAnsiTheme="minorHAnsi" w:cstheme="minorHAnsi"/>
          <w:lang w:val="en-US"/>
        </w:rPr>
        <w:t>The SSP thanked the USA for the suggestions, feedback, and endorsement. The SSP noted the recommendation to report uncertainty, including structural uncertainty, and stated that this would be incorporated as much as possible within the framework of the climate change impact estimation work, noting it was uncertain whether all reference models could be completed with climate simulations and improved structural uncertainty for all species by the end of the year, but that this remains the direction of the work. On the hindcast cross-validation request, the SSP stated it did not fully understand the request, noting that hindcast validation is already part of current practice, and asked for clarification, to be provided offline.</w:t>
      </w:r>
    </w:p>
    <w:p w14:paraId="29C40E89" w14:textId="77777777" w:rsidR="00E31EE6" w:rsidRPr="00B845AF" w:rsidRDefault="00E31EE6" w:rsidP="00E31EE6">
      <w:pPr>
        <w:pStyle w:val="SCtext"/>
        <w:numPr>
          <w:ilvl w:val="0"/>
          <w:numId w:val="0"/>
        </w:numPr>
        <w:rPr>
          <w:rFonts w:asciiTheme="minorHAnsi" w:hAnsiTheme="minorHAnsi" w:cstheme="minorHAnsi"/>
          <w:lang w:val="en-US"/>
        </w:rPr>
      </w:pPr>
    </w:p>
    <w:p w14:paraId="7EAB5BDC" w14:textId="4C3F253B" w:rsidR="00E31EE6" w:rsidRPr="00B845AF" w:rsidRDefault="00E31EE6">
      <w:pPr>
        <w:pStyle w:val="SCtext"/>
        <w:rPr>
          <w:rFonts w:asciiTheme="minorHAnsi" w:hAnsiTheme="minorHAnsi" w:cstheme="minorHAnsi"/>
          <w:lang w:val="en-US"/>
        </w:rPr>
      </w:pPr>
      <w:r w:rsidRPr="00B845AF">
        <w:rPr>
          <w:rFonts w:asciiTheme="minorHAnsi" w:hAnsiTheme="minorHAnsi" w:cstheme="minorHAnsi"/>
          <w:lang w:val="en-US"/>
        </w:rPr>
        <w:t>Indonesia thanked the convener and the SSP for the presentation, recognizing the substantial work undertaken. Indonesia noted its interest, along with other countries, in work on climate change and its relevance to SEAPODYM. Indonesia asked how applicable the SEAPODYM production model is to archipelagic states such as Indonesia, given that fisheries and fish movement crossing national borders may affect population dynamics and biomass estimates, and noted that tagging data, which the paper identifies as important, is limited in this area, asking whether the SEAPODYM approach remains usable under these conditions.</w:t>
      </w:r>
    </w:p>
    <w:p w14:paraId="2D841490" w14:textId="77777777" w:rsidR="00E31EE6" w:rsidRPr="00B845AF" w:rsidRDefault="00E31EE6" w:rsidP="00E31EE6">
      <w:pPr>
        <w:pStyle w:val="SCtext"/>
        <w:numPr>
          <w:ilvl w:val="0"/>
          <w:numId w:val="0"/>
        </w:numPr>
        <w:rPr>
          <w:rFonts w:asciiTheme="minorHAnsi" w:hAnsiTheme="minorHAnsi" w:cstheme="minorHAnsi"/>
          <w:lang w:val="en-US"/>
        </w:rPr>
      </w:pPr>
    </w:p>
    <w:p w14:paraId="04FBD5A1" w14:textId="5D9A7275" w:rsidR="00E31EE6" w:rsidRPr="00B845AF" w:rsidRDefault="00E31EE6">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this comes down again to model resolution needed to properly resolve dynamics in archipelagic waters such as </w:t>
      </w:r>
      <w:proofErr w:type="gramStart"/>
      <w:r w:rsidRPr="00B845AF">
        <w:rPr>
          <w:rFonts w:asciiTheme="minorHAnsi" w:hAnsiTheme="minorHAnsi" w:cstheme="minorHAnsi"/>
          <w:lang w:val="en-US"/>
        </w:rPr>
        <w:t>Indonesia’s, and</w:t>
      </w:r>
      <w:proofErr w:type="gramEnd"/>
      <w:r w:rsidRPr="00B845AF">
        <w:rPr>
          <w:rFonts w:asciiTheme="minorHAnsi" w:hAnsiTheme="minorHAnsi" w:cstheme="minorHAnsi"/>
          <w:lang w:val="en-US"/>
        </w:rPr>
        <w:t xml:space="preserve"> agreed that observational data in this area is important, noting that without such observations it would not be possible to validate the model’s fine-scale structures. The SSP stated it would be important to pursue additional data sources, such as VMS data, to support model validation, and that this is something that could be addressed as the model moves to higher resolution.</w:t>
      </w:r>
    </w:p>
    <w:p w14:paraId="55403940" w14:textId="77777777" w:rsidR="00794981" w:rsidRPr="00B845AF" w:rsidRDefault="00794981" w:rsidP="00794981">
      <w:pPr>
        <w:pStyle w:val="SCtext"/>
        <w:numPr>
          <w:ilvl w:val="0"/>
          <w:numId w:val="0"/>
        </w:numPr>
        <w:rPr>
          <w:rFonts w:asciiTheme="minorHAnsi" w:hAnsiTheme="minorHAnsi" w:cstheme="minorHAnsi"/>
          <w:lang w:val="en-US"/>
        </w:rPr>
      </w:pPr>
    </w:p>
    <w:p w14:paraId="3B078581" w14:textId="67E541CD" w:rsidR="00DC51BE" w:rsidRPr="00B845AF" w:rsidRDefault="00CC0D2C" w:rsidP="00CC0D2C">
      <w:pPr>
        <w:pStyle w:val="SCDR"/>
        <w:rPr>
          <w:rFonts w:asciiTheme="minorHAnsi" w:hAnsiTheme="minorHAnsi" w:cstheme="minorHAnsi"/>
        </w:rPr>
      </w:pPr>
      <w:r w:rsidRPr="00B845AF">
        <w:rPr>
          <w:rFonts w:asciiTheme="minorHAnsi" w:hAnsiTheme="minorHAnsi" w:cstheme="minorHAnsi"/>
        </w:rPr>
        <w:t>Outcomes</w:t>
      </w:r>
    </w:p>
    <w:p w14:paraId="52D705EC" w14:textId="3AEDF4E3" w:rsidR="00DC51BE" w:rsidRPr="00B845AF" w:rsidRDefault="000B70DD">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SC22 acknowledged the analyses and diagnostics presented in WCPFC-SC22-2026-EB-WP01 and recommended that, where appropriate, these diagnostics be included in future reporting of new reference models to the SC to facilitate review.</w:t>
      </w:r>
    </w:p>
    <w:p w14:paraId="55D88440" w14:textId="77777777" w:rsidR="000B70DD" w:rsidRPr="00B845AF" w:rsidRDefault="000B70DD" w:rsidP="000B70DD">
      <w:pPr>
        <w:pStyle w:val="SCtext"/>
        <w:numPr>
          <w:ilvl w:val="0"/>
          <w:numId w:val="0"/>
        </w:numPr>
        <w:rPr>
          <w:rFonts w:asciiTheme="minorHAnsi" w:hAnsiTheme="minorHAnsi" w:cstheme="minorHAnsi"/>
          <w:b/>
          <w:bCs/>
          <w:lang w:val="en-US"/>
        </w:rPr>
      </w:pPr>
    </w:p>
    <w:p w14:paraId="0DC2B1F8" w14:textId="1B0FFAF8" w:rsidR="000B70DD" w:rsidRPr="00B845AF" w:rsidRDefault="000B70DD">
      <w:pPr>
        <w:pStyle w:val="SCtext"/>
        <w:rPr>
          <w:rFonts w:asciiTheme="minorHAnsi" w:hAnsiTheme="minorHAnsi" w:cstheme="minorHAnsi"/>
          <w:b/>
          <w:bCs/>
          <w:lang w:val="en-US"/>
        </w:rPr>
      </w:pPr>
      <w:r w:rsidRPr="00B845AF">
        <w:rPr>
          <w:rFonts w:asciiTheme="minorHAnsi" w:hAnsiTheme="minorHAnsi" w:cstheme="minorHAnsi"/>
          <w:b/>
          <w:bCs/>
          <w:lang w:val="en-US"/>
        </w:rPr>
        <w:lastRenderedPageBreak/>
        <w:t>SC22 encouraged the SSP to present future SEAPODYM results, where feasible, as a median estimate with combined uncertainty, since results were shown to depend on the underlying biogeochemical forcing and key model assumptions.</w:t>
      </w:r>
    </w:p>
    <w:p w14:paraId="4F1BAF7E" w14:textId="77777777" w:rsidR="004A6028" w:rsidRPr="00B845AF" w:rsidRDefault="004A6028" w:rsidP="004A6028">
      <w:pPr>
        <w:pStyle w:val="SCtext"/>
        <w:numPr>
          <w:ilvl w:val="0"/>
          <w:numId w:val="0"/>
        </w:numPr>
        <w:rPr>
          <w:rFonts w:asciiTheme="minorHAnsi" w:hAnsiTheme="minorHAnsi" w:cstheme="minorHAnsi"/>
          <w:b/>
          <w:bCs/>
          <w:lang w:val="en-US"/>
        </w:rPr>
      </w:pPr>
    </w:p>
    <w:p w14:paraId="2496AE32" w14:textId="0CEB6941" w:rsidR="004A6028" w:rsidRPr="00B845AF" w:rsidRDefault="004A6028">
      <w:pPr>
        <w:pStyle w:val="SCtext"/>
        <w:rPr>
          <w:rFonts w:asciiTheme="minorHAnsi" w:hAnsiTheme="minorHAnsi" w:cstheme="minorHAnsi"/>
          <w:b/>
          <w:bCs/>
          <w:lang w:val="en-US"/>
        </w:rPr>
      </w:pPr>
      <w:r w:rsidRPr="00B845AF">
        <w:rPr>
          <w:rFonts w:asciiTheme="minorHAnsi" w:hAnsiTheme="minorHAnsi" w:cstheme="minorHAnsi"/>
          <w:b/>
          <w:bCs/>
          <w:lang w:val="en-US"/>
        </w:rPr>
        <w:t>SC22 requested that the SSP explore the possibility of conducting hindcast cross-validation for the four SEAPODYM tuna models, and of extending the albacore cross-basin validation to a tropical tuna model, and report on this work to SC23.</w:t>
      </w:r>
    </w:p>
    <w:p w14:paraId="69A27ED5" w14:textId="77777777" w:rsidR="00817394" w:rsidRPr="00B845AF" w:rsidRDefault="00817394" w:rsidP="003A1466">
      <w:pPr>
        <w:pStyle w:val="SCtext"/>
        <w:numPr>
          <w:ilvl w:val="0"/>
          <w:numId w:val="0"/>
        </w:numPr>
        <w:rPr>
          <w:rFonts w:asciiTheme="minorHAnsi" w:hAnsiTheme="minorHAnsi" w:cstheme="minorHAnsi"/>
          <w:lang w:val="en-US"/>
        </w:rPr>
      </w:pPr>
      <w:bookmarkStart w:id="64" w:name="_Hlk165472524"/>
      <w:bookmarkEnd w:id="63"/>
    </w:p>
    <w:bookmarkEnd w:id="62"/>
    <w:bookmarkEnd w:id="64"/>
    <w:p w14:paraId="64570774" w14:textId="29A900E0" w:rsidR="00CE049C" w:rsidRPr="00B845AF" w:rsidRDefault="00082EEF">
      <w:pPr>
        <w:pStyle w:val="SC2"/>
        <w:rPr>
          <w:rFonts w:asciiTheme="minorHAnsi" w:hAnsiTheme="minorHAnsi" w:cstheme="minorHAnsi"/>
          <w:bCs/>
        </w:rPr>
      </w:pPr>
      <w:r w:rsidRPr="00B845AF">
        <w:rPr>
          <w:rFonts w:asciiTheme="minorHAnsi" w:hAnsiTheme="minorHAnsi" w:cstheme="minorHAnsi"/>
        </w:rPr>
        <w:t>FAD Impacts</w:t>
      </w:r>
    </w:p>
    <w:p w14:paraId="79C5E600" w14:textId="3D01C6D8" w:rsidR="00CE049C" w:rsidRPr="00B845AF" w:rsidRDefault="00082EEF" w:rsidP="00FF2717">
      <w:pPr>
        <w:pStyle w:val="SC3"/>
        <w:rPr>
          <w:rFonts w:asciiTheme="minorHAnsi" w:hAnsiTheme="minorHAnsi" w:cstheme="minorHAnsi"/>
        </w:rPr>
      </w:pPr>
      <w:r w:rsidRPr="00B845AF">
        <w:rPr>
          <w:rFonts w:asciiTheme="minorHAnsi" w:hAnsiTheme="minorHAnsi" w:cstheme="minorHAnsi"/>
        </w:rPr>
        <w:t xml:space="preserve">Research on non-entangling </w:t>
      </w:r>
      <w:r w:rsidR="000178DC" w:rsidRPr="00B845AF">
        <w:rPr>
          <w:rFonts w:asciiTheme="minorHAnsi" w:hAnsiTheme="minorHAnsi" w:cstheme="minorHAnsi"/>
        </w:rPr>
        <w:t xml:space="preserve">and </w:t>
      </w:r>
      <w:r w:rsidRPr="00B845AF">
        <w:rPr>
          <w:rFonts w:asciiTheme="minorHAnsi" w:hAnsiTheme="minorHAnsi" w:cstheme="minorHAnsi"/>
        </w:rPr>
        <w:t>biodegradable FADs</w:t>
      </w:r>
    </w:p>
    <w:p w14:paraId="47A25624" w14:textId="77777777" w:rsidR="00DD2A36" w:rsidRPr="00B845AF" w:rsidRDefault="00CF15B8">
      <w:pPr>
        <w:pStyle w:val="SCtext"/>
        <w:rPr>
          <w:rFonts w:asciiTheme="minorHAnsi" w:hAnsiTheme="minorHAnsi" w:cstheme="minorHAnsi"/>
          <w:lang w:val="en-US"/>
        </w:rPr>
      </w:pPr>
      <w:r w:rsidRPr="00B845AF">
        <w:rPr>
          <w:rFonts w:asciiTheme="minorHAnsi" w:hAnsiTheme="minorHAnsi" w:cstheme="minorHAnsi"/>
          <w:lang w:val="en-US"/>
        </w:rPr>
        <w:t xml:space="preserve">L. Escalle (SPC-OFP) presented an update on WCPFC Projects 110 and 110a, which trial non-entangling and biodegradable drifting FADs (dFADs), known as jelly-FADs, in the WCPO, in collaboration with the International Seafood Sustainability Foundation (ISSF) and its NOAA-funded Bycatch Reduction Engineering Program (BREP) with the US purse seine fleet. </w:t>
      </w:r>
    </w:p>
    <w:p w14:paraId="6B08D1BC" w14:textId="77777777" w:rsidR="00DD2A36" w:rsidRPr="00B845AF" w:rsidRDefault="00DD2A36" w:rsidP="00DD2A36">
      <w:pPr>
        <w:pStyle w:val="SCtext"/>
        <w:numPr>
          <w:ilvl w:val="0"/>
          <w:numId w:val="0"/>
        </w:numPr>
        <w:rPr>
          <w:rFonts w:asciiTheme="minorHAnsi" w:hAnsiTheme="minorHAnsi" w:cstheme="minorHAnsi"/>
          <w:lang w:val="en-US"/>
        </w:rPr>
      </w:pPr>
    </w:p>
    <w:p w14:paraId="0FB23002" w14:textId="39CF9160" w:rsidR="0084367A" w:rsidRPr="00B845AF" w:rsidRDefault="00CF15B8" w:rsidP="00DD2A3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It was reported that 673 jelly-FADs have been constructed across the two projects, of which 455 have been deployed, involving eight fleets and more than 56 vessels, with monitoring periods averaging nine months and up to nearly three years. Jelly-FADs and paired conventional dFADs showed similar drift speeds and tuna aggregation patterns, with biomass peaking around two months post-deployment, although catch per set was lower on jelly-FADs (34.8 t average across 46 sets) than on conventional dFADs (68.2 t average across 64 sets), with jelly-FAD catch rates comparable to the broader WCPO dFAD fleet median of 30 to 35 t per set over 2023 to 2025. The SSP noted that jelly-FAD </w:t>
      </w:r>
      <w:proofErr w:type="gramStart"/>
      <w:r w:rsidRPr="00B845AF">
        <w:rPr>
          <w:rFonts w:asciiTheme="minorHAnsi" w:hAnsiTheme="minorHAnsi" w:cstheme="minorHAnsi"/>
          <w:lang w:val="en-US"/>
        </w:rPr>
        <w:t>condition</w:t>
      </w:r>
      <w:proofErr w:type="gramEnd"/>
      <w:r w:rsidRPr="00B845AF">
        <w:rPr>
          <w:rFonts w:asciiTheme="minorHAnsi" w:hAnsiTheme="minorHAnsi" w:cstheme="minorHAnsi"/>
          <w:lang w:val="en-US"/>
        </w:rPr>
        <w:t xml:space="preserve"> remained generally good up to four months, though visitation and setting rates on jelly-FADs remain low, limiting conclusions on longer-term degradation, and that no sets or visits have yet been recorded on either dFAD type beyond six months post-deployment. The SSP stated that the projects are expected to be completed by January 2027, with a final report to be provided to SC23, and that results support the feasibility and availability of biodegradable materials for a transition to non-entangling and biodegradable dFADs in the WCPO, consistent with the staged transition proposed by the FADMO-IWG for adoption in 2026.</w:t>
      </w:r>
    </w:p>
    <w:p w14:paraId="66985CC2" w14:textId="7E2B6CEB" w:rsidR="00CF15B8" w:rsidRPr="00B845AF" w:rsidRDefault="00CF15B8" w:rsidP="00CF15B8">
      <w:pPr>
        <w:pStyle w:val="SCtext"/>
        <w:numPr>
          <w:ilvl w:val="0"/>
          <w:numId w:val="0"/>
        </w:numPr>
        <w:rPr>
          <w:rFonts w:asciiTheme="minorHAnsi" w:hAnsiTheme="minorHAnsi" w:cstheme="minorHAnsi"/>
          <w:lang w:val="en-US"/>
        </w:rPr>
      </w:pPr>
    </w:p>
    <w:p w14:paraId="4BC544D0" w14:textId="120D6885" w:rsidR="00CF15B8" w:rsidRPr="00B845AF" w:rsidRDefault="00CF15B8" w:rsidP="00CF15B8">
      <w:pPr>
        <w:pStyle w:val="SCDR"/>
        <w:rPr>
          <w:rFonts w:asciiTheme="minorHAnsi" w:hAnsiTheme="minorHAnsi" w:cstheme="minorHAnsi"/>
        </w:rPr>
      </w:pPr>
      <w:r w:rsidRPr="00B845AF">
        <w:rPr>
          <w:rFonts w:asciiTheme="minorHAnsi" w:hAnsiTheme="minorHAnsi" w:cstheme="minorHAnsi"/>
        </w:rPr>
        <w:t>Discussion</w:t>
      </w:r>
    </w:p>
    <w:p w14:paraId="325D366C" w14:textId="037F1EF7" w:rsidR="00CF15B8" w:rsidRPr="00B845AF" w:rsidRDefault="00846327">
      <w:pPr>
        <w:pStyle w:val="SCtext"/>
        <w:rPr>
          <w:rFonts w:asciiTheme="minorHAnsi" w:hAnsiTheme="minorHAnsi" w:cstheme="minorHAnsi"/>
          <w:lang w:val="en-US"/>
        </w:rPr>
      </w:pPr>
      <w:r w:rsidRPr="00B845AF">
        <w:rPr>
          <w:rFonts w:asciiTheme="minorHAnsi" w:hAnsiTheme="minorHAnsi" w:cstheme="minorHAnsi"/>
          <w:lang w:val="en-US"/>
        </w:rPr>
        <w:t xml:space="preserve">French Polynesia welcomed the substantial work undertaken on the project by SSP and its </w:t>
      </w:r>
      <w:r w:rsidR="004E2763" w:rsidRPr="00B845AF">
        <w:rPr>
          <w:rFonts w:asciiTheme="minorHAnsi" w:hAnsiTheme="minorHAnsi" w:cstheme="minorHAnsi"/>
          <w:lang w:val="en-US"/>
        </w:rPr>
        <w:t>partners and</w:t>
      </w:r>
      <w:r w:rsidRPr="00B845AF">
        <w:rPr>
          <w:rFonts w:asciiTheme="minorHAnsi" w:hAnsiTheme="minorHAnsi" w:cstheme="minorHAnsi"/>
          <w:lang w:val="en-US"/>
        </w:rPr>
        <w:t xml:space="preserve"> acknowledged the contribution of participating fishing companies and crews. French Polynesia stated that the progress achieved provides encouraging results and demonstrates the operational feasibility of implementing non-entangling and biodegradable dFADs in the WCPO, noting that these devices can achieve comparable operational performance while helping to address concerns related to marine pollution, dFAD loss, and impacts on vulnerable coastal and coral reef ecosystems. As a Pacific Island territory directly affected by drifting FAD impacts despite not using dFADs in its domestic fisheries, French Polynesia stated it strongly supports continued progress toward a staged transition to fully non-entangling and biodegradable </w:t>
      </w:r>
      <w:r w:rsidR="004E2763" w:rsidRPr="00B845AF">
        <w:rPr>
          <w:rFonts w:asciiTheme="minorHAnsi" w:hAnsiTheme="minorHAnsi" w:cstheme="minorHAnsi"/>
          <w:lang w:val="en-US"/>
        </w:rPr>
        <w:t>dFADs and</w:t>
      </w:r>
      <w:r w:rsidRPr="00B845AF">
        <w:rPr>
          <w:rFonts w:asciiTheme="minorHAnsi" w:hAnsiTheme="minorHAnsi" w:cstheme="minorHAnsi"/>
          <w:lang w:val="en-US"/>
        </w:rPr>
        <w:t xml:space="preserve"> recognized the need to develop practical and cost-effective measures to monitor and verify implementation.</w:t>
      </w:r>
    </w:p>
    <w:p w14:paraId="348DBB4E" w14:textId="77777777" w:rsidR="00846327" w:rsidRPr="00B845AF" w:rsidRDefault="00846327" w:rsidP="00846327">
      <w:pPr>
        <w:pStyle w:val="SCtext"/>
        <w:numPr>
          <w:ilvl w:val="0"/>
          <w:numId w:val="0"/>
        </w:numPr>
        <w:rPr>
          <w:rFonts w:asciiTheme="minorHAnsi" w:hAnsiTheme="minorHAnsi" w:cstheme="minorHAnsi"/>
          <w:lang w:val="en-US"/>
        </w:rPr>
      </w:pPr>
    </w:p>
    <w:p w14:paraId="78C8A0B3" w14:textId="3ED3AB85" w:rsidR="00846327" w:rsidRPr="00B845AF" w:rsidRDefault="00846327">
      <w:pPr>
        <w:pStyle w:val="SCtext"/>
        <w:rPr>
          <w:rFonts w:asciiTheme="minorHAnsi" w:hAnsiTheme="minorHAnsi" w:cstheme="minorHAnsi"/>
          <w:lang w:val="en-US"/>
        </w:rPr>
      </w:pPr>
      <w:r w:rsidRPr="00B845AF">
        <w:rPr>
          <w:rFonts w:asciiTheme="minorHAnsi" w:hAnsiTheme="minorHAnsi" w:cstheme="minorHAnsi"/>
          <w:lang w:val="en-US"/>
        </w:rPr>
        <w:t xml:space="preserve">China thanked the SSP for the comprehensive work on the project, noting that conducting the trial at sea is not easy, particularly given the challenge of ensuring vessel operators consistently follow the experimental protocols. China made two suggestions. First, that vessel-reported catch be cross-checked against observer data where available, to provide independent validation. Second, given that the number </w:t>
      </w:r>
      <w:r w:rsidRPr="00B845AF">
        <w:rPr>
          <w:rFonts w:asciiTheme="minorHAnsi" w:hAnsiTheme="minorHAnsi" w:cstheme="minorHAnsi"/>
          <w:lang w:val="en-US"/>
        </w:rPr>
        <w:lastRenderedPageBreak/>
        <w:t>of fishing sets is still limited, biomass estimates from the echosounder buoys may provide a broader and more robust basis for comparing the performance of different dFAD designs, while noting that these biomass estimates carry their own biases and may not directly correspond to catch, since other factors can affect fishing success; China suggested examining the relationship between echosounder-derived biomass and actual catch and calibrating the acoustic estimates against observed catches to better reflect fishing performance.</w:t>
      </w:r>
      <w:r w:rsidR="00083321" w:rsidRPr="00B845AF">
        <w:rPr>
          <w:rFonts w:asciiTheme="minorHAnsi" w:hAnsiTheme="minorHAnsi" w:cstheme="minorHAnsi"/>
          <w:lang w:val="en-US"/>
        </w:rPr>
        <w:t xml:space="preserve"> The SSP thanked China for both suggestions and stated they would be taken into consideration. On the echosounder data, the SSP agreed that comparing trends in biomass, rather than absolute tonnage values, between dFAD types is informative, since similar trends indicate similar tuna aggregation, and stated that the suggestion to compare against actual catch on the same dFADs would also be taken up.</w:t>
      </w:r>
    </w:p>
    <w:p w14:paraId="1EDC3211" w14:textId="77777777" w:rsidR="00083321" w:rsidRPr="00B845AF" w:rsidRDefault="00083321" w:rsidP="00083321">
      <w:pPr>
        <w:pStyle w:val="SCtext"/>
        <w:numPr>
          <w:ilvl w:val="0"/>
          <w:numId w:val="0"/>
        </w:numPr>
        <w:rPr>
          <w:rFonts w:asciiTheme="minorHAnsi" w:hAnsiTheme="minorHAnsi" w:cstheme="minorHAnsi"/>
          <w:lang w:val="en-US"/>
        </w:rPr>
      </w:pPr>
    </w:p>
    <w:p w14:paraId="62C3C6C7" w14:textId="12CE348C" w:rsidR="00083321" w:rsidRPr="00B845AF" w:rsidRDefault="00083321">
      <w:pPr>
        <w:pStyle w:val="SCtext"/>
        <w:rPr>
          <w:rFonts w:asciiTheme="minorHAnsi" w:hAnsiTheme="minorHAnsi" w:cstheme="minorHAnsi"/>
          <w:lang w:val="en-US"/>
        </w:rPr>
      </w:pPr>
      <w:r w:rsidRPr="00B845AF">
        <w:rPr>
          <w:rFonts w:asciiTheme="minorHAnsi" w:hAnsiTheme="minorHAnsi" w:cstheme="minorHAnsi"/>
          <w:lang w:val="en-US"/>
        </w:rPr>
        <w:t>The EU thanked the SSP for the presentation, stating the work is central to advancing the implementation of non-entangling and biodegradable dFADs, and acknowledged the associated logistical challenges. The EU noted that the larger sample size in the current trial confirms earlier SC21 results on dFAD duration, biomass aggregation, and drift speed, but that a significant difference in catch rates and number of sets between conventional and jelly-FADs was apparent, which contrasts with the echosounder-derived information; the EU stated it would support China's suggestion to examine the echosounder records further, noting that the current sample size does not allow a formal statistical test to rule out other explanatory factors. The EU asked what might explain the observed difference in sets and catch rates between conventional dFADs and jelly-FADs. The EU also asked the SSP to comment on skippers' perceptions of the new dFAD designs, noting that successful implementation is likely to depend on user acceptance. The EU further asked the SSP to confirm whether it was correct that approximately 50% of conventional dFADs had stopped transmitting within three months of deployment.</w:t>
      </w:r>
    </w:p>
    <w:p w14:paraId="0BC29B54" w14:textId="77777777" w:rsidR="00083321" w:rsidRPr="00B845AF" w:rsidRDefault="00083321" w:rsidP="00083321">
      <w:pPr>
        <w:pStyle w:val="SCtext"/>
        <w:numPr>
          <w:ilvl w:val="0"/>
          <w:numId w:val="0"/>
        </w:numPr>
        <w:rPr>
          <w:rFonts w:asciiTheme="minorHAnsi" w:hAnsiTheme="minorHAnsi" w:cstheme="minorHAnsi"/>
          <w:lang w:val="en-US"/>
        </w:rPr>
      </w:pPr>
    </w:p>
    <w:p w14:paraId="1011B80B" w14:textId="0E06E66D" w:rsidR="00083321" w:rsidRPr="00B845AF" w:rsidRDefault="00083321">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to the EU’s questions. On the difference in catch rates, the SSP stated that results were more similar in the EPO trial, and that the WCPO difference reflects the influence of a small number of particular fleets with very high catches on both conventional and jelly-FADs a few years earlier, including one set of 260 tonnes, which pulled up the conventional dFAD average given the still-limited sample of 64 sets; the SSP offered to provide further detail on the distribution of catches for both dFAD types. On user acceptance, the SSP stated that a survey of fishing companies is planned before the end of the project to gather direct feedback, but noted that in offering fishers a choice between the cubic and cylindrical jelly-FAD designs, a clear preference toward the cylindrical design was observed, and that fishers who are enthusiastic about testing a design tend to produce better trial results because they are more likely to revisit the dFAD; the SSP stated that a future phase of work would involve working with fishers to refine the design based on their feedback. On the transmission question, the SSP confirmed that approximately 50% of both jelly-FADs and conventional dFADs were no longer </w:t>
      </w:r>
      <w:proofErr w:type="gramStart"/>
      <w:r w:rsidRPr="00B845AF">
        <w:rPr>
          <w:rFonts w:asciiTheme="minorHAnsi" w:hAnsiTheme="minorHAnsi" w:cstheme="minorHAnsi"/>
          <w:lang w:val="en-US"/>
        </w:rPr>
        <w:t>transmitting</w:t>
      </w:r>
      <w:proofErr w:type="gramEnd"/>
      <w:r w:rsidRPr="00B845AF">
        <w:rPr>
          <w:rFonts w:asciiTheme="minorHAnsi" w:hAnsiTheme="minorHAnsi" w:cstheme="minorHAnsi"/>
          <w:lang w:val="en-US"/>
        </w:rPr>
        <w:t xml:space="preserve"> after six months, not three months as the EU had queried.</w:t>
      </w:r>
    </w:p>
    <w:p w14:paraId="39C29653" w14:textId="77777777" w:rsidR="00083321" w:rsidRPr="00B845AF" w:rsidRDefault="00083321" w:rsidP="00083321">
      <w:pPr>
        <w:pStyle w:val="SCtext"/>
        <w:numPr>
          <w:ilvl w:val="0"/>
          <w:numId w:val="0"/>
        </w:numPr>
        <w:rPr>
          <w:rFonts w:asciiTheme="minorHAnsi" w:hAnsiTheme="minorHAnsi" w:cstheme="minorHAnsi"/>
          <w:lang w:val="en-US"/>
        </w:rPr>
      </w:pPr>
    </w:p>
    <w:p w14:paraId="5D57D804" w14:textId="26302C9D" w:rsidR="00083321" w:rsidRPr="00B845AF" w:rsidRDefault="00083321">
      <w:pPr>
        <w:pStyle w:val="SCtext"/>
        <w:rPr>
          <w:rFonts w:asciiTheme="minorHAnsi" w:hAnsiTheme="minorHAnsi" w:cstheme="minorHAnsi"/>
          <w:lang w:val="en-US"/>
        </w:rPr>
      </w:pPr>
      <w:r w:rsidRPr="00B845AF">
        <w:rPr>
          <w:rFonts w:asciiTheme="minorHAnsi" w:hAnsiTheme="minorHAnsi" w:cstheme="minorHAnsi"/>
          <w:lang w:val="en-US"/>
        </w:rPr>
        <w:t xml:space="preserve">Cook Islands, on behalf of the FFA members, thanked the SSP, CCMs, industry partners, and funding partners supporting Projects 110 and 110a. FFA members stated that effective dFAD management and reducing marine pollution remain high priorities, noting that FFA members are disproportionately affected by marine debris while many, particularly remote island and atoll states, also rely heavily on dFAD fisheries. FFA members stated they have consistently promoted the responsible management of dFADs to balance environmental protection with sustainable fisheries and food security, and acknowledged the substantial scientific work undertaken through Projects 110 and 110a as a good example of the scientific process that should underpin the development of ecosystem and bycatch measures within the Commission, whereby management decisions are progressively informed by dedicated research, field </w:t>
      </w:r>
      <w:r w:rsidRPr="00B845AF">
        <w:rPr>
          <w:rFonts w:asciiTheme="minorHAnsi" w:hAnsiTheme="minorHAnsi" w:cstheme="minorHAnsi"/>
          <w:lang w:val="en-US"/>
        </w:rPr>
        <w:lastRenderedPageBreak/>
        <w:t>trials, and evaluation before broader implementation is considered. Cook Islands then referred to PNG to complete the FFA intervention.</w:t>
      </w:r>
    </w:p>
    <w:p w14:paraId="212C4E7D" w14:textId="77777777" w:rsidR="008620EB" w:rsidRPr="00B845AF" w:rsidRDefault="008620EB" w:rsidP="008620EB">
      <w:pPr>
        <w:pStyle w:val="SCtext"/>
        <w:numPr>
          <w:ilvl w:val="0"/>
          <w:numId w:val="0"/>
        </w:numPr>
        <w:rPr>
          <w:rFonts w:asciiTheme="minorHAnsi" w:hAnsiTheme="minorHAnsi" w:cstheme="minorHAnsi"/>
          <w:lang w:val="en-US"/>
        </w:rPr>
      </w:pPr>
    </w:p>
    <w:p w14:paraId="32B00803" w14:textId="1F27AA6E" w:rsidR="008620EB" w:rsidRPr="00B845AF" w:rsidRDefault="008620EB">
      <w:pPr>
        <w:pStyle w:val="SCtext"/>
        <w:rPr>
          <w:rFonts w:asciiTheme="minorHAnsi" w:hAnsiTheme="minorHAnsi" w:cstheme="minorHAnsi"/>
          <w:lang w:val="en-US"/>
        </w:rPr>
      </w:pPr>
      <w:r w:rsidRPr="00B845AF">
        <w:rPr>
          <w:rFonts w:asciiTheme="minorHAnsi" w:hAnsiTheme="minorHAnsi" w:cstheme="minorHAnsi"/>
          <w:lang w:val="en-US"/>
        </w:rPr>
        <w:t>PNG, on behalf of the FFA members, noted that the final reports for Projects 110 and 110a will be available in 2027, and that available scientific evidence indicates a stepwise introduction of biodegradable dFADs is technically feasible. FFA members stated that any such introduction should continue to be accompanied by scientific monitoring and evaluation as further evidence becomes available. FFA members stated it would be appropriate for SC22 to recommend that the FADMO-IWG continue considering this issue, with the SSP undertaking further work to evaluate the availability and suitability of biodegradable materials and associated supply chains, the cost of biodegradable dFAD construction and deployment, the durability and operational performance of biodegradable dFADs under commercial fishing conditions, effectiveness in aggregating tuna and any implications for fishery performance, and practical methods to monitor and verify biodegradable materials and designs during implementation. FFA members emphasized that implementation should explicitly consider the special requirements of CCMs consistent with Article 30 of the Convention, with particular attention to challenges faced by remote island and atoll members, where suitable biodegradable materials may not be readily available, supply chains may be limited, and transition costs may be disproportionately high; FFA members stated that continued research, technical assistance, and implementation support should be directed to these members before broader implementation is considered. FFA members stated their strong support for continued research and collaboration with industry, research institutions, and members.</w:t>
      </w:r>
    </w:p>
    <w:p w14:paraId="4FC1F81B" w14:textId="77777777" w:rsidR="008620EB" w:rsidRPr="00B845AF" w:rsidRDefault="008620EB" w:rsidP="008620EB">
      <w:pPr>
        <w:pStyle w:val="SCtext"/>
        <w:numPr>
          <w:ilvl w:val="0"/>
          <w:numId w:val="0"/>
        </w:numPr>
        <w:rPr>
          <w:rFonts w:asciiTheme="minorHAnsi" w:hAnsiTheme="minorHAnsi" w:cstheme="minorHAnsi"/>
          <w:lang w:val="en-US"/>
        </w:rPr>
      </w:pPr>
    </w:p>
    <w:p w14:paraId="3C017664" w14:textId="67BF8C5D" w:rsidR="008620EB" w:rsidRPr="00B845AF" w:rsidRDefault="008620EB">
      <w:pPr>
        <w:pStyle w:val="SCtext"/>
        <w:rPr>
          <w:rFonts w:asciiTheme="minorHAnsi" w:hAnsiTheme="minorHAnsi" w:cstheme="minorHAnsi"/>
          <w:lang w:val="en-US"/>
        </w:rPr>
      </w:pPr>
      <w:r w:rsidRPr="00B845AF">
        <w:rPr>
          <w:rFonts w:asciiTheme="minorHAnsi" w:hAnsiTheme="minorHAnsi" w:cstheme="minorHAnsi"/>
          <w:lang w:val="en-US"/>
        </w:rPr>
        <w:t xml:space="preserve">The USA stated appreciation for the comprehensive work and ongoing </w:t>
      </w:r>
      <w:r w:rsidR="004E2763" w:rsidRPr="00B845AF">
        <w:rPr>
          <w:rFonts w:asciiTheme="minorHAnsi" w:hAnsiTheme="minorHAnsi" w:cstheme="minorHAnsi"/>
          <w:lang w:val="en-US"/>
        </w:rPr>
        <w:t>trials and</w:t>
      </w:r>
      <w:r w:rsidRPr="00B845AF">
        <w:rPr>
          <w:rFonts w:asciiTheme="minorHAnsi" w:hAnsiTheme="minorHAnsi" w:cstheme="minorHAnsi"/>
          <w:lang w:val="en-US"/>
        </w:rPr>
        <w:t xml:space="preserve"> was pleased to see increased industry participation and progress. The USA noted the paper</w:t>
      </w:r>
      <w:r w:rsidR="0004644D" w:rsidRPr="00B845AF">
        <w:rPr>
          <w:rFonts w:asciiTheme="minorHAnsi" w:hAnsiTheme="minorHAnsi" w:cstheme="minorHAnsi"/>
          <w:lang w:val="en-US"/>
        </w:rPr>
        <w:t>’</w:t>
      </w:r>
      <w:r w:rsidRPr="00B845AF">
        <w:rPr>
          <w:rFonts w:asciiTheme="minorHAnsi" w:hAnsiTheme="minorHAnsi" w:cstheme="minorHAnsi"/>
          <w:lang w:val="en-US"/>
        </w:rPr>
        <w:t xml:space="preserve">s finding that large deployments are needed to produce meaningful </w:t>
      </w:r>
      <w:r w:rsidR="004E2763" w:rsidRPr="00B845AF">
        <w:rPr>
          <w:rFonts w:asciiTheme="minorHAnsi" w:hAnsiTheme="minorHAnsi" w:cstheme="minorHAnsi"/>
          <w:lang w:val="en-US"/>
        </w:rPr>
        <w:t>results and</w:t>
      </w:r>
      <w:r w:rsidRPr="00B845AF">
        <w:rPr>
          <w:rFonts w:asciiTheme="minorHAnsi" w:hAnsiTheme="minorHAnsi" w:cstheme="minorHAnsi"/>
          <w:lang w:val="en-US"/>
        </w:rPr>
        <w:t xml:space="preserve"> stated that its fleet has had limited success with biodegradable jelly-FADs, particularly the box-shaped design. The USA stated that its fleet has reported that the current active FAD limit does not incentivize vessel participation, since biodegradable dFADs count against a vessel</w:t>
      </w:r>
      <w:r w:rsidR="0004644D" w:rsidRPr="00B845AF">
        <w:rPr>
          <w:rFonts w:asciiTheme="minorHAnsi" w:hAnsiTheme="minorHAnsi" w:cstheme="minorHAnsi"/>
          <w:lang w:val="en-US"/>
        </w:rPr>
        <w:t>’</w:t>
      </w:r>
      <w:r w:rsidRPr="00B845AF">
        <w:rPr>
          <w:rFonts w:asciiTheme="minorHAnsi" w:hAnsiTheme="minorHAnsi" w:cstheme="minorHAnsi"/>
          <w:lang w:val="en-US"/>
        </w:rPr>
        <w:t>s limit despite being viewed as less productive than conventional dFADs. The USA noted its fleet</w:t>
      </w:r>
      <w:r w:rsidR="0004644D" w:rsidRPr="00B845AF">
        <w:rPr>
          <w:rFonts w:asciiTheme="minorHAnsi" w:hAnsiTheme="minorHAnsi" w:cstheme="minorHAnsi"/>
          <w:lang w:val="en-US"/>
        </w:rPr>
        <w:t>’</w:t>
      </w:r>
      <w:r w:rsidRPr="00B845AF">
        <w:rPr>
          <w:rFonts w:asciiTheme="minorHAnsi" w:hAnsiTheme="minorHAnsi" w:cstheme="minorHAnsi"/>
          <w:lang w:val="en-US"/>
        </w:rPr>
        <w:t xml:space="preserve">s interest in testing the cylindrical jelly-FAD design but reported delays in receiving </w:t>
      </w:r>
      <w:r w:rsidR="004E2763" w:rsidRPr="00B845AF">
        <w:rPr>
          <w:rFonts w:asciiTheme="minorHAnsi" w:hAnsiTheme="minorHAnsi" w:cstheme="minorHAnsi"/>
          <w:lang w:val="en-US"/>
        </w:rPr>
        <w:t>materials and</w:t>
      </w:r>
      <w:r w:rsidRPr="00B845AF">
        <w:rPr>
          <w:rFonts w:asciiTheme="minorHAnsi" w:hAnsiTheme="minorHAnsi" w:cstheme="minorHAnsi"/>
          <w:lang w:val="en-US"/>
        </w:rPr>
        <w:t xml:space="preserve"> requested updates on trial results as they become available. The USA stated that its fleet does not believe that buoy monitoring time, as used in the paper to evaluate dFAD lifespan, correlates well with the productive lifespan of the dFAD structure itself, noting that buoys continued transmitting even after the dFAD structure had degraded within two to three months between visits. The USA stated that studies could progress with significantly less burden on fleets if an allowance were made to incentivize biodegradable dFAD deployment trials without counting against vessel FAD limits.</w:t>
      </w:r>
    </w:p>
    <w:p w14:paraId="769ACDDA" w14:textId="77777777" w:rsidR="0004644D" w:rsidRPr="00B845AF" w:rsidRDefault="0004644D" w:rsidP="0004644D">
      <w:pPr>
        <w:pStyle w:val="SCtext"/>
        <w:numPr>
          <w:ilvl w:val="0"/>
          <w:numId w:val="0"/>
        </w:numPr>
        <w:rPr>
          <w:rFonts w:asciiTheme="minorHAnsi" w:hAnsiTheme="minorHAnsi" w:cstheme="minorHAnsi"/>
          <w:lang w:val="en-US"/>
        </w:rPr>
      </w:pPr>
    </w:p>
    <w:p w14:paraId="7919BAD4" w14:textId="3A78A985" w:rsidR="0004644D" w:rsidRPr="00B845AF" w:rsidRDefault="0004644D">
      <w:pPr>
        <w:pStyle w:val="SCtext"/>
        <w:rPr>
          <w:rFonts w:asciiTheme="minorHAnsi" w:hAnsiTheme="minorHAnsi" w:cstheme="minorHAnsi"/>
          <w:lang w:val="en-US"/>
        </w:rPr>
      </w:pPr>
      <w:r w:rsidRPr="00B845AF">
        <w:rPr>
          <w:rFonts w:asciiTheme="minorHAnsi" w:hAnsiTheme="minorHAnsi" w:cstheme="minorHAnsi"/>
          <w:lang w:val="en-US"/>
        </w:rPr>
        <w:t xml:space="preserve">Wallis and Futuna expressed support for and alignment with the points raised by French </w:t>
      </w:r>
      <w:r w:rsidR="004E2763" w:rsidRPr="00B845AF">
        <w:rPr>
          <w:rFonts w:asciiTheme="minorHAnsi" w:hAnsiTheme="minorHAnsi" w:cstheme="minorHAnsi"/>
          <w:lang w:val="en-US"/>
        </w:rPr>
        <w:t>Polynesia and</w:t>
      </w:r>
      <w:r w:rsidRPr="00B845AF">
        <w:rPr>
          <w:rFonts w:asciiTheme="minorHAnsi" w:hAnsiTheme="minorHAnsi" w:cstheme="minorHAnsi"/>
          <w:lang w:val="en-US"/>
        </w:rPr>
        <w:t xml:space="preserve"> expressed full support for the initiatives and developments presented, noting that Wallis and Futuna is working on this issue and on longer-term efforts to reduce marine debris in its waters.</w:t>
      </w:r>
    </w:p>
    <w:p w14:paraId="778055DD" w14:textId="77777777" w:rsidR="0004644D" w:rsidRPr="00B845AF" w:rsidRDefault="0004644D" w:rsidP="0004644D">
      <w:pPr>
        <w:pStyle w:val="SCtext"/>
        <w:numPr>
          <w:ilvl w:val="0"/>
          <w:numId w:val="0"/>
        </w:numPr>
        <w:rPr>
          <w:rFonts w:asciiTheme="minorHAnsi" w:hAnsiTheme="minorHAnsi" w:cstheme="minorHAnsi"/>
          <w:lang w:val="en-US"/>
        </w:rPr>
      </w:pPr>
    </w:p>
    <w:p w14:paraId="168143E1" w14:textId="420C3612" w:rsidR="0004644D" w:rsidRPr="00B845AF" w:rsidRDefault="0004644D">
      <w:pPr>
        <w:pStyle w:val="SCtext"/>
        <w:rPr>
          <w:rFonts w:asciiTheme="minorHAnsi" w:hAnsiTheme="minorHAnsi" w:cstheme="minorHAnsi"/>
          <w:lang w:val="en-US"/>
        </w:rPr>
      </w:pPr>
      <w:r w:rsidRPr="00B845AF">
        <w:rPr>
          <w:rFonts w:asciiTheme="minorHAnsi" w:hAnsiTheme="minorHAnsi" w:cstheme="minorHAnsi"/>
          <w:lang w:val="en-US"/>
        </w:rPr>
        <w:t xml:space="preserve">Tuvalu, on behalf of the PNA and Vanuatu, expressed strong support for the work under Project 110, thanking SPC for leading the project and all who supported and contributed to the trials. The PNA and Vanuatu stated support for the FFA statement and general support for the recommendations and related projects set out in the updated FAD research </w:t>
      </w:r>
      <w:r w:rsidR="004E2763" w:rsidRPr="00B845AF">
        <w:rPr>
          <w:rFonts w:asciiTheme="minorHAnsi" w:hAnsiTheme="minorHAnsi" w:cstheme="minorHAnsi"/>
          <w:lang w:val="en-US"/>
        </w:rPr>
        <w:t>plan and</w:t>
      </w:r>
      <w:r w:rsidRPr="00B845AF">
        <w:rPr>
          <w:rFonts w:asciiTheme="minorHAnsi" w:hAnsiTheme="minorHAnsi" w:cstheme="minorHAnsi"/>
          <w:lang w:val="en-US"/>
        </w:rPr>
        <w:t xml:space="preserve"> noted that comments on the paper had been provided via the ODF. The PNA and Vanuatu raised concern about the lack of availability of biodegradable dFAD materials in the ports of atoll countries, which make up a major part of the PNA. The PNA and Vanuatu noted that paragraph 19 of the tropical tuna measure calls for SC to provide advice to WCPFC23 on the adoption of measures for the implementation of biodegradable materials in </w:t>
      </w:r>
      <w:proofErr w:type="gramStart"/>
      <w:r w:rsidRPr="00B845AF">
        <w:rPr>
          <w:rFonts w:asciiTheme="minorHAnsi" w:hAnsiTheme="minorHAnsi" w:cstheme="minorHAnsi"/>
          <w:lang w:val="en-US"/>
        </w:rPr>
        <w:t>FADs, and</w:t>
      </w:r>
      <w:proofErr w:type="gramEnd"/>
      <w:r w:rsidRPr="00B845AF">
        <w:rPr>
          <w:rFonts w:asciiTheme="minorHAnsi" w:hAnsiTheme="minorHAnsi" w:cstheme="minorHAnsi"/>
          <w:lang w:val="en-US"/>
        </w:rPr>
        <w:t xml:space="preserve"> recommended that SC advise the Commission that further work is needed before scientific advice can be </w:t>
      </w:r>
      <w:r w:rsidRPr="00B845AF">
        <w:rPr>
          <w:rFonts w:asciiTheme="minorHAnsi" w:hAnsiTheme="minorHAnsi" w:cstheme="minorHAnsi"/>
          <w:lang w:val="en-US"/>
        </w:rPr>
        <w:lastRenderedPageBreak/>
        <w:t>provided on measures for the use of biodegradable FAD materials, including work on standards for biodegradable materials and monitoring arrangements.</w:t>
      </w:r>
    </w:p>
    <w:p w14:paraId="44142E47" w14:textId="77777777" w:rsidR="0004644D" w:rsidRPr="00B845AF" w:rsidRDefault="0004644D" w:rsidP="0004644D">
      <w:pPr>
        <w:pStyle w:val="SCtext"/>
        <w:numPr>
          <w:ilvl w:val="0"/>
          <w:numId w:val="0"/>
        </w:numPr>
        <w:rPr>
          <w:rFonts w:asciiTheme="minorHAnsi" w:hAnsiTheme="minorHAnsi" w:cstheme="minorHAnsi"/>
          <w:lang w:val="en-US"/>
        </w:rPr>
      </w:pPr>
    </w:p>
    <w:p w14:paraId="1529CC0C" w14:textId="333740CC" w:rsidR="0004644D" w:rsidRPr="00B845AF" w:rsidRDefault="0004644D">
      <w:pPr>
        <w:pStyle w:val="SCtext"/>
        <w:rPr>
          <w:rFonts w:asciiTheme="minorHAnsi" w:hAnsiTheme="minorHAnsi" w:cstheme="minorHAnsi"/>
          <w:lang w:val="en-US"/>
        </w:rPr>
      </w:pPr>
      <w:r w:rsidRPr="00B845AF">
        <w:rPr>
          <w:rFonts w:asciiTheme="minorHAnsi" w:hAnsiTheme="minorHAnsi" w:cstheme="minorHAnsi"/>
          <w:lang w:val="en-US"/>
        </w:rPr>
        <w:t>ISSF stated that biodegradable FADs are particularly important to reduce the environmental impact of purse seine fisheries, and that the WCPO, as the largest tuna fishery in the world, has been at the forefront of important advances in tuna fisheries management. ISSF stated that to maintain this leadership, WCPFC should move forward with a clear, stepwise transition to biodegradable FADs, as other tuna RFMOs have already done, noting that the FADMO-IWG has specifically asked SC to provide advice on a stepwise introduction of biodegradable FADs based on this project. ISSF stated that the project provides information directly relevant to this transition and contains sufficient scientific evidence to support a stepwise transition to biodegradable FADs in the WCPO, while research continues in parallel on materials, durability standards, and monitoring. ISSF stated that, building on this body of scientific work, sufficient information is now available for SC to recommend that the Commission adopt a timeline for a stepwise transition to biodegradable FADs.</w:t>
      </w:r>
    </w:p>
    <w:p w14:paraId="57A845B6" w14:textId="77777777" w:rsidR="0047488A" w:rsidRPr="00B845AF" w:rsidRDefault="0047488A" w:rsidP="0047488A">
      <w:pPr>
        <w:pStyle w:val="ListParagraph"/>
        <w:rPr>
          <w:rFonts w:asciiTheme="minorHAnsi" w:hAnsiTheme="minorHAnsi" w:cstheme="minorHAnsi"/>
        </w:rPr>
      </w:pPr>
    </w:p>
    <w:p w14:paraId="3509C4BD" w14:textId="4F289A06" w:rsidR="0047488A" w:rsidRPr="00B845AF" w:rsidRDefault="002C431D" w:rsidP="002C431D">
      <w:pPr>
        <w:pStyle w:val="SCtext"/>
        <w:rPr>
          <w:rFonts w:asciiTheme="minorHAnsi" w:hAnsiTheme="minorHAnsi" w:cstheme="minorHAnsi"/>
          <w:lang w:val="en-US"/>
        </w:rPr>
      </w:pPr>
      <w:r w:rsidRPr="00B845AF">
        <w:rPr>
          <w:rFonts w:asciiTheme="minorHAnsi" w:hAnsiTheme="minorHAnsi" w:cstheme="minorHAnsi"/>
          <w:lang w:val="en-US"/>
        </w:rPr>
        <w:t xml:space="preserve">ISG07 met to consider the progress and proposed future directions of the FAD Research Workplan for 2027-2029, with particular focus on biodegradable and non-entangling dFADs, monitoring and data needs, mitigation measures, and dFAD recovery options. The full ISG07 report is included as </w:t>
      </w:r>
      <w:r w:rsidRPr="00B845AF">
        <w:rPr>
          <w:rFonts w:asciiTheme="minorHAnsi" w:hAnsiTheme="minorHAnsi" w:cstheme="minorHAnsi"/>
          <w:b/>
          <w:bCs/>
          <w:lang w:val="en-US"/>
        </w:rPr>
        <w:t>Attachment</w:t>
      </w:r>
      <w:r w:rsidRPr="00B845AF">
        <w:rPr>
          <w:rFonts w:asciiTheme="minorHAnsi" w:eastAsia="MS Mincho" w:hAnsiTheme="minorHAnsi" w:cstheme="minorHAnsi"/>
          <w:b/>
          <w:bCs/>
          <w:lang w:val="en-US" w:eastAsia="ja-JP"/>
        </w:rPr>
        <w:t xml:space="preserve"> </w:t>
      </w:r>
      <w:r w:rsidR="00A4056D" w:rsidRPr="00B845AF">
        <w:rPr>
          <w:rFonts w:asciiTheme="minorHAnsi" w:eastAsia="MS Mincho" w:hAnsiTheme="minorHAnsi" w:cstheme="minorHAnsi"/>
          <w:b/>
          <w:bCs/>
          <w:lang w:val="en-US" w:eastAsia="ja-JP"/>
        </w:rPr>
        <w:t>K</w:t>
      </w:r>
      <w:r w:rsidRPr="00B845AF">
        <w:rPr>
          <w:rFonts w:asciiTheme="minorHAnsi" w:eastAsia="MS Mincho" w:hAnsiTheme="minorHAnsi" w:cstheme="minorHAnsi"/>
          <w:lang w:val="en-US" w:eastAsia="ja-JP"/>
        </w:rPr>
        <w:t>.</w:t>
      </w:r>
    </w:p>
    <w:p w14:paraId="69BDAE0B" w14:textId="2CCAD754" w:rsidR="0040379D" w:rsidRPr="00B845AF" w:rsidRDefault="0040379D" w:rsidP="0040379D">
      <w:pPr>
        <w:pStyle w:val="SCtext"/>
        <w:numPr>
          <w:ilvl w:val="0"/>
          <w:numId w:val="0"/>
        </w:numPr>
        <w:rPr>
          <w:rFonts w:asciiTheme="minorHAnsi" w:hAnsiTheme="minorHAnsi" w:cstheme="minorHAnsi"/>
          <w:lang w:val="en-US"/>
        </w:rPr>
      </w:pPr>
    </w:p>
    <w:p w14:paraId="7CB38A9A" w14:textId="5C8C36AD" w:rsidR="0040379D" w:rsidRPr="00B845AF" w:rsidRDefault="0040379D" w:rsidP="0040379D">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098D9BBA" w14:textId="4ACD99EA" w:rsidR="00D2548B" w:rsidRPr="00B845AF" w:rsidRDefault="006141B2" w:rsidP="00F65668">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acknowledged the important work carried out under Projects 110 and 110a, including the increased industry participation, and noted that the final project report will be available in 2027.</w:t>
      </w:r>
    </w:p>
    <w:p w14:paraId="7472F5E8" w14:textId="77777777" w:rsidR="006141B2" w:rsidRPr="00B845AF" w:rsidRDefault="006141B2" w:rsidP="006141B2">
      <w:pPr>
        <w:pStyle w:val="SCtext"/>
        <w:numPr>
          <w:ilvl w:val="0"/>
          <w:numId w:val="0"/>
        </w:numPr>
        <w:rPr>
          <w:rFonts w:asciiTheme="minorHAnsi" w:hAnsiTheme="minorHAnsi" w:cstheme="minorHAnsi"/>
          <w:b/>
          <w:bCs/>
          <w:lang w:val="en-US"/>
        </w:rPr>
      </w:pPr>
    </w:p>
    <w:p w14:paraId="7D01F1BB" w14:textId="698339D0" w:rsidR="006141B2" w:rsidRPr="00B845AF" w:rsidRDefault="006141B2">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recommended that the SSP, in the final project report, </w:t>
      </w:r>
      <w:r w:rsidR="004E2763" w:rsidRPr="00B845AF">
        <w:rPr>
          <w:rFonts w:asciiTheme="minorHAnsi" w:hAnsiTheme="minorHAnsi" w:cstheme="minorHAnsi"/>
          <w:b/>
          <w:bCs/>
          <w:lang w:val="en-US"/>
        </w:rPr>
        <w:t>compares</w:t>
      </w:r>
      <w:r w:rsidRPr="00B845AF">
        <w:rPr>
          <w:rFonts w:asciiTheme="minorHAnsi" w:hAnsiTheme="minorHAnsi" w:cstheme="minorHAnsi"/>
          <w:b/>
          <w:bCs/>
          <w:lang w:val="en-US"/>
        </w:rPr>
        <w:t xml:space="preserve"> vessel-reported catch with observer data where available, and if possible, examine the relationship between biomass estimates from echosounder buoys and actual catch.</w:t>
      </w:r>
    </w:p>
    <w:p w14:paraId="14CBCFBA" w14:textId="77777777" w:rsidR="00F51226" w:rsidRPr="00B845AF" w:rsidRDefault="00F51226" w:rsidP="00F51226">
      <w:pPr>
        <w:pStyle w:val="SCtext"/>
        <w:numPr>
          <w:ilvl w:val="0"/>
          <w:numId w:val="0"/>
        </w:numPr>
        <w:rPr>
          <w:rFonts w:asciiTheme="minorHAnsi" w:hAnsiTheme="minorHAnsi" w:cstheme="minorHAnsi"/>
          <w:b/>
          <w:bCs/>
          <w:lang w:val="en-US"/>
        </w:rPr>
      </w:pPr>
    </w:p>
    <w:p w14:paraId="60F96AAC" w14:textId="29BD26AF" w:rsidR="00F51226" w:rsidRPr="00B845AF" w:rsidRDefault="00F51226">
      <w:pPr>
        <w:pStyle w:val="SCtext"/>
        <w:rPr>
          <w:rFonts w:asciiTheme="minorHAnsi" w:hAnsiTheme="minorHAnsi" w:cstheme="minorHAnsi"/>
          <w:lang w:val="en-US"/>
        </w:rPr>
      </w:pPr>
      <w:r w:rsidRPr="00B845AF">
        <w:rPr>
          <w:rFonts w:asciiTheme="minorHAnsi" w:hAnsiTheme="minorHAnsi" w:cstheme="minorHAnsi"/>
          <w:lang w:val="en-US"/>
        </w:rPr>
        <w:t>SC22 noted that results of WCPFC Projects 110 and 110a indicate the availability of biodegradable materials and that a transition to non-entangling and biodegradable dFADs in the WCPO is feasible to some extent while recognising that limited material availability and supply chains may make this transition disproportionately costly and challenging for remote island and atoll Members, as well as SIDS.</w:t>
      </w:r>
    </w:p>
    <w:p w14:paraId="5881BE45" w14:textId="77777777" w:rsidR="00B304C2" w:rsidRPr="00B845AF" w:rsidRDefault="00B304C2" w:rsidP="00B304C2">
      <w:pPr>
        <w:pStyle w:val="SCtext"/>
        <w:numPr>
          <w:ilvl w:val="0"/>
          <w:numId w:val="0"/>
        </w:numPr>
        <w:rPr>
          <w:rFonts w:asciiTheme="minorHAnsi" w:hAnsiTheme="minorHAnsi" w:cstheme="minorHAnsi"/>
          <w:b/>
          <w:bCs/>
          <w:lang w:val="en-US"/>
        </w:rPr>
      </w:pPr>
    </w:p>
    <w:p w14:paraId="5FED32A7" w14:textId="39B43C09" w:rsidR="00B304C2" w:rsidRPr="00B845AF" w:rsidRDefault="00B304C2">
      <w:pPr>
        <w:pStyle w:val="SCtext"/>
        <w:rPr>
          <w:rFonts w:asciiTheme="minorHAnsi" w:hAnsiTheme="minorHAnsi" w:cstheme="minorHAnsi"/>
          <w:b/>
          <w:bCs/>
          <w:lang w:val="en-US"/>
        </w:rPr>
      </w:pPr>
      <w:r w:rsidRPr="00B845AF">
        <w:rPr>
          <w:rFonts w:asciiTheme="minorHAnsi" w:hAnsiTheme="minorHAnsi" w:cstheme="minorHAnsi"/>
          <w:b/>
          <w:bCs/>
          <w:lang w:val="en-US"/>
        </w:rPr>
        <w:t>SC22 agreed, in relation to paragraph 19 of the Tropical Tuna Measure</w:t>
      </w:r>
      <w:r w:rsidR="002C431D" w:rsidRPr="00B845AF">
        <w:rPr>
          <w:rFonts w:asciiTheme="minorHAnsi" w:eastAsia="MS Mincho" w:hAnsiTheme="minorHAnsi" w:cstheme="minorHAnsi"/>
          <w:b/>
          <w:bCs/>
          <w:lang w:val="en-US" w:eastAsia="ja-JP"/>
        </w:rPr>
        <w:t xml:space="preserve"> (CMM</w:t>
      </w:r>
      <w:r w:rsidR="00774C5C" w:rsidRPr="00B845AF">
        <w:rPr>
          <w:rFonts w:asciiTheme="minorHAnsi" w:eastAsia="MS Mincho" w:hAnsiTheme="minorHAnsi" w:cstheme="minorHAnsi"/>
          <w:b/>
          <w:bCs/>
          <w:lang w:val="en-US" w:eastAsia="ja-JP"/>
        </w:rPr>
        <w:t xml:space="preserve"> 2025-02)</w:t>
      </w:r>
      <w:r w:rsidRPr="00B845AF">
        <w:rPr>
          <w:rFonts w:asciiTheme="minorHAnsi" w:hAnsiTheme="minorHAnsi" w:cstheme="minorHAnsi"/>
          <w:b/>
          <w:bCs/>
          <w:lang w:val="en-US"/>
        </w:rPr>
        <w:t xml:space="preserve">, that a stepwise introduction of biodegradable dFADs is technically feasible, and recommended it be accompanied by continued scientific monitoring and the development of standards and </w:t>
      </w:r>
      <w:r w:rsidR="004E2763" w:rsidRPr="00B845AF">
        <w:rPr>
          <w:rFonts w:asciiTheme="minorHAnsi" w:hAnsiTheme="minorHAnsi" w:cstheme="minorHAnsi"/>
          <w:b/>
          <w:bCs/>
          <w:lang w:val="en-US"/>
        </w:rPr>
        <w:t xml:space="preserve">a </w:t>
      </w:r>
      <w:r w:rsidRPr="00B845AF">
        <w:rPr>
          <w:rFonts w:asciiTheme="minorHAnsi" w:hAnsiTheme="minorHAnsi" w:cstheme="minorHAnsi"/>
          <w:b/>
          <w:bCs/>
          <w:lang w:val="en-US"/>
        </w:rPr>
        <w:t>monitoring framework. SC22 recommended the SSP continue to report to the FADMO-IWG and SC23, particularly regarding a framework to monitor the transition to biodegradable materials and designs, a review of definitions and international standards, and further assessment of bioFAD performance.</w:t>
      </w:r>
    </w:p>
    <w:p w14:paraId="4696F282" w14:textId="27E25060" w:rsidR="00082EEF" w:rsidRPr="00B845AF" w:rsidRDefault="00082EEF" w:rsidP="00082EEF">
      <w:pPr>
        <w:pStyle w:val="SCtext"/>
        <w:numPr>
          <w:ilvl w:val="0"/>
          <w:numId w:val="0"/>
        </w:numPr>
        <w:rPr>
          <w:rFonts w:asciiTheme="minorHAnsi" w:hAnsiTheme="minorHAnsi" w:cstheme="minorHAnsi"/>
          <w:lang w:val="en-US"/>
        </w:rPr>
      </w:pPr>
    </w:p>
    <w:p w14:paraId="303242FA" w14:textId="56B01D23" w:rsidR="00082EEF" w:rsidRPr="00B845AF" w:rsidRDefault="00082EEF">
      <w:pPr>
        <w:pStyle w:val="SC3"/>
        <w:rPr>
          <w:rFonts w:asciiTheme="minorHAnsi" w:hAnsiTheme="minorHAnsi" w:cstheme="minorHAnsi"/>
        </w:rPr>
      </w:pPr>
      <w:r w:rsidRPr="00B845AF">
        <w:rPr>
          <w:rFonts w:asciiTheme="minorHAnsi" w:hAnsiTheme="minorHAnsi" w:cstheme="minorHAnsi"/>
        </w:rPr>
        <w:t>Research on dFAD loss and abandonments</w:t>
      </w:r>
    </w:p>
    <w:p w14:paraId="019C75A6" w14:textId="77777777" w:rsidR="00037BC0" w:rsidRPr="00B845AF" w:rsidRDefault="009C0EFF">
      <w:pPr>
        <w:pStyle w:val="SCtext"/>
        <w:rPr>
          <w:rFonts w:asciiTheme="minorHAnsi" w:hAnsiTheme="minorHAnsi" w:cstheme="minorHAnsi"/>
          <w:lang w:val="en-US"/>
        </w:rPr>
      </w:pPr>
      <w:r w:rsidRPr="00B845AF">
        <w:rPr>
          <w:rFonts w:asciiTheme="minorHAnsi" w:hAnsiTheme="minorHAnsi" w:cstheme="minorHAnsi"/>
          <w:lang w:val="en-US"/>
        </w:rPr>
        <w:t xml:space="preserve">L. Escalle presented </w:t>
      </w:r>
      <w:hyperlink r:id="rId89" w:history="1">
        <w:r w:rsidRPr="00B845AF">
          <w:rPr>
            <w:rStyle w:val="Hyperlink"/>
            <w:rFonts w:asciiTheme="minorHAnsi" w:hAnsiTheme="minorHAnsi" w:cstheme="minorHAnsi"/>
            <w:lang w:val="en-US"/>
          </w:rPr>
          <w:t>WCPFC-SC22-2026-EB-WP03</w:t>
        </w:r>
      </w:hyperlink>
      <w:r w:rsidRPr="00B845AF">
        <w:rPr>
          <w:rFonts w:asciiTheme="minorHAnsi" w:hAnsiTheme="minorHAnsi" w:cstheme="minorHAnsi"/>
          <w:lang w:val="en-US"/>
        </w:rPr>
        <w:t xml:space="preserve">, an economic and feasibility study evaluating five options to mitigate dFAD loss, abandonment, and stranding in the WCPO, where only an estimated 9.6% of dFADs are currently retrieved, 11% strand, and 40% are abandoned. </w:t>
      </w:r>
    </w:p>
    <w:p w14:paraId="19B452AC" w14:textId="77777777" w:rsidR="00037BC0" w:rsidRPr="00B845AF" w:rsidRDefault="00037BC0" w:rsidP="00037BC0">
      <w:pPr>
        <w:pStyle w:val="SCtext"/>
        <w:numPr>
          <w:ilvl w:val="0"/>
          <w:numId w:val="0"/>
        </w:numPr>
        <w:rPr>
          <w:rFonts w:asciiTheme="minorHAnsi" w:hAnsiTheme="minorHAnsi" w:cstheme="minorHAnsi"/>
          <w:lang w:val="en-US"/>
        </w:rPr>
      </w:pPr>
    </w:p>
    <w:p w14:paraId="28D7CD5B" w14:textId="6A4DC244" w:rsidR="00082EEF" w:rsidRPr="00B845AF" w:rsidRDefault="009C0EFF" w:rsidP="00037BC0">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lastRenderedPageBreak/>
        <w:t xml:space="preserve">Combining a literature review, stakeholder surveys (purse seiners, longliners, local partners, and artisanal fishers), case studies, spatial analysis of dFAD trajectories, and economic modeling, the study found that modifying deployment areas could meaningfully reduce loss and stranding, since roughly a quarter of deployments occur within 100 nm of shore. It derived per-dFAD retrieval costs of USD 668-893 for purse seiners, USD 204-279 for longliners already operating at sea, USD 178-555 for dedicated “cleaning” vessels (with 73 of 85 stakeholders surveyed supporting this option), and USD 51-264 for shore-based “FAD watch” recovery programs, noting that stakeholders’ own estimates of fair compensation were generally lower than the modeled retrieval costs. The presentation concluded that no single option suffices and that meaningful retrieval of more than 5,000 dFADs annually would require USD 0.2-3.4 million per year, contingent on willingness to share dFAD position data and on establishing financial incentives or regulatory </w:t>
      </w:r>
      <w:r w:rsidR="004E2763" w:rsidRPr="00B845AF">
        <w:rPr>
          <w:rFonts w:asciiTheme="minorHAnsi" w:hAnsiTheme="minorHAnsi" w:cstheme="minorHAnsi"/>
          <w:lang w:val="en-US"/>
        </w:rPr>
        <w:t>mandates and</w:t>
      </w:r>
      <w:r w:rsidRPr="00B845AF">
        <w:rPr>
          <w:rFonts w:asciiTheme="minorHAnsi" w:hAnsiTheme="minorHAnsi" w:cstheme="minorHAnsi"/>
          <w:lang w:val="en-US"/>
        </w:rPr>
        <w:t xml:space="preserve"> recommended extending the analysis to the EPO in collaboration with IATTC. SC22 was invited to note the integrated assessment, the retrieval potential (under 1,000 to tens of thousands of dFADs annually), the cost variations across options, and to recommend further work to refine the analysis and support pilot projects in the WCPO.</w:t>
      </w:r>
    </w:p>
    <w:p w14:paraId="52886541" w14:textId="55A14A66" w:rsidR="006B40D0" w:rsidRPr="00B845AF" w:rsidRDefault="006B40D0" w:rsidP="006B40D0">
      <w:pPr>
        <w:pStyle w:val="SCtext"/>
        <w:numPr>
          <w:ilvl w:val="0"/>
          <w:numId w:val="0"/>
        </w:numPr>
        <w:rPr>
          <w:rFonts w:asciiTheme="minorHAnsi" w:hAnsiTheme="minorHAnsi" w:cstheme="minorHAnsi"/>
          <w:lang w:val="en-US"/>
        </w:rPr>
      </w:pPr>
    </w:p>
    <w:p w14:paraId="004A6B24" w14:textId="04FAA7E0" w:rsidR="006B40D0" w:rsidRPr="00B845AF" w:rsidRDefault="006B40D0" w:rsidP="006B40D0">
      <w:pPr>
        <w:pStyle w:val="SCDR"/>
        <w:rPr>
          <w:rFonts w:asciiTheme="minorHAnsi" w:hAnsiTheme="minorHAnsi" w:cstheme="minorHAnsi"/>
        </w:rPr>
      </w:pPr>
      <w:r w:rsidRPr="00B845AF">
        <w:rPr>
          <w:rFonts w:asciiTheme="minorHAnsi" w:hAnsiTheme="minorHAnsi" w:cstheme="minorHAnsi"/>
        </w:rPr>
        <w:t>Discussion</w:t>
      </w:r>
    </w:p>
    <w:p w14:paraId="5BB7B671" w14:textId="06C7C336" w:rsidR="006B40D0" w:rsidRPr="00B845AF" w:rsidRDefault="000B549A">
      <w:pPr>
        <w:pStyle w:val="SCtext"/>
        <w:rPr>
          <w:rFonts w:asciiTheme="minorHAnsi" w:hAnsiTheme="minorHAnsi" w:cstheme="minorHAnsi"/>
          <w:lang w:val="en-US"/>
        </w:rPr>
      </w:pPr>
      <w:r w:rsidRPr="00B845AF">
        <w:rPr>
          <w:rFonts w:asciiTheme="minorHAnsi" w:hAnsiTheme="minorHAnsi" w:cstheme="minorHAnsi"/>
          <w:lang w:val="en-US"/>
        </w:rPr>
        <w:t>Niue, on behalf of the FFA members, thanked the SSP for the paper and stated that the retrieval options identified provide a useful basis for further work. FFA members stated they remain concerned about the environmental impacts of dFAD loss, abandonment, and stranding, and that addressing this issue must remain a priority. Recalling comments made under previous agenda items regarding the disproportionate burden borne by coastal states and territories in managing the environmental consequences of dFADs, FFA members noted that this applies across the WCPO and the EPO. FFA members stated that continued research, testing, and monitoring of retrieval options are needed, and recommended that this work continue by complementary means going forward.</w:t>
      </w:r>
    </w:p>
    <w:p w14:paraId="3898A5EA" w14:textId="77777777" w:rsidR="000B549A" w:rsidRPr="00B845AF" w:rsidRDefault="000B549A" w:rsidP="000B549A">
      <w:pPr>
        <w:pStyle w:val="SCtext"/>
        <w:numPr>
          <w:ilvl w:val="0"/>
          <w:numId w:val="0"/>
        </w:numPr>
        <w:rPr>
          <w:rFonts w:asciiTheme="minorHAnsi" w:hAnsiTheme="minorHAnsi" w:cstheme="minorHAnsi"/>
          <w:lang w:val="en-US"/>
        </w:rPr>
      </w:pPr>
    </w:p>
    <w:p w14:paraId="052C1254" w14:textId="4422A583" w:rsidR="000B549A" w:rsidRPr="00B845AF" w:rsidRDefault="007378C8">
      <w:pPr>
        <w:pStyle w:val="SCtext"/>
        <w:rPr>
          <w:rFonts w:asciiTheme="minorHAnsi" w:hAnsiTheme="minorHAnsi" w:cstheme="minorHAnsi"/>
          <w:lang w:val="en-US"/>
        </w:rPr>
      </w:pPr>
      <w:r w:rsidRPr="00B845AF">
        <w:rPr>
          <w:rFonts w:asciiTheme="minorHAnsi" w:hAnsiTheme="minorHAnsi" w:cstheme="minorHAnsi"/>
          <w:lang w:val="en-US"/>
        </w:rPr>
        <w:t xml:space="preserve">New Caledonia expressed concern over the ecological impacts of lost, abandoned, and stranded dFADs, and noted with great interest that achieving meaningful recovery levels will require a combination of complementary measures, including spatial management, offshore recovery by fishing or dedicated vessels, and shore-based recovery programs such as FAD Watch. New Caledonia welcomed the detailed economic modeling provided in the paper, noting that while shore-based interventions offer the lowest cost per dFAD recovered, dedicated cleaning vessels operating in high-density hotspots and targeted industry participation are essential to address the issue at scale. New Caledonia supported the recommendation to conduct further work and move forward with pilot projects in the </w:t>
      </w:r>
      <w:r w:rsidR="004E2763" w:rsidRPr="00B845AF">
        <w:rPr>
          <w:rFonts w:asciiTheme="minorHAnsi" w:hAnsiTheme="minorHAnsi" w:cstheme="minorHAnsi"/>
          <w:lang w:val="en-US"/>
        </w:rPr>
        <w:t>WCPO and</w:t>
      </w:r>
      <w:r w:rsidRPr="00B845AF">
        <w:rPr>
          <w:rFonts w:asciiTheme="minorHAnsi" w:hAnsiTheme="minorHAnsi" w:cstheme="minorHAnsi"/>
          <w:lang w:val="en-US"/>
        </w:rPr>
        <w:t xml:space="preserve"> stressed the need to establish clear regional mechanisms for dFAD position sharing and sustainable funding arrangements that appropriately attribute costs to dFAD deployers rather than to impacted coastal States or territories. Regarding the economic modeling of the proposed retrieval options, New Caledonia noted that the report explicitly excludes transaction and coordination costs, such as establishing regional data-sharing frameworks, negotiating agreements, and managing compliance, from the operational cost estimates. New Caledonia asked the authors to provide an indication of the likely magnitude of these administrative and organizational costs and how they should be factored into the design of future pilot projects</w:t>
      </w:r>
      <w:r w:rsidR="000B549A" w:rsidRPr="00B845AF">
        <w:rPr>
          <w:rFonts w:asciiTheme="minorHAnsi" w:hAnsiTheme="minorHAnsi" w:cstheme="minorHAnsi"/>
          <w:lang w:val="en-US"/>
        </w:rPr>
        <w:t>.</w:t>
      </w:r>
    </w:p>
    <w:p w14:paraId="27D4B0B5" w14:textId="77777777" w:rsidR="000B549A" w:rsidRPr="00B845AF" w:rsidRDefault="000B549A" w:rsidP="000B549A">
      <w:pPr>
        <w:pStyle w:val="SCtext"/>
        <w:numPr>
          <w:ilvl w:val="0"/>
          <w:numId w:val="0"/>
        </w:numPr>
        <w:rPr>
          <w:rFonts w:asciiTheme="minorHAnsi" w:hAnsiTheme="minorHAnsi" w:cstheme="minorHAnsi"/>
          <w:lang w:val="en-US"/>
        </w:rPr>
      </w:pPr>
    </w:p>
    <w:p w14:paraId="431F5451" w14:textId="307FD0B9" w:rsidR="000B549A" w:rsidRPr="00B845AF" w:rsidRDefault="000B549A">
      <w:pPr>
        <w:pStyle w:val="SCtext"/>
        <w:rPr>
          <w:rFonts w:asciiTheme="minorHAnsi" w:hAnsiTheme="minorHAnsi" w:cstheme="minorHAnsi"/>
          <w:lang w:val="en-US"/>
        </w:rPr>
      </w:pPr>
      <w:r w:rsidRPr="00B845AF">
        <w:rPr>
          <w:rFonts w:asciiTheme="minorHAnsi" w:hAnsiTheme="minorHAnsi" w:cstheme="minorHAnsi"/>
          <w:lang w:val="en-US"/>
        </w:rPr>
        <w:t>The SSP responded that this was a very good question, and that at this stage no analysis of administrative and transaction costs had been conducted, so it had no additional information to provide. The SSP stated that, as noted in the paper’s recommendations, further work is planned in this area, and that this would be an area of focus for continued analysis, including discussion at the next ISG.</w:t>
      </w:r>
    </w:p>
    <w:p w14:paraId="32771423" w14:textId="77777777" w:rsidR="000B549A" w:rsidRPr="00B845AF" w:rsidRDefault="000B549A" w:rsidP="000B549A">
      <w:pPr>
        <w:pStyle w:val="SCtext"/>
        <w:numPr>
          <w:ilvl w:val="0"/>
          <w:numId w:val="0"/>
        </w:numPr>
        <w:rPr>
          <w:rFonts w:asciiTheme="minorHAnsi" w:hAnsiTheme="minorHAnsi" w:cstheme="minorHAnsi"/>
          <w:lang w:val="en-US"/>
        </w:rPr>
      </w:pPr>
    </w:p>
    <w:p w14:paraId="2C0AAC46" w14:textId="00346145" w:rsidR="000B549A" w:rsidRPr="00B845AF" w:rsidRDefault="000B549A">
      <w:pPr>
        <w:pStyle w:val="SCtext"/>
        <w:rPr>
          <w:rFonts w:asciiTheme="minorHAnsi" w:hAnsiTheme="minorHAnsi" w:cstheme="minorHAnsi"/>
          <w:lang w:val="en-US"/>
        </w:rPr>
      </w:pPr>
      <w:r w:rsidRPr="00B845AF">
        <w:rPr>
          <w:rFonts w:asciiTheme="minorHAnsi" w:hAnsiTheme="minorHAnsi" w:cstheme="minorHAnsi"/>
          <w:lang w:val="en-US"/>
        </w:rPr>
        <w:t xml:space="preserve">French Polynesia acknowledged the important work undertaken by the SSP and its partners and welcomed the assessment for bringing together stakeholder perspectives, operational experience, and economic modeling to evaluate options for reducing dFAD loss and abandonment in the WCPO. French Polynesia particularly appreciated the quantitative information provided on the feasibility, effectiveness, and costs of different retrieval approaches. French Polynesia reiterated its position that the costs associated with the recovery of lost and abandoned dFADs should not be borne by the coastal communities and territories that experience their </w:t>
      </w:r>
      <w:r w:rsidR="004E2763" w:rsidRPr="00B845AF">
        <w:rPr>
          <w:rFonts w:asciiTheme="minorHAnsi" w:hAnsiTheme="minorHAnsi" w:cstheme="minorHAnsi"/>
          <w:lang w:val="en-US"/>
        </w:rPr>
        <w:t>impacts and</w:t>
      </w:r>
      <w:r w:rsidRPr="00B845AF">
        <w:rPr>
          <w:rFonts w:asciiTheme="minorHAnsi" w:hAnsiTheme="minorHAnsi" w:cstheme="minorHAnsi"/>
          <w:lang w:val="en-US"/>
        </w:rPr>
        <w:t xml:space="preserve"> stated that these costs should instead be appropriately borne or shared by the industries and operators whose activities contribute to dFAD loss and abandonment.</w:t>
      </w:r>
    </w:p>
    <w:p w14:paraId="22C973CE" w14:textId="77777777" w:rsidR="00B60B31" w:rsidRPr="00B845AF" w:rsidRDefault="00B60B31" w:rsidP="00B60B31">
      <w:pPr>
        <w:pStyle w:val="SCtext"/>
        <w:numPr>
          <w:ilvl w:val="0"/>
          <w:numId w:val="0"/>
        </w:numPr>
        <w:rPr>
          <w:rFonts w:asciiTheme="minorHAnsi" w:hAnsiTheme="minorHAnsi" w:cstheme="minorHAnsi"/>
          <w:lang w:val="en-US"/>
        </w:rPr>
      </w:pPr>
    </w:p>
    <w:p w14:paraId="07266822" w14:textId="74843CE6" w:rsidR="00B60B31" w:rsidRPr="00B845AF" w:rsidRDefault="00FD1EB0">
      <w:pPr>
        <w:pStyle w:val="SCtext"/>
        <w:rPr>
          <w:rFonts w:asciiTheme="minorHAnsi" w:hAnsiTheme="minorHAnsi" w:cstheme="minorHAnsi"/>
          <w:lang w:val="en-US"/>
        </w:rPr>
      </w:pPr>
      <w:r w:rsidRPr="00B845AF">
        <w:rPr>
          <w:rFonts w:asciiTheme="minorHAnsi" w:hAnsiTheme="minorHAnsi" w:cstheme="minorHAnsi"/>
          <w:lang w:val="en-US"/>
        </w:rPr>
        <w:t xml:space="preserve">Tuvalu, on behalf of the PNA and Vanuatu, supported the statement made by Niue on behalf of the FFA members. Tuvalu thanked SPC for the useful economic modeling and stakeholder perspectives presented in </w:t>
      </w:r>
      <w:r w:rsidR="004E2763" w:rsidRPr="00B845AF">
        <w:rPr>
          <w:rFonts w:asciiTheme="minorHAnsi" w:hAnsiTheme="minorHAnsi" w:cstheme="minorHAnsi"/>
          <w:lang w:val="en-US"/>
        </w:rPr>
        <w:t>WP03 and</w:t>
      </w:r>
      <w:r w:rsidRPr="00B845AF">
        <w:rPr>
          <w:rFonts w:asciiTheme="minorHAnsi" w:hAnsiTheme="minorHAnsi" w:cstheme="minorHAnsi"/>
          <w:lang w:val="en-US"/>
        </w:rPr>
        <w:t xml:space="preserve"> stated that the SSP’s work on shore-based recovery programmes is particularly valuable. Tuvalu supported the focus of the options on mitigating the impacts of FADs outside the main fishing grounds, noting that the PNA already has arrangements in place for PNA waters, including a FAD Buoy Register, for designing programmes to mitigate and respond to strandings.</w:t>
      </w:r>
    </w:p>
    <w:p w14:paraId="3B572822" w14:textId="77777777" w:rsidR="00B159BA" w:rsidRPr="00B845AF" w:rsidRDefault="00B159BA" w:rsidP="00B159BA">
      <w:pPr>
        <w:pStyle w:val="SCtext"/>
        <w:numPr>
          <w:ilvl w:val="0"/>
          <w:numId w:val="0"/>
        </w:numPr>
        <w:rPr>
          <w:rFonts w:asciiTheme="minorHAnsi" w:hAnsiTheme="minorHAnsi" w:cstheme="minorHAnsi"/>
          <w:lang w:val="en-US"/>
        </w:rPr>
      </w:pPr>
    </w:p>
    <w:p w14:paraId="122CFEDB" w14:textId="369914DB" w:rsidR="00B159BA" w:rsidRPr="00B845AF" w:rsidRDefault="00B159BA">
      <w:pPr>
        <w:pStyle w:val="SCtext"/>
        <w:rPr>
          <w:rFonts w:asciiTheme="minorHAnsi" w:hAnsiTheme="minorHAnsi" w:cstheme="minorHAnsi"/>
          <w:lang w:val="en-US"/>
        </w:rPr>
      </w:pPr>
      <w:r w:rsidRPr="00B845AF">
        <w:rPr>
          <w:rFonts w:asciiTheme="minorHAnsi" w:hAnsiTheme="minorHAnsi" w:cstheme="minorHAnsi"/>
          <w:lang w:val="en-US"/>
        </w:rPr>
        <w:t>American Samoa, in its first intervention, expressed appreciation for the hospitality shown to the Committee and thanked the SSP for its work supporting data collection to inform FAD management. American Samoa stated that FAD retrieval carries real costs and that it looks forward to further discussion with the SSP on this issue.</w:t>
      </w:r>
    </w:p>
    <w:p w14:paraId="29C1E9B4" w14:textId="77777777" w:rsidR="00B159BA" w:rsidRPr="00B845AF" w:rsidRDefault="00B159BA" w:rsidP="00B159BA">
      <w:pPr>
        <w:pStyle w:val="SCtext"/>
        <w:numPr>
          <w:ilvl w:val="0"/>
          <w:numId w:val="0"/>
        </w:numPr>
        <w:rPr>
          <w:rFonts w:asciiTheme="minorHAnsi" w:hAnsiTheme="minorHAnsi" w:cstheme="minorHAnsi"/>
          <w:lang w:val="en-US"/>
        </w:rPr>
      </w:pPr>
    </w:p>
    <w:p w14:paraId="7BE90CB2" w14:textId="6CF1B16C" w:rsidR="00B159BA" w:rsidRPr="00B845AF" w:rsidRDefault="00B159BA">
      <w:pPr>
        <w:pStyle w:val="SCtext"/>
        <w:rPr>
          <w:rFonts w:asciiTheme="minorHAnsi" w:hAnsiTheme="minorHAnsi" w:cstheme="minorHAnsi"/>
          <w:lang w:val="en-US"/>
        </w:rPr>
      </w:pPr>
      <w:r w:rsidRPr="00B845AF">
        <w:rPr>
          <w:rFonts w:asciiTheme="minorHAnsi" w:hAnsiTheme="minorHAnsi" w:cstheme="minorHAnsi"/>
          <w:lang w:val="en-US"/>
        </w:rPr>
        <w:t xml:space="preserve">The EU thanked the SSP for the presentation and thanked the donors supporting the work, noting that management at the WCPFC has progressed significantly on this issue and that this work represents an important step toward sound management of the region's most important fishery. The EU stated that work in this field is extremely challenging and cannot be done properly without stakeholder </w:t>
      </w:r>
      <w:proofErr w:type="gramStart"/>
      <w:r w:rsidRPr="00B845AF">
        <w:rPr>
          <w:rFonts w:asciiTheme="minorHAnsi" w:hAnsiTheme="minorHAnsi" w:cstheme="minorHAnsi"/>
          <w:lang w:val="en-US"/>
        </w:rPr>
        <w:t>engagement, and</w:t>
      </w:r>
      <w:proofErr w:type="gramEnd"/>
      <w:r w:rsidRPr="00B845AF">
        <w:rPr>
          <w:rFonts w:asciiTheme="minorHAnsi" w:hAnsiTheme="minorHAnsi" w:cstheme="minorHAnsi"/>
          <w:lang w:val="en-US"/>
        </w:rPr>
        <w:t xml:space="preserve"> welcomed the thorough analysis and range of options explored. The EU noted one comment closely related to the previous presentation on biodegradable and non-entangling FADs: that the use of such FAD designs is itself a mitigation option, since these designs are likely less prone to stranding, reef damage, and entanglement-related ghost fishing, among other impacts. The EU suggested it could be useful in the future, when considering mitigation options, to account for the different nature of conventional and biodegradable FADs. Examples raised included preferential recovery of FADs with higher entanglement risk or greater potential for harm if stranded, partial recovery of non-biodegradable components where full recovery is not feasible, and factoring into funding schemes that costs may differ between heavy conventional FADs and non-entangling, biodegradable jelly-FADs. The EU stated this could also serve as an incentive for the adoption of lower-impact FAD designs, which it considers a priority for the WCPFC.</w:t>
      </w:r>
    </w:p>
    <w:p w14:paraId="7FCA6E9A" w14:textId="77777777" w:rsidR="00B159BA" w:rsidRPr="00B845AF" w:rsidRDefault="00B159BA" w:rsidP="00B159BA">
      <w:pPr>
        <w:pStyle w:val="SCtext"/>
        <w:numPr>
          <w:ilvl w:val="0"/>
          <w:numId w:val="0"/>
        </w:numPr>
        <w:rPr>
          <w:rFonts w:asciiTheme="minorHAnsi" w:hAnsiTheme="minorHAnsi" w:cstheme="minorHAnsi"/>
          <w:lang w:val="en-US"/>
        </w:rPr>
      </w:pPr>
    </w:p>
    <w:p w14:paraId="6630B355" w14:textId="0D06BEC5" w:rsidR="00B159BA" w:rsidRPr="00B845AF" w:rsidRDefault="00B159BA">
      <w:pPr>
        <w:pStyle w:val="SCtext"/>
        <w:rPr>
          <w:rFonts w:asciiTheme="minorHAnsi" w:hAnsiTheme="minorHAnsi" w:cstheme="minorHAnsi"/>
          <w:lang w:val="en-US"/>
        </w:rPr>
      </w:pPr>
      <w:r w:rsidRPr="00B845AF">
        <w:rPr>
          <w:rFonts w:asciiTheme="minorHAnsi" w:hAnsiTheme="minorHAnsi" w:cstheme="minorHAnsi"/>
          <w:lang w:val="en-US"/>
        </w:rPr>
        <w:t>The USA thanked the SSP for the paper and for successfully hosting the meeting, and stated the analysis was useful in exploring the various retrieval options and their associated costs. The USA noted it had comments on the options presented and would provide them through the ODF.</w:t>
      </w:r>
    </w:p>
    <w:p w14:paraId="56D14EED" w14:textId="77777777" w:rsidR="00B159BA" w:rsidRPr="00B845AF" w:rsidRDefault="00B159BA" w:rsidP="00B159BA">
      <w:pPr>
        <w:pStyle w:val="SCtext"/>
        <w:numPr>
          <w:ilvl w:val="0"/>
          <w:numId w:val="0"/>
        </w:numPr>
        <w:rPr>
          <w:rFonts w:asciiTheme="minorHAnsi" w:hAnsiTheme="minorHAnsi" w:cstheme="minorHAnsi"/>
          <w:lang w:val="en-US"/>
        </w:rPr>
      </w:pPr>
    </w:p>
    <w:p w14:paraId="71ACCB78" w14:textId="22E2AC4C" w:rsidR="00B159BA" w:rsidRPr="00B845AF" w:rsidRDefault="00B159BA">
      <w:pPr>
        <w:pStyle w:val="SCtext"/>
        <w:rPr>
          <w:rFonts w:asciiTheme="minorHAnsi" w:hAnsiTheme="minorHAnsi" w:cstheme="minorHAnsi"/>
          <w:lang w:val="en-US"/>
        </w:rPr>
      </w:pPr>
      <w:r w:rsidRPr="00B845AF">
        <w:rPr>
          <w:rFonts w:asciiTheme="minorHAnsi" w:hAnsiTheme="minorHAnsi" w:cstheme="minorHAnsi"/>
          <w:lang w:val="en-US"/>
        </w:rPr>
        <w:t>Chinese Taipei thanked the SSP for the presentation and stated that FAD recovery is an important issue. Chinese Taipei stated it had consulted with its industry operators, who consider options 3, 4, and 5 to be the more feasible approaches, and stated that industry hopes for further economic analysis of the options to better understand associated costs.</w:t>
      </w:r>
    </w:p>
    <w:p w14:paraId="6CF8A13F" w14:textId="77777777" w:rsidR="000D0432" w:rsidRPr="00B845AF" w:rsidRDefault="000D0432" w:rsidP="000D0432">
      <w:pPr>
        <w:pStyle w:val="SCtext"/>
        <w:numPr>
          <w:ilvl w:val="0"/>
          <w:numId w:val="0"/>
        </w:numPr>
        <w:rPr>
          <w:rFonts w:asciiTheme="minorHAnsi" w:hAnsiTheme="minorHAnsi" w:cstheme="minorHAnsi"/>
          <w:lang w:val="en-US"/>
        </w:rPr>
      </w:pPr>
    </w:p>
    <w:p w14:paraId="19170334" w14:textId="244B0F60" w:rsidR="000D0432" w:rsidRPr="00B845AF" w:rsidRDefault="000D0432">
      <w:pPr>
        <w:pStyle w:val="SCtext"/>
        <w:rPr>
          <w:rFonts w:asciiTheme="minorHAnsi" w:hAnsiTheme="minorHAnsi" w:cstheme="minorHAnsi"/>
          <w:lang w:val="en-US"/>
        </w:rPr>
      </w:pPr>
      <w:r w:rsidRPr="00B845AF">
        <w:rPr>
          <w:rFonts w:asciiTheme="minorHAnsi" w:hAnsiTheme="minorHAnsi" w:cstheme="minorHAnsi"/>
          <w:lang w:val="en-US"/>
        </w:rPr>
        <w:lastRenderedPageBreak/>
        <w:t>China noted that dFADs are sometimes difficult to detect while transiting, including by the purse seine vessels that deployed them, and that a possible future direction would be to make greater use of satellite buoy transmission data, given ongoing progress toward more direct transmission of such data to the SSP. China suggested this data could support a regionally coordinated platform for FAD recovery, through which the positions of lost or abandoned dFADs could be shared, and that, together with appropriate incentive mechanisms, such a platform could help support broader retrieval and investment in coverage. China also commented on the cost estimates, noting that since many of the underlying assumptions vary across vessel types, it may be useful to conduct pilot studies to refine actual operational costs, which could provide a more realistic basis for comparing the options.</w:t>
      </w:r>
    </w:p>
    <w:p w14:paraId="6E998CA5" w14:textId="77777777" w:rsidR="000D0432" w:rsidRPr="00B845AF" w:rsidRDefault="000D0432" w:rsidP="000D0432">
      <w:pPr>
        <w:pStyle w:val="SCtext"/>
        <w:numPr>
          <w:ilvl w:val="0"/>
          <w:numId w:val="0"/>
        </w:numPr>
        <w:rPr>
          <w:rFonts w:asciiTheme="minorHAnsi" w:hAnsiTheme="minorHAnsi" w:cstheme="minorHAnsi"/>
          <w:lang w:val="en-US"/>
        </w:rPr>
      </w:pPr>
    </w:p>
    <w:p w14:paraId="3558A1FC" w14:textId="3454DDA9" w:rsidR="000D0432" w:rsidRPr="00B845AF" w:rsidRDefault="000D0432">
      <w:pPr>
        <w:pStyle w:val="SCtext"/>
        <w:rPr>
          <w:rFonts w:asciiTheme="minorHAnsi" w:hAnsiTheme="minorHAnsi" w:cstheme="minorHAnsi"/>
          <w:lang w:val="en-US"/>
        </w:rPr>
      </w:pPr>
      <w:r w:rsidRPr="00B845AF">
        <w:rPr>
          <w:rFonts w:asciiTheme="minorHAnsi" w:hAnsiTheme="minorHAnsi" w:cstheme="minorHAnsi"/>
          <w:lang w:val="en-US"/>
        </w:rPr>
        <w:t xml:space="preserve">Indonesia thanked the SSP for the work conducted and thanked the donors supporting it. Indonesia stated its purse seine fisheries would welcome the opportunity to join a FAD recovery </w:t>
      </w:r>
      <w:proofErr w:type="gramStart"/>
      <w:r w:rsidRPr="00B845AF">
        <w:rPr>
          <w:rFonts w:asciiTheme="minorHAnsi" w:hAnsiTheme="minorHAnsi" w:cstheme="minorHAnsi"/>
          <w:lang w:val="en-US"/>
        </w:rPr>
        <w:t>program, and</w:t>
      </w:r>
      <w:proofErr w:type="gramEnd"/>
      <w:r w:rsidRPr="00B845AF">
        <w:rPr>
          <w:rFonts w:asciiTheme="minorHAnsi" w:hAnsiTheme="minorHAnsi" w:cstheme="minorHAnsi"/>
          <w:lang w:val="en-US"/>
        </w:rPr>
        <w:t xml:space="preserve"> reiterated its interest in jelly-FAD use in its fisheries where feasible. Indonesia asked whether, following retrieval, there are effective ways to reduce or recycle recovered dFAD materials, and whether best practice or standard marking exists for FADs that could be referred to.</w:t>
      </w:r>
    </w:p>
    <w:p w14:paraId="36C86E5E" w14:textId="77777777" w:rsidR="000D0432" w:rsidRPr="00B845AF" w:rsidRDefault="000D0432" w:rsidP="000D0432">
      <w:pPr>
        <w:pStyle w:val="SCtext"/>
        <w:numPr>
          <w:ilvl w:val="0"/>
          <w:numId w:val="0"/>
        </w:numPr>
        <w:rPr>
          <w:rFonts w:asciiTheme="minorHAnsi" w:hAnsiTheme="minorHAnsi" w:cstheme="minorHAnsi"/>
          <w:lang w:val="en-US"/>
        </w:rPr>
      </w:pPr>
    </w:p>
    <w:p w14:paraId="5B71B5B6" w14:textId="487C1A7B" w:rsidR="000D0432" w:rsidRPr="00B845AF" w:rsidRDefault="000D0432">
      <w:pPr>
        <w:pStyle w:val="SCtext"/>
        <w:rPr>
          <w:rFonts w:asciiTheme="minorHAnsi" w:hAnsiTheme="minorHAnsi" w:cstheme="minorHAnsi"/>
          <w:lang w:val="en-US"/>
        </w:rPr>
      </w:pPr>
      <w:r w:rsidRPr="00B845AF">
        <w:rPr>
          <w:rFonts w:asciiTheme="minorHAnsi" w:hAnsiTheme="minorHAnsi" w:cstheme="minorHAnsi"/>
          <w:lang w:val="en-US"/>
        </w:rPr>
        <w:t>The SSP responded that biodegradable FAD materials could be discussed further, but that this was not the focus of the current work; the SSP suggested this could be raised at the ISG instead. On the question of reusing recovered materials, the SSP stated this is something it wants to investigate further, including whether there could be a circular economy for recovered buoys, such as resale or provision to industry, or local reuse within the countries where dFADs are recovered. The SSP noted that some countries have already begun this practice and that it is something that could be extended to other countries.</w:t>
      </w:r>
    </w:p>
    <w:p w14:paraId="5C10BAE5" w14:textId="08DED7B5" w:rsidR="00CF4F73" w:rsidRPr="00B845AF" w:rsidRDefault="00CF4F73" w:rsidP="00CF4F73">
      <w:pPr>
        <w:pStyle w:val="SCtext"/>
        <w:numPr>
          <w:ilvl w:val="0"/>
          <w:numId w:val="0"/>
        </w:numPr>
        <w:rPr>
          <w:rFonts w:asciiTheme="minorHAnsi" w:hAnsiTheme="minorHAnsi" w:cstheme="minorHAnsi"/>
          <w:lang w:val="en-US"/>
        </w:rPr>
      </w:pPr>
    </w:p>
    <w:p w14:paraId="6805FF89" w14:textId="4E1DBAE7" w:rsidR="00CF4F73" w:rsidRPr="00B845AF" w:rsidRDefault="00CF4F73" w:rsidP="00CF4F73">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2B17BB60" w14:textId="28E37640" w:rsidR="00CF4F73" w:rsidRPr="00B845AF" w:rsidRDefault="00CF4F73">
      <w:pPr>
        <w:pStyle w:val="SCtext"/>
        <w:rPr>
          <w:rFonts w:asciiTheme="minorHAnsi" w:hAnsiTheme="minorHAnsi" w:cstheme="minorHAnsi"/>
          <w:lang w:val="en-US"/>
        </w:rPr>
      </w:pPr>
      <w:r w:rsidRPr="00B845AF">
        <w:rPr>
          <w:rFonts w:asciiTheme="minorHAnsi" w:hAnsiTheme="minorHAnsi" w:cstheme="minorHAnsi"/>
          <w:lang w:val="en-US"/>
        </w:rPr>
        <w:t>SC22 welcomed the assessment of the feasibility, effectiveness and costs of different dFAD loss and abandonment mitigation options. It was noted that meaningful recovery levels will require complementary measures, supported by appropriate incentives, blending spatial management, offshore recovery by fishing or dedicated vessels, and shore-based recovery programmes such as FAD Watch.</w:t>
      </w:r>
    </w:p>
    <w:p w14:paraId="393C4B6B" w14:textId="77777777" w:rsidR="00CF4F73" w:rsidRPr="00B845AF" w:rsidRDefault="00CF4F73" w:rsidP="00CF4F73">
      <w:pPr>
        <w:pStyle w:val="SCtext"/>
        <w:numPr>
          <w:ilvl w:val="0"/>
          <w:numId w:val="0"/>
        </w:numPr>
        <w:rPr>
          <w:rFonts w:asciiTheme="minorHAnsi" w:hAnsiTheme="minorHAnsi" w:cstheme="minorHAnsi"/>
          <w:lang w:val="en-US"/>
        </w:rPr>
      </w:pPr>
    </w:p>
    <w:p w14:paraId="4487CD80" w14:textId="4E36EE51" w:rsidR="00CF4F73" w:rsidRPr="00B845AF" w:rsidRDefault="00CF4F73">
      <w:pPr>
        <w:pStyle w:val="SCtext"/>
        <w:rPr>
          <w:rFonts w:asciiTheme="minorHAnsi" w:hAnsiTheme="minorHAnsi" w:cstheme="minorHAnsi"/>
          <w:lang w:val="en-US"/>
        </w:rPr>
      </w:pPr>
      <w:r w:rsidRPr="00B845AF">
        <w:rPr>
          <w:rFonts w:asciiTheme="minorHAnsi" w:hAnsiTheme="minorHAnsi" w:cstheme="minorHAnsi"/>
          <w:lang w:val="en-US"/>
        </w:rPr>
        <w:t xml:space="preserve">SC22 noted the concerns of Pacific Island countries, territories, and SIDS regarding the impacts of dFAD loss, abandonment, and strandings. SC22 noted that many dFAD strandings originate from outside the WCPO and called for improved collaboration at the Pacific-scale. Several CCMs stressed that the burden of dFAD recovery should be borne by actors benefiting from </w:t>
      </w:r>
      <w:proofErr w:type="gramStart"/>
      <w:r w:rsidRPr="00B845AF">
        <w:rPr>
          <w:rFonts w:asciiTheme="minorHAnsi" w:hAnsiTheme="minorHAnsi" w:cstheme="minorHAnsi"/>
          <w:lang w:val="en-US"/>
        </w:rPr>
        <w:t>the dFAD</w:t>
      </w:r>
      <w:proofErr w:type="gramEnd"/>
      <w:r w:rsidRPr="00B845AF">
        <w:rPr>
          <w:rFonts w:asciiTheme="minorHAnsi" w:hAnsiTheme="minorHAnsi" w:cstheme="minorHAnsi"/>
          <w:lang w:val="en-US"/>
        </w:rPr>
        <w:t xml:space="preserve"> fishery.</w:t>
      </w:r>
    </w:p>
    <w:p w14:paraId="2C6165A1" w14:textId="77777777" w:rsidR="00CF4F73" w:rsidRPr="00B845AF" w:rsidRDefault="00CF4F73" w:rsidP="00CF4F73">
      <w:pPr>
        <w:pStyle w:val="SCtext"/>
        <w:numPr>
          <w:ilvl w:val="0"/>
          <w:numId w:val="0"/>
        </w:numPr>
        <w:rPr>
          <w:rFonts w:asciiTheme="minorHAnsi" w:hAnsiTheme="minorHAnsi" w:cstheme="minorHAnsi"/>
          <w:b/>
          <w:bCs/>
          <w:lang w:val="en-US"/>
        </w:rPr>
      </w:pPr>
    </w:p>
    <w:p w14:paraId="5137369C" w14:textId="2371B3DB" w:rsidR="00CF4F73" w:rsidRPr="00B845AF" w:rsidRDefault="00CF4F73">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priority be given to preventing dFAD loss and abandonment and to shore-based recovery options.</w:t>
      </w:r>
    </w:p>
    <w:p w14:paraId="5C0DA429" w14:textId="77777777" w:rsidR="00CF4F73" w:rsidRPr="00B845AF" w:rsidRDefault="00CF4F73" w:rsidP="00CF4F73">
      <w:pPr>
        <w:pStyle w:val="SCtext"/>
        <w:numPr>
          <w:ilvl w:val="0"/>
          <w:numId w:val="0"/>
        </w:numPr>
        <w:rPr>
          <w:rFonts w:asciiTheme="minorHAnsi" w:hAnsiTheme="minorHAnsi" w:cstheme="minorHAnsi"/>
          <w:b/>
          <w:bCs/>
          <w:lang w:val="en-US"/>
        </w:rPr>
      </w:pPr>
    </w:p>
    <w:p w14:paraId="61F8DE36" w14:textId="0D6A1D5B" w:rsidR="00CF4F73" w:rsidRPr="00B845AF" w:rsidRDefault="00C23896">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further work should be conducted, including refining feasibility and economic assessment of dFAD recovery options, including arrangements for dFAD position sharing, options for reusing/recycling dFADs and buoys, and comparison between conventional and biodegradable FADs.</w:t>
      </w:r>
    </w:p>
    <w:p w14:paraId="34979C60" w14:textId="3756CCFE" w:rsidR="00082EEF" w:rsidRPr="00B845AF" w:rsidRDefault="00082EEF" w:rsidP="00082EEF">
      <w:pPr>
        <w:pStyle w:val="SCtext"/>
        <w:numPr>
          <w:ilvl w:val="0"/>
          <w:numId w:val="0"/>
        </w:numPr>
        <w:rPr>
          <w:rFonts w:asciiTheme="minorHAnsi" w:hAnsiTheme="minorHAnsi" w:cstheme="minorHAnsi"/>
          <w:lang w:val="en-US"/>
        </w:rPr>
      </w:pPr>
    </w:p>
    <w:p w14:paraId="6B4D171D" w14:textId="78E09FC2" w:rsidR="00082EEF" w:rsidRPr="00B845AF" w:rsidRDefault="00082EEF">
      <w:pPr>
        <w:pStyle w:val="SC3"/>
        <w:rPr>
          <w:rFonts w:asciiTheme="minorHAnsi" w:hAnsiTheme="minorHAnsi" w:cstheme="minorHAnsi"/>
        </w:rPr>
      </w:pPr>
      <w:r w:rsidRPr="00B845AF">
        <w:rPr>
          <w:rFonts w:asciiTheme="minorHAnsi" w:hAnsiTheme="minorHAnsi" w:cstheme="minorHAnsi"/>
        </w:rPr>
        <w:t>Updates on FAD Management Options IWG</w:t>
      </w:r>
    </w:p>
    <w:p w14:paraId="0DB03522" w14:textId="77777777" w:rsidR="00441079" w:rsidRPr="00B845AF" w:rsidRDefault="000B549A">
      <w:pPr>
        <w:pStyle w:val="SCtext"/>
        <w:rPr>
          <w:rFonts w:asciiTheme="minorHAnsi" w:hAnsiTheme="minorHAnsi" w:cstheme="minorHAnsi"/>
          <w:lang w:val="en-US"/>
        </w:rPr>
      </w:pPr>
      <w:r w:rsidRPr="00B845AF">
        <w:rPr>
          <w:rFonts w:asciiTheme="minorHAnsi" w:hAnsiTheme="minorHAnsi" w:cstheme="minorHAnsi"/>
          <w:lang w:val="en-US"/>
        </w:rPr>
        <w:t xml:space="preserve">The FADMO-IWG Chair presented </w:t>
      </w:r>
      <w:hyperlink r:id="rId90" w:history="1">
        <w:r w:rsidRPr="00B845AF">
          <w:rPr>
            <w:rStyle w:val="Hyperlink"/>
            <w:rFonts w:asciiTheme="minorHAnsi" w:hAnsiTheme="minorHAnsi" w:cstheme="minorHAnsi"/>
            <w:lang w:val="en-US"/>
          </w:rPr>
          <w:t>WCPFC-SC22-2026-EB-WP04</w:t>
        </w:r>
      </w:hyperlink>
      <w:r w:rsidRPr="00B845AF">
        <w:rPr>
          <w:rFonts w:asciiTheme="minorHAnsi" w:hAnsiTheme="minorHAnsi" w:cstheme="minorHAnsi"/>
          <w:lang w:val="en-US"/>
        </w:rPr>
        <w:t xml:space="preserve">, summarizing the IWG’s intersessional email discussion held from 24 April to 10 July 2026 on five topics: satellite buoy data </w:t>
      </w:r>
      <w:r w:rsidRPr="00B845AF">
        <w:rPr>
          <w:rFonts w:asciiTheme="minorHAnsi" w:hAnsiTheme="minorHAnsi" w:cstheme="minorHAnsi"/>
          <w:lang w:val="en-US"/>
        </w:rPr>
        <w:lastRenderedPageBreak/>
        <w:t xml:space="preserve">transmission requirements, FAD recovery programs and strategies, the FAD logbook, biodegradable FADs, and dFAD deployment. </w:t>
      </w:r>
    </w:p>
    <w:p w14:paraId="75937A72" w14:textId="77777777" w:rsidR="00441079" w:rsidRPr="00B845AF" w:rsidRDefault="00441079" w:rsidP="00441079">
      <w:pPr>
        <w:pStyle w:val="SCtext"/>
        <w:numPr>
          <w:ilvl w:val="0"/>
          <w:numId w:val="0"/>
        </w:numPr>
        <w:rPr>
          <w:rFonts w:asciiTheme="minorHAnsi" w:hAnsiTheme="minorHAnsi" w:cstheme="minorHAnsi"/>
          <w:lang w:val="en-US"/>
        </w:rPr>
      </w:pPr>
    </w:p>
    <w:p w14:paraId="33E08533" w14:textId="3BF30855" w:rsidR="00082EEF" w:rsidRPr="00B845AF" w:rsidRDefault="000B549A" w:rsidP="00441079">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On FAD recovery, the presentation referenced a workshop held in French Polynesia on 9 to 11 February 2026 with approximately 110 participants from 25 countries, and SC22 papers WCPFC-SC22-2026-EB-WP03 and WCPFC-SC22-2026-EB-IP07, seeking SC22’s advice on feasible recovery approaches, costs and standards, and whether the evidence base was sufficient to advance work in 2026 or defer to 2027. On biodegradable FADs, the presentation noted SPC’s reporting on Projects 110 and 110a (WCPFC-SC22-2026-EB-WP02) and a possible phased transition among FAD categories, though the IWG had not agreed a timetable, and sought SC22’s advice on whether the projects provided sufficient basis for a stepwise transition and on the monitoring and data needed to verify implementation. On dFAD deployment, the presentation reported that SPC’s updated analysis of FADs and satellite buoys per vessel, needed to assess the effectiveness of the deployment limit under paragraph 21 of CMM 2025-02, was now expected at SC23 in 2027 rather than in time for SC22, with members divided between aligning this work with the broader tropical tuna measure review or deferring further IWG consideration to 2027.</w:t>
      </w:r>
    </w:p>
    <w:p w14:paraId="285258B8" w14:textId="7A22646B" w:rsidR="006B40D0" w:rsidRPr="00B845AF" w:rsidRDefault="006B40D0" w:rsidP="006B40D0">
      <w:pPr>
        <w:pStyle w:val="SCtext"/>
        <w:numPr>
          <w:ilvl w:val="0"/>
          <w:numId w:val="0"/>
        </w:numPr>
        <w:rPr>
          <w:rFonts w:asciiTheme="minorHAnsi" w:eastAsia="MS Mincho" w:hAnsiTheme="minorHAnsi" w:cstheme="minorHAnsi"/>
          <w:lang w:val="en-US" w:eastAsia="ja-JP"/>
        </w:rPr>
      </w:pPr>
    </w:p>
    <w:p w14:paraId="7C38221C" w14:textId="6E7D61C7" w:rsidR="006B40D0" w:rsidRPr="00B845AF" w:rsidRDefault="006B40D0" w:rsidP="006B40D0">
      <w:pPr>
        <w:pStyle w:val="SCDR"/>
        <w:rPr>
          <w:rFonts w:asciiTheme="minorHAnsi" w:hAnsiTheme="minorHAnsi" w:cstheme="minorHAnsi"/>
        </w:rPr>
      </w:pPr>
      <w:r w:rsidRPr="00B845AF">
        <w:rPr>
          <w:rFonts w:asciiTheme="minorHAnsi" w:hAnsiTheme="minorHAnsi" w:cstheme="minorHAnsi"/>
        </w:rPr>
        <w:t>Discussion</w:t>
      </w:r>
    </w:p>
    <w:p w14:paraId="2A94B946" w14:textId="16915C30" w:rsidR="006B40D0" w:rsidRPr="00B845AF" w:rsidRDefault="00965104">
      <w:pPr>
        <w:pStyle w:val="SCtext"/>
        <w:rPr>
          <w:rFonts w:asciiTheme="minorHAnsi" w:hAnsiTheme="minorHAnsi" w:cstheme="minorHAnsi"/>
          <w:lang w:val="en-US"/>
        </w:rPr>
      </w:pPr>
      <w:r w:rsidRPr="00B845AF">
        <w:rPr>
          <w:rFonts w:asciiTheme="minorHAnsi" w:hAnsiTheme="minorHAnsi" w:cstheme="minorHAnsi"/>
          <w:lang w:val="en-US"/>
        </w:rPr>
        <w:t>Kiribati, on behalf of the FFA members, thanked the FADMO-IWG Chair for the presentation and noted that FFA members</w:t>
      </w:r>
      <w:r w:rsidR="002A7571" w:rsidRPr="00B845AF">
        <w:rPr>
          <w:rFonts w:asciiTheme="minorHAnsi" w:hAnsiTheme="minorHAnsi" w:cstheme="minorHAnsi"/>
          <w:lang w:val="en-US"/>
        </w:rPr>
        <w:t>’</w:t>
      </w:r>
      <w:r w:rsidRPr="00B845AF">
        <w:rPr>
          <w:rFonts w:asciiTheme="minorHAnsi" w:hAnsiTheme="minorHAnsi" w:cstheme="minorHAnsi"/>
          <w:lang w:val="en-US"/>
        </w:rPr>
        <w:t xml:space="preserve"> views on biodegradable dFADs and FAD recovery had been provided under the relevant agenda items. On dFAD deployment, Kiribati stated that further scientific work was needed on the effectiveness of the current deployment limit and supported proceeding once the updated SSP analysis was available, as part of the 2027 review of the tropical tuna measure. Kiribati stated that FFA members supported the proposed approach and encouraged continued prioritization of work to improve FAD management and monitoring.</w:t>
      </w:r>
    </w:p>
    <w:p w14:paraId="3D06FB75" w14:textId="77777777" w:rsidR="00965104" w:rsidRPr="00B845AF" w:rsidRDefault="00965104" w:rsidP="00965104">
      <w:pPr>
        <w:pStyle w:val="SCtext"/>
        <w:numPr>
          <w:ilvl w:val="0"/>
          <w:numId w:val="0"/>
        </w:numPr>
        <w:rPr>
          <w:rFonts w:asciiTheme="minorHAnsi" w:hAnsiTheme="minorHAnsi" w:cstheme="minorHAnsi"/>
          <w:lang w:val="en-US"/>
        </w:rPr>
      </w:pPr>
    </w:p>
    <w:p w14:paraId="601FFC39" w14:textId="10214389" w:rsidR="00965104" w:rsidRPr="00B845AF" w:rsidRDefault="00A84914">
      <w:pPr>
        <w:pStyle w:val="SCtext"/>
        <w:rPr>
          <w:rFonts w:asciiTheme="minorHAnsi" w:hAnsiTheme="minorHAnsi" w:cstheme="minorHAnsi"/>
          <w:lang w:val="en-US"/>
        </w:rPr>
      </w:pPr>
      <w:r w:rsidRPr="00B845AF">
        <w:rPr>
          <w:rFonts w:asciiTheme="minorHAnsi" w:hAnsiTheme="minorHAnsi" w:cstheme="minorHAnsi"/>
          <w:lang w:val="en-US"/>
        </w:rPr>
        <w:t xml:space="preserve">Tuvalu, on behalf of the PNA and Vanuatu, thanked the FADMO-IWG Chair for the clear progress being made by the IWG and expressed support for the proposed Workplan and the FFA statement. Tuvalu stated that the current 350 active buoy limit had some value but that its effectiveness was limited, noting that around 20,000 buoys were currently active at any point across the major purse seine fishing grounds of the WCPO, equivalent to around 80 per vessel and less than half the number used by vessels in the Atlantic and Indian Oceans. Tuvalu stated that the limit nevertheless constrained FAD </w:t>
      </w:r>
      <w:proofErr w:type="gramStart"/>
      <w:r w:rsidRPr="00B845AF">
        <w:rPr>
          <w:rFonts w:asciiTheme="minorHAnsi" w:hAnsiTheme="minorHAnsi" w:cstheme="minorHAnsi"/>
          <w:lang w:val="en-US"/>
        </w:rPr>
        <w:t>use</w:t>
      </w:r>
      <w:proofErr w:type="gramEnd"/>
      <w:r w:rsidRPr="00B845AF">
        <w:rPr>
          <w:rFonts w:asciiTheme="minorHAnsi" w:hAnsiTheme="minorHAnsi" w:cstheme="minorHAnsi"/>
          <w:lang w:val="en-US"/>
        </w:rPr>
        <w:t xml:space="preserve"> by fleets that deploy </w:t>
      </w:r>
      <w:proofErr w:type="gramStart"/>
      <w:r w:rsidRPr="00B845AF">
        <w:rPr>
          <w:rFonts w:asciiTheme="minorHAnsi" w:hAnsiTheme="minorHAnsi" w:cstheme="minorHAnsi"/>
          <w:lang w:val="en-US"/>
        </w:rPr>
        <w:t>a large number of</w:t>
      </w:r>
      <w:proofErr w:type="gramEnd"/>
      <w:r w:rsidRPr="00B845AF">
        <w:rPr>
          <w:rFonts w:asciiTheme="minorHAnsi" w:hAnsiTheme="minorHAnsi" w:cstheme="minorHAnsi"/>
          <w:lang w:val="en-US"/>
        </w:rPr>
        <w:t xml:space="preserve"> FADs and contributed to limiting FAD use in this way. Tuvalu further noted that some PNA Members in the east depend on FAD fishing in their waters and would be disproportionately burdened by reducing the 350 active buoy </w:t>
      </w:r>
      <w:proofErr w:type="gramStart"/>
      <w:r w:rsidRPr="00B845AF">
        <w:rPr>
          <w:rFonts w:asciiTheme="minorHAnsi" w:hAnsiTheme="minorHAnsi" w:cstheme="minorHAnsi"/>
          <w:lang w:val="en-US"/>
        </w:rPr>
        <w:t>limit</w:t>
      </w:r>
      <w:proofErr w:type="gramEnd"/>
      <w:r w:rsidRPr="00B845AF">
        <w:rPr>
          <w:rFonts w:asciiTheme="minorHAnsi" w:hAnsiTheme="minorHAnsi" w:cstheme="minorHAnsi"/>
          <w:lang w:val="en-US"/>
        </w:rPr>
        <w:t xml:space="preserve">. Tuvalu noted that the effectiveness of the limit was also enhanced by the PNA deactivation ban. Tuvalu stated that PNA and Vanuatu placed a low priority on detailed analysis of buoy use by different </w:t>
      </w:r>
      <w:r w:rsidR="004E2763" w:rsidRPr="00B845AF">
        <w:rPr>
          <w:rFonts w:asciiTheme="minorHAnsi" w:hAnsiTheme="minorHAnsi" w:cstheme="minorHAnsi"/>
          <w:lang w:val="en-US"/>
        </w:rPr>
        <w:t>vessels but</w:t>
      </w:r>
      <w:r w:rsidRPr="00B845AF">
        <w:rPr>
          <w:rFonts w:asciiTheme="minorHAnsi" w:hAnsiTheme="minorHAnsi" w:cstheme="minorHAnsi"/>
          <w:lang w:val="en-US"/>
        </w:rPr>
        <w:t xml:space="preserve"> considered it useful for SPC to provide data to advise WCPFC23 on trends in the average number of active buoys per vessel.</w:t>
      </w:r>
    </w:p>
    <w:p w14:paraId="493786FE" w14:textId="7242A752" w:rsidR="00F600B7" w:rsidRPr="00B845AF" w:rsidRDefault="00F600B7" w:rsidP="00F600B7">
      <w:pPr>
        <w:pStyle w:val="SCtext"/>
        <w:numPr>
          <w:ilvl w:val="0"/>
          <w:numId w:val="0"/>
        </w:numPr>
        <w:rPr>
          <w:rFonts w:asciiTheme="minorHAnsi" w:eastAsia="MS Mincho" w:hAnsiTheme="minorHAnsi" w:cstheme="minorHAnsi"/>
          <w:lang w:val="en-US" w:eastAsia="ja-JP"/>
        </w:rPr>
      </w:pPr>
    </w:p>
    <w:p w14:paraId="36E45C86" w14:textId="77777777" w:rsidR="00F600B7" w:rsidRPr="00B845AF" w:rsidRDefault="00F600B7" w:rsidP="00F600B7">
      <w:pPr>
        <w:pStyle w:val="SCDR"/>
        <w:rPr>
          <w:rFonts w:asciiTheme="minorHAnsi" w:hAnsiTheme="minorHAnsi" w:cstheme="minorHAnsi"/>
        </w:rPr>
      </w:pPr>
      <w:r w:rsidRPr="00B845AF">
        <w:rPr>
          <w:rFonts w:asciiTheme="minorHAnsi" w:hAnsiTheme="minorHAnsi" w:cstheme="minorHAnsi"/>
        </w:rPr>
        <w:t>Outcomes</w:t>
      </w:r>
    </w:p>
    <w:p w14:paraId="2DD7722D" w14:textId="76DB4496" w:rsidR="00F600B7" w:rsidRPr="00B845AF" w:rsidRDefault="00DD58BE">
      <w:pPr>
        <w:pStyle w:val="SCtext"/>
        <w:rPr>
          <w:rFonts w:asciiTheme="minorHAnsi" w:hAnsiTheme="minorHAnsi" w:cstheme="minorHAnsi"/>
          <w:lang w:val="en-US"/>
        </w:rPr>
      </w:pPr>
      <w:bookmarkStart w:id="65" w:name="_Hlk237922413"/>
      <w:r w:rsidRPr="00B845AF">
        <w:rPr>
          <w:rFonts w:asciiTheme="minorHAnsi" w:hAnsiTheme="minorHAnsi" w:cstheme="minorHAnsi"/>
          <w:lang w:val="en-US"/>
        </w:rPr>
        <w:t>SC22 noted the update from the FADMO-IWG and supported the proposed workplan.</w:t>
      </w:r>
    </w:p>
    <w:p w14:paraId="54E328B3" w14:textId="77777777" w:rsidR="00DD58BE" w:rsidRPr="00B845AF" w:rsidRDefault="00DD58BE" w:rsidP="00DD58BE">
      <w:pPr>
        <w:pStyle w:val="SCtext"/>
        <w:numPr>
          <w:ilvl w:val="0"/>
          <w:numId w:val="0"/>
        </w:numPr>
        <w:rPr>
          <w:rFonts w:asciiTheme="minorHAnsi" w:hAnsiTheme="minorHAnsi" w:cstheme="minorHAnsi"/>
          <w:b/>
          <w:bCs/>
          <w:lang w:val="en-US"/>
        </w:rPr>
      </w:pPr>
    </w:p>
    <w:p w14:paraId="7584B0B9" w14:textId="10C5CA31" w:rsidR="00DD58BE" w:rsidRPr="00B845AF" w:rsidRDefault="004753AB">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noted that further analysis of the effectiveness of the current limit of 350 active dFAD buoys per purse seine vessel is a low priority and supported revisiting the issue once updated </w:t>
      </w:r>
      <w:r w:rsidR="00636785" w:rsidRPr="00B845AF">
        <w:rPr>
          <w:rFonts w:asciiTheme="minorHAnsi" w:hAnsiTheme="minorHAnsi" w:cstheme="minorHAnsi"/>
          <w:b/>
          <w:bCs/>
          <w:lang w:val="en-US"/>
        </w:rPr>
        <w:t>SSP</w:t>
      </w:r>
      <w:r w:rsidRPr="00B845AF">
        <w:rPr>
          <w:rFonts w:asciiTheme="minorHAnsi" w:hAnsiTheme="minorHAnsi" w:cstheme="minorHAnsi"/>
          <w:b/>
          <w:bCs/>
          <w:lang w:val="en-US"/>
        </w:rPr>
        <w:t xml:space="preserve"> analysis of dFAD deployments and trends is available, as part of the scheduled 2027 review of the Tropical Tuna Measure.</w:t>
      </w:r>
    </w:p>
    <w:p w14:paraId="2085D0B9" w14:textId="77777777" w:rsidR="004753AB" w:rsidRPr="00B845AF" w:rsidRDefault="004753AB" w:rsidP="004753AB">
      <w:pPr>
        <w:pStyle w:val="SCtext"/>
        <w:numPr>
          <w:ilvl w:val="0"/>
          <w:numId w:val="0"/>
        </w:numPr>
        <w:rPr>
          <w:rFonts w:asciiTheme="minorHAnsi" w:hAnsiTheme="minorHAnsi" w:cstheme="minorHAnsi"/>
          <w:b/>
          <w:bCs/>
          <w:lang w:val="en-US"/>
        </w:rPr>
      </w:pPr>
    </w:p>
    <w:p w14:paraId="634C4098" w14:textId="30172001" w:rsidR="004753AB" w:rsidRPr="00B845AF" w:rsidRDefault="004753AB">
      <w:pPr>
        <w:pStyle w:val="SCtext"/>
        <w:rPr>
          <w:rFonts w:asciiTheme="minorHAnsi" w:hAnsiTheme="minorHAnsi" w:cstheme="minorHAnsi"/>
          <w:b/>
          <w:bCs/>
          <w:lang w:val="en-US"/>
        </w:rPr>
      </w:pPr>
      <w:r w:rsidRPr="00B845AF">
        <w:rPr>
          <w:rFonts w:asciiTheme="minorHAnsi" w:hAnsiTheme="minorHAnsi" w:cstheme="minorHAnsi"/>
          <w:b/>
          <w:bCs/>
          <w:lang w:val="en-US"/>
        </w:rPr>
        <w:lastRenderedPageBreak/>
        <w:t>SC22 recommended that the SSP develop, for consideration by SC23, a set of FAD fishery indicators to support ongoing monitoring of trends in active dFAD buoys monitored per vessel in the WCPO FAD fishery, including, as appropriate, FAD catches and sets, dFAD buoy deployments and activity, apparent losses and strandings, and relevant observer data, including entanglements, and FAD logsheet data.</w:t>
      </w:r>
    </w:p>
    <w:bookmarkEnd w:id="65"/>
    <w:p w14:paraId="55B34D7C" w14:textId="77777777" w:rsidR="00CE049C" w:rsidRPr="00B845AF" w:rsidRDefault="00CE049C" w:rsidP="00CE049C">
      <w:pPr>
        <w:rPr>
          <w:rFonts w:asciiTheme="minorHAnsi" w:hAnsiTheme="minorHAnsi" w:cstheme="minorHAnsi"/>
          <w:b/>
          <w:szCs w:val="22"/>
        </w:rPr>
      </w:pPr>
    </w:p>
    <w:p w14:paraId="3321FE9D" w14:textId="70649F59" w:rsidR="00CE049C" w:rsidRPr="00B845AF" w:rsidRDefault="006B40D0">
      <w:pPr>
        <w:pStyle w:val="SC2"/>
        <w:rPr>
          <w:rFonts w:asciiTheme="minorHAnsi" w:hAnsiTheme="minorHAnsi" w:cstheme="minorHAnsi"/>
        </w:rPr>
      </w:pPr>
      <w:r w:rsidRPr="00B845AF">
        <w:rPr>
          <w:rFonts w:asciiTheme="minorHAnsi" w:hAnsiTheme="minorHAnsi" w:cstheme="minorHAnsi"/>
        </w:rPr>
        <w:t>Bycatch management</w:t>
      </w:r>
    </w:p>
    <w:p w14:paraId="5F41FDF6" w14:textId="3E2BF0C3" w:rsidR="006B40D0" w:rsidRPr="00B845AF" w:rsidRDefault="00414CC2">
      <w:pPr>
        <w:pStyle w:val="SC3"/>
        <w:rPr>
          <w:rFonts w:asciiTheme="minorHAnsi" w:hAnsiTheme="minorHAnsi" w:cstheme="minorHAnsi"/>
        </w:rPr>
      </w:pPr>
      <w:r w:rsidRPr="00B845AF">
        <w:rPr>
          <w:rFonts w:asciiTheme="minorHAnsi" w:hAnsiTheme="minorHAnsi" w:cstheme="minorHAnsi"/>
        </w:rPr>
        <w:t>Bycatch Management Information System (BMIS)</w:t>
      </w:r>
    </w:p>
    <w:p w14:paraId="7CC91E56" w14:textId="77777777" w:rsidR="009A59D1" w:rsidRPr="00B845AF" w:rsidRDefault="00C53A92">
      <w:pPr>
        <w:pStyle w:val="SCtext"/>
        <w:rPr>
          <w:rFonts w:asciiTheme="minorHAnsi" w:hAnsiTheme="minorHAnsi" w:cstheme="minorHAnsi"/>
          <w:lang w:val="en-US"/>
        </w:rPr>
      </w:pPr>
      <w:r w:rsidRPr="00B845AF">
        <w:rPr>
          <w:rFonts w:asciiTheme="minorHAnsi" w:hAnsiTheme="minorHAnsi" w:cstheme="minorHAnsi"/>
          <w:lang w:val="en-US"/>
        </w:rPr>
        <w:t xml:space="preserve">S. Nicol </w:t>
      </w:r>
      <w:r w:rsidR="00A253C2" w:rsidRPr="00B845AF">
        <w:rPr>
          <w:rFonts w:asciiTheme="minorHAnsi" w:hAnsiTheme="minorHAnsi" w:cstheme="minorHAnsi"/>
          <w:lang w:val="en-US"/>
        </w:rPr>
        <w:t xml:space="preserve">(SSP) </w:t>
      </w:r>
      <w:r w:rsidRPr="00B845AF">
        <w:rPr>
          <w:rFonts w:asciiTheme="minorHAnsi" w:hAnsiTheme="minorHAnsi" w:cstheme="minorHAnsi"/>
          <w:lang w:val="en-US"/>
        </w:rPr>
        <w:t xml:space="preserve">presented </w:t>
      </w:r>
      <w:hyperlink r:id="rId91" w:history="1">
        <w:r w:rsidRPr="00B845AF">
          <w:rPr>
            <w:rStyle w:val="Hyperlink"/>
            <w:rFonts w:asciiTheme="minorHAnsi" w:hAnsiTheme="minorHAnsi" w:cstheme="minorHAnsi"/>
            <w:lang w:val="en-US"/>
          </w:rPr>
          <w:t>WCPFC-SC22-2026-EB-WP05</w:t>
        </w:r>
      </w:hyperlink>
      <w:r w:rsidRPr="00B845AF">
        <w:rPr>
          <w:rFonts w:asciiTheme="minorHAnsi" w:hAnsiTheme="minorHAnsi" w:cstheme="minorHAnsi"/>
          <w:lang w:val="en-US"/>
        </w:rPr>
        <w:t xml:space="preserve"> on the BMIS, </w:t>
      </w:r>
      <w:r w:rsidR="009A59D1" w:rsidRPr="00B845AF">
        <w:rPr>
          <w:rFonts w:asciiTheme="minorHAnsi" w:hAnsiTheme="minorHAnsi" w:cstheme="minorHAnsi"/>
          <w:lang w:val="en-US"/>
        </w:rPr>
        <w:t xml:space="preserve">a curated bycatch knowledge base launched online in 2011 and covering seabirds, sharks and rays, marine turtles, and marine mammals across five tuna RFMOs. </w:t>
      </w:r>
    </w:p>
    <w:p w14:paraId="21C4920F" w14:textId="77777777" w:rsidR="009A59D1" w:rsidRPr="00B845AF" w:rsidRDefault="009A59D1" w:rsidP="009A59D1">
      <w:pPr>
        <w:pStyle w:val="SCtext"/>
        <w:numPr>
          <w:ilvl w:val="0"/>
          <w:numId w:val="0"/>
        </w:numPr>
        <w:rPr>
          <w:rFonts w:asciiTheme="minorHAnsi" w:hAnsiTheme="minorHAnsi" w:cstheme="minorHAnsi"/>
          <w:lang w:val="en-US"/>
        </w:rPr>
      </w:pPr>
    </w:p>
    <w:p w14:paraId="394A3F22" w14:textId="0D24040C" w:rsidR="00996B7F" w:rsidRPr="00B845AF" w:rsidRDefault="009A59D1" w:rsidP="009A59D1">
      <w:pPr>
        <w:pStyle w:val="SCtext"/>
        <w:numPr>
          <w:ilvl w:val="0"/>
          <w:numId w:val="0"/>
        </w:numPr>
        <w:ind w:leftChars="100" w:left="220"/>
        <w:rPr>
          <w:rFonts w:asciiTheme="minorHAnsi" w:hAnsiTheme="minorHAnsi" w:cstheme="minorHAnsi"/>
          <w:lang w:val="en-US"/>
        </w:rPr>
      </w:pPr>
      <w:r w:rsidRPr="00B845AF">
        <w:rPr>
          <w:rFonts w:asciiTheme="minorHAnsi" w:hAnsiTheme="minorHAnsi" w:cstheme="minorHAnsi"/>
          <w:lang w:val="en-US"/>
        </w:rPr>
        <w:t xml:space="preserve">The presentation set out the BMIS’s value to WCPFC, including equitable access to science for CCMs and participating territories with limited bycatch science capacity, cross-RFMO coherence in comparing bycatch CMMs, and support for CMM development and review, and noted that the resource is also structured for use by AI systems, though this application requires member direction. On artificial intelligence, the presentation addressed whether AI could replace the BMIS, concluding that AI performs best when drawing on structured, curated, and credible sources such as the BMIS, and that without such a curated source, users are more reliant on expert knowledge to appropriately prompt and review AI-derived information. The presentation reported a sharp rise in automated crawler and bot traffic on the BMIS from October 2025, which the SSP attributed to AI bot and crawler activity, prompting SPC to deploy Cloudflare in March 2026 to block most of it as a precaution, and set out the competing considerations around blocking, including protection of usage analytics and IT security against the potential loss of reach through AI-powered search and LLM training. The SSP advised that the BMIS is not currently managed under a clear policy on AI access and suggested that such a policy be developed with the WCPFC Secretariat. It also described planned minor redevelopment work </w:t>
      </w:r>
      <w:proofErr w:type="gramStart"/>
      <w:r w:rsidRPr="00B845AF">
        <w:rPr>
          <w:rFonts w:asciiTheme="minorHAnsi" w:hAnsiTheme="minorHAnsi" w:cstheme="minorHAnsi"/>
          <w:lang w:val="en-US"/>
        </w:rPr>
        <w:t>costed</w:t>
      </w:r>
      <w:proofErr w:type="gramEnd"/>
      <w:r w:rsidRPr="00B845AF">
        <w:rPr>
          <w:rFonts w:asciiTheme="minorHAnsi" w:hAnsiTheme="minorHAnsi" w:cstheme="minorHAnsi"/>
          <w:lang w:val="en-US"/>
        </w:rPr>
        <w:t xml:space="preserve"> at </w:t>
      </w:r>
      <w:proofErr w:type="gramStart"/>
      <w:r w:rsidRPr="00B845AF">
        <w:rPr>
          <w:rFonts w:asciiTheme="minorHAnsi" w:hAnsiTheme="minorHAnsi" w:cstheme="minorHAnsi"/>
          <w:lang w:val="en-US"/>
        </w:rPr>
        <w:t>USD 10,000, and</w:t>
      </w:r>
      <w:proofErr w:type="gramEnd"/>
      <w:r w:rsidRPr="00B845AF">
        <w:rPr>
          <w:rFonts w:asciiTheme="minorHAnsi" w:hAnsiTheme="minorHAnsi" w:cstheme="minorHAnsi"/>
          <w:lang w:val="en-US"/>
        </w:rPr>
        <w:t xml:space="preserve"> reported that donor financing from outside WCPFC had terminated in June 2026 and that resources for BMIS curation, maintenance, and administration are required for the resource to continue, with an annual budget of USD 42,000 required. SC22 was asked to consider the value WCPFC derives from the BMIS and, if it is considered a required WCPFC resource, to endorse an annual budget of USD 42,000 for curation, maintenance, and administration, and to request SPC and the WCPFC Secretariat to develop a crawler and bot policy for WCPFC web resources.</w:t>
      </w:r>
    </w:p>
    <w:p w14:paraId="70365B97" w14:textId="77777777" w:rsidR="006B40D0" w:rsidRPr="00B845AF" w:rsidRDefault="006B40D0" w:rsidP="006B40D0">
      <w:pPr>
        <w:pStyle w:val="SCtext"/>
        <w:numPr>
          <w:ilvl w:val="0"/>
          <w:numId w:val="0"/>
        </w:numPr>
        <w:rPr>
          <w:rFonts w:asciiTheme="minorHAnsi" w:hAnsiTheme="minorHAnsi" w:cstheme="minorHAnsi"/>
          <w:lang w:val="en-US"/>
        </w:rPr>
      </w:pPr>
    </w:p>
    <w:p w14:paraId="0C04C9E6" w14:textId="3EF2C073" w:rsidR="00403E17" w:rsidRPr="00B845AF" w:rsidRDefault="00BD45CB" w:rsidP="00BD45CB">
      <w:pPr>
        <w:pStyle w:val="SCDR"/>
        <w:rPr>
          <w:rFonts w:asciiTheme="minorHAnsi" w:hAnsiTheme="minorHAnsi" w:cstheme="minorHAnsi"/>
        </w:rPr>
      </w:pPr>
      <w:r w:rsidRPr="00B845AF">
        <w:rPr>
          <w:rFonts w:asciiTheme="minorHAnsi" w:hAnsiTheme="minorHAnsi" w:cstheme="minorHAnsi"/>
        </w:rPr>
        <w:t>Discussion</w:t>
      </w:r>
    </w:p>
    <w:p w14:paraId="2DD2D366" w14:textId="6728A9EC" w:rsidR="00403E17" w:rsidRPr="00B845AF" w:rsidRDefault="009815C5">
      <w:pPr>
        <w:pStyle w:val="SCtext"/>
        <w:rPr>
          <w:rFonts w:asciiTheme="minorHAnsi" w:hAnsiTheme="minorHAnsi" w:cstheme="minorHAnsi"/>
          <w:lang w:val="en-US"/>
        </w:rPr>
      </w:pPr>
      <w:r w:rsidRPr="00B845AF">
        <w:rPr>
          <w:rFonts w:asciiTheme="minorHAnsi" w:hAnsiTheme="minorHAnsi" w:cstheme="minorHAnsi"/>
          <w:lang w:val="en-US"/>
        </w:rPr>
        <w:t xml:space="preserve">Niue, on behalf of the FFA members, thanked the presenters and stated that WCPFC papers are publicly accessible and referenced the use of AI-enabled search tools in relation to accessing this information. Niue stated that FFA members would also be interested in the future model for the BMIS, including whether it continues to provide functionality that could not otherwise be delivered through AI access to WCPFC information. Niue noted the SC’s work program and budget pressures and stated that, in that context, a request for funding should demonstrate a clear comparative advantage and value to members, given the availability of other information sources, and stated that FFA members did not consider continued support for the BMIS platform to necessarily be a priority at this stage. Niue referred to the discussion in the paper regarding artificial intelligence and the use of AI tools to access WCPFC </w:t>
      </w:r>
      <w:proofErr w:type="gramStart"/>
      <w:r w:rsidRPr="00B845AF">
        <w:rPr>
          <w:rFonts w:asciiTheme="minorHAnsi" w:hAnsiTheme="minorHAnsi" w:cstheme="minorHAnsi"/>
          <w:lang w:val="en-US"/>
        </w:rPr>
        <w:t>information, and</w:t>
      </w:r>
      <w:proofErr w:type="gramEnd"/>
      <w:r w:rsidRPr="00B845AF">
        <w:rPr>
          <w:rFonts w:asciiTheme="minorHAnsi" w:hAnsiTheme="minorHAnsi" w:cstheme="minorHAnsi"/>
          <w:lang w:val="en-US"/>
        </w:rPr>
        <w:t xml:space="preserve"> stated that SC22 should recommend that WCPFC23 discuss whether the WCPFC Secretariat, in collaboration with SPC, could develop a </w:t>
      </w:r>
      <w:r w:rsidR="00535ED4" w:rsidRPr="00B845AF">
        <w:rPr>
          <w:rFonts w:asciiTheme="minorHAnsi" w:hAnsiTheme="minorHAnsi" w:cstheme="minorHAnsi"/>
          <w:lang w:val="en-US"/>
        </w:rPr>
        <w:t>Commission-wide</w:t>
      </w:r>
      <w:r w:rsidRPr="00B845AF">
        <w:rPr>
          <w:rFonts w:asciiTheme="minorHAnsi" w:hAnsiTheme="minorHAnsi" w:cstheme="minorHAnsi"/>
          <w:lang w:val="en-US"/>
        </w:rPr>
        <w:t xml:space="preserve"> policy for AI access to WCPFC information, including the appropriate use of AI tools in relation to WCPFC papers and scientific data by </w:t>
      </w:r>
      <w:r w:rsidRPr="00B845AF">
        <w:rPr>
          <w:rFonts w:asciiTheme="minorHAnsi" w:hAnsiTheme="minorHAnsi" w:cstheme="minorHAnsi"/>
          <w:lang w:val="en-US"/>
        </w:rPr>
        <w:lastRenderedPageBreak/>
        <w:t>external AI systems. Niue stated that, given these issues extend beyond the BMIS, any such policy should be developed consistently across all WCPFC workstreams rather than through the BMIS itself.</w:t>
      </w:r>
    </w:p>
    <w:p w14:paraId="4E3030F1" w14:textId="77777777" w:rsidR="00B27A33" w:rsidRPr="00B845AF" w:rsidRDefault="00B27A33" w:rsidP="00D44D44">
      <w:pPr>
        <w:pStyle w:val="SCtext"/>
        <w:numPr>
          <w:ilvl w:val="0"/>
          <w:numId w:val="0"/>
        </w:numPr>
        <w:rPr>
          <w:rFonts w:asciiTheme="minorHAnsi" w:hAnsiTheme="minorHAnsi" w:cstheme="minorHAnsi"/>
          <w:lang w:val="en-US"/>
        </w:rPr>
      </w:pPr>
    </w:p>
    <w:p w14:paraId="1CC97195" w14:textId="294AEE88" w:rsidR="00B27A33" w:rsidRPr="00B845AF" w:rsidRDefault="009815C5">
      <w:pPr>
        <w:pStyle w:val="SCtext"/>
        <w:rPr>
          <w:rFonts w:asciiTheme="minorHAnsi" w:hAnsiTheme="minorHAnsi" w:cstheme="minorHAnsi"/>
          <w:lang w:val="en-US"/>
        </w:rPr>
      </w:pPr>
      <w:r w:rsidRPr="00B845AF">
        <w:rPr>
          <w:rFonts w:asciiTheme="minorHAnsi" w:hAnsiTheme="minorHAnsi" w:cstheme="minorHAnsi"/>
          <w:lang w:val="en-US"/>
        </w:rPr>
        <w:t>ISSF acknowledged the importance of the BMIS, particularly in facilitating access to information and increasing the capacity of WCPFC members, including in relation to data analysis. ISSF stated that it would like to continue to support the work and indicated a funding contribution toward it.</w:t>
      </w:r>
    </w:p>
    <w:p w14:paraId="3AAD93B9" w14:textId="30090284" w:rsidR="005B6C95" w:rsidRPr="00B845AF" w:rsidRDefault="005B6C95" w:rsidP="005B6C95">
      <w:pPr>
        <w:pStyle w:val="SCtext"/>
        <w:numPr>
          <w:ilvl w:val="0"/>
          <w:numId w:val="0"/>
        </w:numPr>
        <w:rPr>
          <w:rFonts w:asciiTheme="minorHAnsi" w:hAnsiTheme="minorHAnsi" w:cstheme="minorHAnsi"/>
          <w:lang w:val="en-US"/>
        </w:rPr>
      </w:pPr>
    </w:p>
    <w:p w14:paraId="64B2416A" w14:textId="3E83AE21" w:rsidR="005B6C95" w:rsidRPr="00B845AF" w:rsidRDefault="005B6C95" w:rsidP="005B6C95">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26266059" w14:textId="14AFCDC6" w:rsidR="005B6C95" w:rsidRPr="00B845AF" w:rsidRDefault="005B6C95">
      <w:pPr>
        <w:pStyle w:val="SCtext"/>
        <w:rPr>
          <w:rFonts w:asciiTheme="minorHAnsi" w:hAnsiTheme="minorHAnsi" w:cstheme="minorHAnsi"/>
          <w:lang w:val="en-US"/>
        </w:rPr>
      </w:pPr>
      <w:r w:rsidRPr="00B845AF">
        <w:rPr>
          <w:rFonts w:asciiTheme="minorHAnsi" w:hAnsiTheme="minorHAnsi" w:cstheme="minorHAnsi"/>
          <w:lang w:val="en-US"/>
        </w:rPr>
        <w:t>SC22 noted the increasing use of AI-assisted access to WCPFC scientific information, and the concerns raised by the SSP that, in the absence of a robust, accurate and well-curated data source, information sourced through these tools may include spurious or incorrect content.</w:t>
      </w:r>
    </w:p>
    <w:p w14:paraId="3775EDE9" w14:textId="77777777" w:rsidR="005B6C95" w:rsidRPr="00B845AF" w:rsidRDefault="005B6C95" w:rsidP="005B6C95">
      <w:pPr>
        <w:pStyle w:val="SCtext"/>
        <w:numPr>
          <w:ilvl w:val="0"/>
          <w:numId w:val="0"/>
        </w:numPr>
        <w:rPr>
          <w:rFonts w:asciiTheme="minorHAnsi" w:hAnsiTheme="minorHAnsi" w:cstheme="minorHAnsi"/>
          <w:b/>
          <w:bCs/>
          <w:lang w:val="en-US"/>
        </w:rPr>
      </w:pPr>
    </w:p>
    <w:p w14:paraId="08969A72" w14:textId="743DD439" w:rsidR="005B6C95" w:rsidRPr="00B845AF" w:rsidRDefault="005B6C95">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WCPFC23 discuss whether the WCPFC Secretariat, in collaboration with the SSP, should develop a Commission-wide policy on AI access to WCPFC information for consideration by WCPFC24, and whether such a policy should apply consistently across all WCPFC scientific workstreams.</w:t>
      </w:r>
    </w:p>
    <w:p w14:paraId="03A8F248" w14:textId="036378CB" w:rsidR="00414CC2" w:rsidRPr="00B845AF" w:rsidRDefault="00414CC2" w:rsidP="00414CC2">
      <w:pPr>
        <w:pStyle w:val="SCtext"/>
        <w:numPr>
          <w:ilvl w:val="0"/>
          <w:numId w:val="0"/>
        </w:numPr>
        <w:rPr>
          <w:rFonts w:asciiTheme="minorHAnsi" w:hAnsiTheme="minorHAnsi" w:cstheme="minorHAnsi"/>
          <w:lang w:val="en-US"/>
        </w:rPr>
      </w:pPr>
    </w:p>
    <w:p w14:paraId="6952B2E4" w14:textId="309B73A0" w:rsidR="000D08DD" w:rsidRPr="00B845AF" w:rsidRDefault="00414CC2">
      <w:pPr>
        <w:pStyle w:val="SC3"/>
        <w:rPr>
          <w:rFonts w:asciiTheme="minorHAnsi" w:hAnsiTheme="minorHAnsi" w:cstheme="minorHAnsi"/>
        </w:rPr>
      </w:pPr>
      <w:r w:rsidRPr="00B845AF">
        <w:rPr>
          <w:rFonts w:asciiTheme="minorHAnsi" w:hAnsiTheme="minorHAnsi" w:cstheme="minorHAnsi"/>
        </w:rPr>
        <w:t>Review of CMM for seabirds (CMM 2025-05)</w:t>
      </w:r>
    </w:p>
    <w:p w14:paraId="765656F4" w14:textId="445C9D71" w:rsidR="000D08DD" w:rsidRPr="00B845AF" w:rsidRDefault="009815C5">
      <w:pPr>
        <w:pStyle w:val="SCtext"/>
        <w:rPr>
          <w:rFonts w:asciiTheme="minorHAnsi" w:hAnsiTheme="minorHAnsi" w:cstheme="minorHAnsi"/>
          <w:lang w:val="en-US"/>
        </w:rPr>
      </w:pPr>
      <w:hyperlink r:id="rId92" w:history="1">
        <w:r w:rsidRPr="00B845AF">
          <w:rPr>
            <w:rStyle w:val="Hyperlink"/>
            <w:rFonts w:asciiTheme="minorHAnsi" w:hAnsiTheme="minorHAnsi" w:cstheme="minorHAnsi"/>
            <w:lang w:val="en-US"/>
          </w:rPr>
          <w:t>WCPFC-SC22-2026-EB-IP16</w:t>
        </w:r>
      </w:hyperlink>
      <w:r w:rsidRPr="00B845AF">
        <w:rPr>
          <w:rFonts w:asciiTheme="minorHAnsi" w:hAnsiTheme="minorHAnsi" w:cstheme="minorHAnsi"/>
          <w:lang w:val="en-US"/>
        </w:rPr>
        <w:t xml:space="preserve"> was acknowledged as read.</w:t>
      </w:r>
    </w:p>
    <w:p w14:paraId="3F58929C" w14:textId="1BCDBDB0" w:rsidR="004D2B46" w:rsidRPr="00B845AF" w:rsidRDefault="004D2B46" w:rsidP="004D2B46">
      <w:pPr>
        <w:pStyle w:val="SCtext"/>
        <w:numPr>
          <w:ilvl w:val="0"/>
          <w:numId w:val="0"/>
        </w:numPr>
        <w:rPr>
          <w:rFonts w:asciiTheme="minorHAnsi" w:hAnsiTheme="minorHAnsi" w:cstheme="minorHAnsi"/>
          <w:lang w:val="en-US"/>
        </w:rPr>
      </w:pPr>
    </w:p>
    <w:p w14:paraId="74FC726E" w14:textId="61865823" w:rsidR="00414CC2" w:rsidRPr="00B845AF" w:rsidRDefault="00414CC2" w:rsidP="00414CC2">
      <w:pPr>
        <w:pStyle w:val="SCDR"/>
        <w:rPr>
          <w:rFonts w:asciiTheme="minorHAnsi" w:hAnsiTheme="minorHAnsi" w:cstheme="minorHAnsi"/>
        </w:rPr>
      </w:pPr>
      <w:r w:rsidRPr="00B845AF">
        <w:rPr>
          <w:rFonts w:asciiTheme="minorHAnsi" w:hAnsiTheme="minorHAnsi" w:cstheme="minorHAnsi"/>
        </w:rPr>
        <w:t>Discussion</w:t>
      </w:r>
    </w:p>
    <w:p w14:paraId="6A98CD0D" w14:textId="0416143B" w:rsidR="005563FD" w:rsidRPr="00B845AF" w:rsidRDefault="009815C5">
      <w:pPr>
        <w:pStyle w:val="SCtext"/>
        <w:rPr>
          <w:rFonts w:asciiTheme="minorHAnsi" w:hAnsiTheme="minorHAnsi" w:cstheme="minorHAnsi"/>
          <w:lang w:val="en-US"/>
        </w:rPr>
      </w:pPr>
      <w:r w:rsidRPr="00B845AF">
        <w:rPr>
          <w:rFonts w:asciiTheme="minorHAnsi" w:hAnsiTheme="minorHAnsi" w:cstheme="minorHAnsi"/>
          <w:lang w:val="en-US"/>
        </w:rPr>
        <w:t>No discussions were held on this item.</w:t>
      </w:r>
    </w:p>
    <w:p w14:paraId="61162785" w14:textId="29F70810" w:rsidR="00414CC2" w:rsidRPr="00B845AF" w:rsidRDefault="00414CC2" w:rsidP="00414CC2">
      <w:pPr>
        <w:pStyle w:val="SCtext"/>
        <w:numPr>
          <w:ilvl w:val="0"/>
          <w:numId w:val="0"/>
        </w:numPr>
        <w:rPr>
          <w:rFonts w:asciiTheme="minorHAnsi" w:hAnsiTheme="minorHAnsi" w:cstheme="minorHAnsi"/>
          <w:lang w:val="en-US"/>
        </w:rPr>
      </w:pPr>
    </w:p>
    <w:p w14:paraId="676AD98D" w14:textId="093B9CAC" w:rsidR="004D2B46" w:rsidRPr="00B845AF" w:rsidRDefault="00414CC2">
      <w:pPr>
        <w:pStyle w:val="SC3"/>
        <w:rPr>
          <w:rFonts w:asciiTheme="minorHAnsi" w:hAnsiTheme="minorHAnsi" w:cstheme="minorHAnsi"/>
        </w:rPr>
      </w:pPr>
      <w:r w:rsidRPr="00B845AF">
        <w:rPr>
          <w:rFonts w:asciiTheme="minorHAnsi" w:hAnsiTheme="minorHAnsi" w:cstheme="minorHAnsi"/>
        </w:rPr>
        <w:t>Review of CMM for sea turtles (CMM 2018-04)</w:t>
      </w:r>
    </w:p>
    <w:p w14:paraId="0F996FB6" w14:textId="1D05E9F9" w:rsidR="00A764D6" w:rsidRPr="00B845AF" w:rsidRDefault="00A764D6">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H. Kubota (Japan) presented </w:t>
      </w:r>
      <w:hyperlink r:id="rId93" w:history="1">
        <w:r w:rsidR="00FF2D60" w:rsidRPr="00B845AF">
          <w:rPr>
            <w:rStyle w:val="Hyperlink"/>
            <w:rFonts w:asciiTheme="minorHAnsi" w:eastAsia="MS Mincho" w:hAnsiTheme="minorHAnsi" w:cstheme="minorHAnsi"/>
            <w:lang w:val="en-US" w:eastAsia="ja-JP"/>
          </w:rPr>
          <w:t>WCPFC-</w:t>
        </w:r>
        <w:r w:rsidRPr="00B845AF">
          <w:rPr>
            <w:rStyle w:val="Hyperlink"/>
            <w:rFonts w:asciiTheme="minorHAnsi" w:eastAsia="MS Mincho" w:hAnsiTheme="minorHAnsi" w:cstheme="minorHAnsi"/>
            <w:lang w:val="en-US" w:eastAsia="ja-JP"/>
          </w:rPr>
          <w:t>SC22</w:t>
        </w:r>
        <w:r w:rsidR="00FF2D60" w:rsidRPr="00B845AF">
          <w:rPr>
            <w:rStyle w:val="Hyperlink"/>
            <w:rFonts w:asciiTheme="minorHAnsi" w:eastAsia="MS Mincho" w:hAnsiTheme="minorHAnsi" w:cstheme="minorHAnsi"/>
            <w:lang w:val="en-US" w:eastAsia="ja-JP"/>
          </w:rPr>
          <w:t>-2026</w:t>
        </w:r>
        <w:r w:rsidRPr="00B845AF">
          <w:rPr>
            <w:rStyle w:val="Hyperlink"/>
            <w:rFonts w:asciiTheme="minorHAnsi" w:eastAsia="MS Mincho" w:hAnsiTheme="minorHAnsi" w:cstheme="minorHAnsi"/>
            <w:lang w:val="en-US" w:eastAsia="ja-JP"/>
          </w:rPr>
          <w:t>-EB-WP06</w:t>
        </w:r>
      </w:hyperlink>
      <w:r w:rsidRPr="00B845AF">
        <w:rPr>
          <w:rFonts w:asciiTheme="minorHAnsi" w:eastAsia="MS Mincho" w:hAnsiTheme="minorHAnsi" w:cstheme="minorHAnsi"/>
          <w:lang w:val="en-US" w:eastAsia="ja-JP"/>
        </w:rPr>
        <w:t xml:space="preserve">, </w:t>
      </w:r>
      <w:r w:rsidRPr="00B845AF">
        <w:rPr>
          <w:rFonts w:asciiTheme="minorHAnsi" w:eastAsia="MS Mincho" w:hAnsiTheme="minorHAnsi" w:cstheme="minorHAnsi"/>
          <w:i/>
          <w:iCs/>
          <w:lang w:val="en-US" w:eastAsia="ja-JP"/>
        </w:rPr>
        <w:t>A synthesis review of sea turtle interaction processes, mitigation measures and its limitations in tuna longline fisheries</w:t>
      </w:r>
      <w:r w:rsidRPr="00B845AF">
        <w:rPr>
          <w:rFonts w:asciiTheme="minorHAnsi" w:eastAsia="MS Mincho" w:hAnsiTheme="minorHAnsi" w:cstheme="minorHAnsi"/>
          <w:lang w:val="en-US" w:eastAsia="ja-JP"/>
        </w:rPr>
        <w:t xml:space="preserve">. </w:t>
      </w:r>
    </w:p>
    <w:p w14:paraId="207F0097" w14:textId="77777777" w:rsidR="00A764D6" w:rsidRPr="00B845AF" w:rsidRDefault="00A764D6" w:rsidP="00A764D6">
      <w:pPr>
        <w:pStyle w:val="SCtext"/>
        <w:numPr>
          <w:ilvl w:val="0"/>
          <w:numId w:val="0"/>
        </w:numPr>
        <w:rPr>
          <w:rFonts w:asciiTheme="minorHAnsi" w:eastAsia="MS Mincho" w:hAnsiTheme="minorHAnsi" w:cstheme="minorHAnsi"/>
          <w:lang w:val="en-US" w:eastAsia="ja-JP"/>
        </w:rPr>
      </w:pPr>
    </w:p>
    <w:p w14:paraId="229871CD" w14:textId="53F6C0D6" w:rsidR="00FA56F6" w:rsidRPr="00B845AF" w:rsidRDefault="00A764D6" w:rsidP="00FF2D60">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The paper provides information that large circle hooks and finfish bait can reduce sea turtle bycatch in shallow-set fisheries but increase shark bycatch. The paper also indicated that </w:t>
      </w:r>
      <w:r w:rsidR="00535ED4" w:rsidRPr="00B845AF">
        <w:rPr>
          <w:rFonts w:asciiTheme="minorHAnsi" w:eastAsia="MS Mincho" w:hAnsiTheme="minorHAnsi" w:cstheme="minorHAnsi"/>
          <w:lang w:val="en-US" w:eastAsia="ja-JP"/>
        </w:rPr>
        <w:t xml:space="preserve">the </w:t>
      </w:r>
      <w:r w:rsidRPr="00B845AF">
        <w:rPr>
          <w:rFonts w:asciiTheme="minorHAnsi" w:eastAsia="MS Mincho" w:hAnsiTheme="minorHAnsi" w:cstheme="minorHAnsi"/>
          <w:lang w:val="en-US" w:eastAsia="ja-JP"/>
        </w:rPr>
        <w:t>effectiveness of sea turtle mitigation measures in deep-set fisheries remains unclear due to limited evidence, highlighting the need for further research.</w:t>
      </w:r>
    </w:p>
    <w:p w14:paraId="1C3DD7EC" w14:textId="0B9126F8" w:rsidR="00FF2D60" w:rsidRPr="00B845AF" w:rsidRDefault="00FF2D60" w:rsidP="00FF2D60">
      <w:pPr>
        <w:pStyle w:val="SCtext"/>
        <w:numPr>
          <w:ilvl w:val="0"/>
          <w:numId w:val="0"/>
        </w:numPr>
        <w:ind w:left="720"/>
        <w:rPr>
          <w:rFonts w:asciiTheme="minorHAnsi" w:eastAsia="MS Mincho" w:hAnsiTheme="minorHAnsi" w:cstheme="minorHAnsi"/>
          <w:lang w:val="en-US" w:eastAsia="ja-JP"/>
        </w:rPr>
      </w:pPr>
    </w:p>
    <w:p w14:paraId="00523603" w14:textId="1E0BA3B2" w:rsidR="001A178B" w:rsidRPr="00B845AF" w:rsidRDefault="00FF2D60">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K. Okamoto (Japan) presented </w:t>
      </w:r>
      <w:hyperlink r:id="rId94" w:history="1">
        <w:r w:rsidRPr="00B845AF">
          <w:rPr>
            <w:rStyle w:val="Hyperlink"/>
            <w:rFonts w:asciiTheme="minorHAnsi" w:eastAsia="MS Mincho" w:hAnsiTheme="minorHAnsi" w:cstheme="minorHAnsi"/>
            <w:lang w:val="en-US" w:eastAsia="ja-JP"/>
          </w:rPr>
          <w:t>WCPFC-SC22-2026-EB-WP07</w:t>
        </w:r>
      </w:hyperlink>
      <w:r w:rsidRPr="00B845AF">
        <w:rPr>
          <w:rFonts w:asciiTheme="minorHAnsi" w:eastAsia="MS Mincho" w:hAnsiTheme="minorHAnsi" w:cstheme="minorHAnsi"/>
          <w:lang w:val="en-US" w:eastAsia="ja-JP"/>
        </w:rPr>
        <w:t xml:space="preserve">, </w:t>
      </w:r>
      <w:r w:rsidR="00535ED4" w:rsidRPr="00B845AF">
        <w:rPr>
          <w:rFonts w:asciiTheme="minorHAnsi" w:eastAsia="MS Mincho" w:hAnsiTheme="minorHAnsi" w:cstheme="minorHAnsi"/>
          <w:i/>
          <w:iCs/>
          <w:lang w:val="en-US" w:eastAsia="ja-JP"/>
        </w:rPr>
        <w:t>Data-limited</w:t>
      </w:r>
      <w:r w:rsidRPr="00B845AF">
        <w:rPr>
          <w:rFonts w:asciiTheme="minorHAnsi" w:eastAsia="MS Mincho" w:hAnsiTheme="minorHAnsi" w:cstheme="minorHAnsi"/>
          <w:i/>
          <w:iCs/>
          <w:lang w:val="en-US" w:eastAsia="ja-JP"/>
        </w:rPr>
        <w:t xml:space="preserve"> issue toward implementing ecological risk assessment for sea turtles and a proposal for future research plans</w:t>
      </w:r>
      <w:r w:rsidRPr="00B845AF">
        <w:rPr>
          <w:rFonts w:asciiTheme="minorHAnsi" w:eastAsia="MS Mincho" w:hAnsiTheme="minorHAnsi" w:cstheme="minorHAnsi"/>
          <w:lang w:val="en-US" w:eastAsia="ja-JP"/>
        </w:rPr>
        <w:t xml:space="preserve">. </w:t>
      </w:r>
    </w:p>
    <w:p w14:paraId="202872A5" w14:textId="77777777" w:rsidR="001A178B" w:rsidRPr="00B845AF" w:rsidRDefault="001A178B" w:rsidP="001A178B">
      <w:pPr>
        <w:pStyle w:val="SCtext"/>
        <w:numPr>
          <w:ilvl w:val="0"/>
          <w:numId w:val="0"/>
        </w:numPr>
        <w:rPr>
          <w:rFonts w:asciiTheme="minorHAnsi" w:eastAsia="MS Mincho" w:hAnsiTheme="minorHAnsi" w:cstheme="minorHAnsi"/>
          <w:lang w:val="en-US" w:eastAsia="ja-JP"/>
        </w:rPr>
      </w:pPr>
    </w:p>
    <w:p w14:paraId="0C315A77" w14:textId="3F9398CA" w:rsidR="00FF2D60" w:rsidRPr="00B845AF" w:rsidRDefault="001A178B" w:rsidP="001A178B">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The paper noted that current sea turtle bycatch datasets suffer from species misidentification, underreporting, and inconsistent recording, requiring improved data quality. The paper pointed out that scientifically robust risk assessment also requires controlled mitigation studies and species-specific ecological information on sea turtle distribution, migration, and population status.</w:t>
      </w:r>
    </w:p>
    <w:p w14:paraId="166DCD55" w14:textId="0D6B0515" w:rsidR="00891F08" w:rsidRPr="00B845AF" w:rsidRDefault="00891F08" w:rsidP="00891F08">
      <w:pPr>
        <w:pStyle w:val="SCtext"/>
        <w:numPr>
          <w:ilvl w:val="0"/>
          <w:numId w:val="0"/>
        </w:numPr>
        <w:rPr>
          <w:rFonts w:asciiTheme="minorHAnsi" w:eastAsia="MS Mincho" w:hAnsiTheme="minorHAnsi" w:cstheme="minorHAnsi"/>
          <w:lang w:val="en-US" w:eastAsia="ja-JP"/>
        </w:rPr>
      </w:pPr>
    </w:p>
    <w:p w14:paraId="10B7FFDF" w14:textId="77777777" w:rsidR="00891F08" w:rsidRPr="00B845AF" w:rsidRDefault="00891F08">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Y. Swimmer (USA) presented </w:t>
      </w:r>
      <w:hyperlink r:id="rId95" w:history="1">
        <w:r w:rsidRPr="00B845AF">
          <w:rPr>
            <w:rStyle w:val="Hyperlink"/>
            <w:rFonts w:asciiTheme="minorHAnsi" w:eastAsia="MS Mincho" w:hAnsiTheme="minorHAnsi" w:cstheme="minorHAnsi"/>
            <w:lang w:val="en-US" w:eastAsia="ja-JP"/>
          </w:rPr>
          <w:t>WCPFC-SC22-2026-EB-WP09</w:t>
        </w:r>
      </w:hyperlink>
      <w:r w:rsidRPr="00B845AF">
        <w:rPr>
          <w:rFonts w:asciiTheme="minorHAnsi" w:eastAsia="MS Mincho" w:hAnsiTheme="minorHAnsi" w:cstheme="minorHAnsi"/>
          <w:lang w:val="en-US" w:eastAsia="ja-JP"/>
        </w:rPr>
        <w:t xml:space="preserve">, which summarized the discussions and outcomes of the two-day informal intersessional working group established to review CMM 2018-04 and assess its effectiveness in reducing sea turtle bycatch and fisheries-related mortality in the WCPO. </w:t>
      </w:r>
    </w:p>
    <w:p w14:paraId="7DDFCD66" w14:textId="77777777" w:rsidR="00891F08" w:rsidRPr="00B845AF" w:rsidRDefault="00891F08" w:rsidP="00891F08">
      <w:pPr>
        <w:pStyle w:val="SCtext"/>
        <w:numPr>
          <w:ilvl w:val="0"/>
          <w:numId w:val="0"/>
        </w:numPr>
        <w:rPr>
          <w:rFonts w:asciiTheme="minorHAnsi" w:eastAsia="MS Mincho" w:hAnsiTheme="minorHAnsi" w:cstheme="minorHAnsi"/>
          <w:lang w:val="en-US" w:eastAsia="ja-JP"/>
        </w:rPr>
      </w:pPr>
    </w:p>
    <w:p w14:paraId="5DAEA9E1" w14:textId="275B85B6" w:rsidR="00891F08" w:rsidRPr="00B845AF" w:rsidRDefault="00891F08" w:rsidP="00891F08">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lastRenderedPageBreak/>
        <w:t>The presentation covered the working group’s objectives, including sharing relevant information to support science-based decisions on an effective sea turtle CMM, considering the expansion of the measure to include mitigation measures for deep-set longline fisheries, clarifying sea turtle data reporting requirements to improve estimates and understanding of sea turtle bycatch, and considering ideas for a revised sea turtle CMM.</w:t>
      </w:r>
    </w:p>
    <w:p w14:paraId="0BA1CEB6" w14:textId="5983DD9A" w:rsidR="00A77E54" w:rsidRPr="00B845AF" w:rsidRDefault="00A77E54" w:rsidP="00A77E54">
      <w:pPr>
        <w:pStyle w:val="SCtext"/>
        <w:numPr>
          <w:ilvl w:val="0"/>
          <w:numId w:val="0"/>
        </w:numPr>
        <w:rPr>
          <w:rFonts w:asciiTheme="minorHAnsi" w:eastAsia="MS Mincho" w:hAnsiTheme="minorHAnsi" w:cstheme="minorHAnsi"/>
          <w:lang w:val="en-US" w:eastAsia="ja-JP"/>
        </w:rPr>
      </w:pPr>
    </w:p>
    <w:p w14:paraId="25D84F36" w14:textId="77777777" w:rsidR="00A77E54" w:rsidRPr="00B845AF" w:rsidRDefault="00A77E54">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 xml:space="preserve">J. Van Wert (USA), presenting </w:t>
      </w:r>
      <w:hyperlink r:id="rId96" w:history="1">
        <w:r w:rsidRPr="00B845AF">
          <w:rPr>
            <w:rStyle w:val="Hyperlink"/>
            <w:rFonts w:asciiTheme="minorHAnsi" w:eastAsia="MS Mincho" w:hAnsiTheme="minorHAnsi" w:cstheme="minorHAnsi"/>
            <w:lang w:val="en-US" w:eastAsia="ja-JP"/>
          </w:rPr>
          <w:t>WCPFC-SC22-2026-EB-WP08</w:t>
        </w:r>
      </w:hyperlink>
      <w:r w:rsidRPr="00B845AF">
        <w:rPr>
          <w:rFonts w:asciiTheme="minorHAnsi" w:eastAsia="MS Mincho" w:hAnsiTheme="minorHAnsi" w:cstheme="minorHAnsi"/>
          <w:lang w:val="en-US" w:eastAsia="ja-JP"/>
        </w:rPr>
        <w:t xml:space="preserve">, explained that the analysis used human observer data collected by the Pacific Island Regional Observer Program for the period 2005–2024 and applied ensemble random forest models to identify oceanographic and operational covariates associated with increases or decreases in bycatch risk for leatherback sea turtles in the Hawaiʻi deep-set longline fishery. </w:t>
      </w:r>
    </w:p>
    <w:p w14:paraId="673BB317" w14:textId="77777777" w:rsidR="00A77E54" w:rsidRPr="00B845AF" w:rsidRDefault="00A77E54" w:rsidP="00A77E54">
      <w:pPr>
        <w:pStyle w:val="SCtext"/>
        <w:numPr>
          <w:ilvl w:val="0"/>
          <w:numId w:val="0"/>
        </w:numPr>
        <w:rPr>
          <w:rFonts w:asciiTheme="minorHAnsi" w:eastAsia="MS Mincho" w:hAnsiTheme="minorHAnsi" w:cstheme="minorHAnsi"/>
          <w:lang w:val="en-US" w:eastAsia="ja-JP"/>
        </w:rPr>
      </w:pPr>
    </w:p>
    <w:p w14:paraId="13F443CC" w14:textId="2656FDB4" w:rsidR="00A77E54" w:rsidRPr="00B845AF" w:rsidRDefault="00A77E54" w:rsidP="00A77E54">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The analysis identified oceanographic conditions associated with higher leatherback interaction probability, including SST fronts, mesoscale eddies, and deformations with strong east or west currents, as well as gear characteristics, including ≤ 10° 16/0 circle hooks and monofilament leaders, for further investigation. J. Van Wert noted that the preliminary analysis lays the foundation for expanding the work to incorporate ROP data in future analyses, thereby enabling the identification of oceanographic and operational factors associated with leatherback turtle bycatch across the WCPFC Convention Area using a combined observer dataset.</w:t>
      </w:r>
    </w:p>
    <w:p w14:paraId="32D953B5" w14:textId="4CEF06B0" w:rsidR="00A77E54" w:rsidRPr="00B845AF" w:rsidRDefault="00A77E54" w:rsidP="00A77E54">
      <w:pPr>
        <w:pStyle w:val="SCtext"/>
        <w:numPr>
          <w:ilvl w:val="0"/>
          <w:numId w:val="0"/>
        </w:numPr>
        <w:rPr>
          <w:rFonts w:asciiTheme="minorHAnsi" w:eastAsia="MS Mincho" w:hAnsiTheme="minorHAnsi" w:cstheme="minorHAnsi"/>
          <w:lang w:val="en-US" w:eastAsia="ja-JP"/>
        </w:rPr>
      </w:pPr>
    </w:p>
    <w:p w14:paraId="3A56D8F2" w14:textId="1DA1E3B3" w:rsidR="001030CE" w:rsidRPr="00B845AF" w:rsidRDefault="00AF59BC">
      <w:pPr>
        <w:pStyle w:val="SCtext"/>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Y. Swimmer (</w:t>
      </w:r>
      <w:r w:rsidR="00891F08" w:rsidRPr="00B845AF">
        <w:rPr>
          <w:rFonts w:asciiTheme="minorHAnsi" w:eastAsia="MS Mincho" w:hAnsiTheme="minorHAnsi" w:cstheme="minorHAnsi"/>
          <w:lang w:val="en-US" w:eastAsia="ja-JP"/>
        </w:rPr>
        <w:t>USA</w:t>
      </w:r>
      <w:r w:rsidRPr="00B845AF">
        <w:rPr>
          <w:rFonts w:asciiTheme="minorHAnsi" w:eastAsia="MS Mincho" w:hAnsiTheme="minorHAnsi" w:cstheme="minorHAnsi"/>
          <w:lang w:val="en-US" w:eastAsia="ja-JP"/>
        </w:rPr>
        <w:t>)</w:t>
      </w:r>
      <w:r w:rsidR="00891F08" w:rsidRPr="00B845AF">
        <w:rPr>
          <w:rFonts w:asciiTheme="minorHAnsi" w:eastAsia="MS Mincho" w:hAnsiTheme="minorHAnsi" w:cstheme="minorHAnsi"/>
          <w:lang w:val="en-US" w:eastAsia="ja-JP"/>
        </w:rPr>
        <w:t xml:space="preserve"> </w:t>
      </w:r>
      <w:r w:rsidR="001030CE" w:rsidRPr="00B845AF">
        <w:rPr>
          <w:rFonts w:asciiTheme="minorHAnsi" w:eastAsia="MS Mincho" w:hAnsiTheme="minorHAnsi" w:cstheme="minorHAnsi"/>
          <w:lang w:val="en-US" w:eastAsia="ja-JP"/>
        </w:rPr>
        <w:t>presented</w:t>
      </w:r>
      <w:r w:rsidR="00891F08" w:rsidRPr="00B845AF">
        <w:rPr>
          <w:rFonts w:asciiTheme="minorHAnsi" w:eastAsia="MS Mincho" w:hAnsiTheme="minorHAnsi" w:cstheme="minorHAnsi"/>
          <w:lang w:val="en-US" w:eastAsia="ja-JP"/>
        </w:rPr>
        <w:t xml:space="preserve"> </w:t>
      </w:r>
      <w:hyperlink r:id="rId97" w:history="1">
        <w:r w:rsidR="00891F08" w:rsidRPr="00B845AF">
          <w:rPr>
            <w:rStyle w:val="Hyperlink"/>
            <w:rFonts w:asciiTheme="minorHAnsi" w:eastAsia="MS Mincho" w:hAnsiTheme="minorHAnsi" w:cstheme="minorHAnsi"/>
            <w:lang w:val="en-US" w:eastAsia="ja-JP"/>
          </w:rPr>
          <w:t>WCPFC-SC22-2026-EB-WP10</w:t>
        </w:r>
      </w:hyperlink>
      <w:r w:rsidR="001030CE" w:rsidRPr="00B845AF">
        <w:rPr>
          <w:rFonts w:asciiTheme="minorHAnsi" w:eastAsia="MS Mincho" w:hAnsiTheme="minorHAnsi" w:cstheme="minorHAnsi"/>
          <w:lang w:val="en-US" w:eastAsia="ja-JP"/>
        </w:rPr>
        <w:t>, which proposed amendments to the current SciData requirements to clarify sea turtle interaction reporting requirements under CMM 2018-04 (paragraphs 5c and 7e).</w:t>
      </w:r>
    </w:p>
    <w:p w14:paraId="5BAEAAFF" w14:textId="77777777" w:rsidR="001030CE" w:rsidRPr="00B845AF" w:rsidRDefault="001030CE" w:rsidP="001030CE">
      <w:pPr>
        <w:pStyle w:val="SCtext"/>
        <w:numPr>
          <w:ilvl w:val="0"/>
          <w:numId w:val="0"/>
        </w:numPr>
        <w:rPr>
          <w:rFonts w:asciiTheme="minorHAnsi" w:eastAsia="MS Mincho" w:hAnsiTheme="minorHAnsi" w:cstheme="minorHAnsi"/>
          <w:lang w:val="en-US" w:eastAsia="ja-JP"/>
        </w:rPr>
      </w:pPr>
    </w:p>
    <w:p w14:paraId="574AB22F" w14:textId="6803E61F" w:rsidR="001030CE" w:rsidRPr="00B845AF" w:rsidRDefault="001030CE" w:rsidP="00891F08">
      <w:pPr>
        <w:pStyle w:val="SCtext"/>
        <w:numPr>
          <w:ilvl w:val="0"/>
          <w:numId w:val="0"/>
        </w:numPr>
        <w:ind w:left="720"/>
        <w:rPr>
          <w:rFonts w:asciiTheme="minorHAnsi" w:eastAsia="MS Mincho" w:hAnsiTheme="minorHAnsi" w:cstheme="minorHAnsi"/>
          <w:lang w:val="en-US" w:eastAsia="ja-JP"/>
        </w:rPr>
      </w:pPr>
      <w:r w:rsidRPr="00B845AF">
        <w:rPr>
          <w:rFonts w:asciiTheme="minorHAnsi" w:eastAsia="MS Mincho" w:hAnsiTheme="minorHAnsi" w:cstheme="minorHAnsi"/>
          <w:lang w:val="en-US" w:eastAsia="ja-JP"/>
        </w:rPr>
        <w:t>The paper also proposed modifications to specific data fields in the ROP Minimum Standard Data Fields to improve understanding of sea turtle interactions with fisheries and estimates of post-release survival. The USA provided background on previous support for and the rationale behind the proposed changes, noting that the ongoing Commission review of CMM 2018-04 provided a timely opportunity to revisit the proposed updates. The presentation sought feedback from SC22 on the proposed changes set out in Annexes I and II.</w:t>
      </w:r>
    </w:p>
    <w:p w14:paraId="55A4EE52" w14:textId="5C2BDE3A" w:rsidR="00414CC2" w:rsidRPr="00B845AF" w:rsidRDefault="00414CC2" w:rsidP="00414CC2">
      <w:pPr>
        <w:pStyle w:val="SCtext"/>
        <w:numPr>
          <w:ilvl w:val="0"/>
          <w:numId w:val="0"/>
        </w:numPr>
        <w:rPr>
          <w:rFonts w:asciiTheme="minorHAnsi" w:hAnsiTheme="minorHAnsi" w:cstheme="minorHAnsi"/>
          <w:lang w:val="en-US"/>
        </w:rPr>
      </w:pPr>
    </w:p>
    <w:p w14:paraId="01381FA8" w14:textId="563E9EEC" w:rsidR="004D2B46" w:rsidRPr="00B845AF" w:rsidRDefault="00414CC2" w:rsidP="00414CC2">
      <w:pPr>
        <w:pStyle w:val="SCDR"/>
        <w:rPr>
          <w:rFonts w:asciiTheme="minorHAnsi" w:hAnsiTheme="minorHAnsi" w:cstheme="minorHAnsi"/>
        </w:rPr>
      </w:pPr>
      <w:r w:rsidRPr="00B845AF">
        <w:rPr>
          <w:rFonts w:asciiTheme="minorHAnsi" w:hAnsiTheme="minorHAnsi" w:cstheme="minorHAnsi"/>
        </w:rPr>
        <w:t>Discussion</w:t>
      </w:r>
    </w:p>
    <w:p w14:paraId="359C30C1" w14:textId="3A131F0F" w:rsidR="00403E17" w:rsidRPr="00B845AF" w:rsidRDefault="00BE0F5B">
      <w:pPr>
        <w:pStyle w:val="SCtext"/>
        <w:rPr>
          <w:rFonts w:asciiTheme="minorHAnsi" w:hAnsiTheme="minorHAnsi" w:cstheme="minorHAnsi"/>
          <w:lang w:val="en-US"/>
        </w:rPr>
      </w:pPr>
      <w:r w:rsidRPr="00B845AF">
        <w:rPr>
          <w:rFonts w:asciiTheme="minorHAnsi" w:hAnsiTheme="minorHAnsi" w:cstheme="minorHAnsi"/>
          <w:lang w:val="en-US"/>
        </w:rPr>
        <w:t>Niue, on behalf of the FFA members, thanked the USA for advancing work on the review of CMM 2018-04 and acknowledged the contribution of all involved, and stated support for a phased, evidence-based revision of the measure that advances practical improvements and recognizes the special requirements of SIDS and participating territories, noting that prescribing uniform deep-set gear requirements would be premature until the scientific basis and operational implications had been adequately assessed. Niue, on behalf of the FFA members, stated that the volume and technical density of the papers, together with the absence of a consolidated summary of the decisions being sought, made it difficult to assess the package and its intended direction, and encouraged a more structured presentation distinguishing key findings, proposed actions, and the specific advice or decisions sought from SC22. On WP06, Niue, on behalf of the FFA members, supported the conclusion that evidence from shallow-set fisheries cannot be applied directly to deep-set fisheries, and supported a coordinated deep-set research program and future SC review considering effects on sea turtles, sharks, and target species, as well as the practicality of mitigation measures under real fishing conditions.</w:t>
      </w:r>
    </w:p>
    <w:p w14:paraId="0705CECF" w14:textId="77777777" w:rsidR="00BE0F5B" w:rsidRPr="00B845AF" w:rsidRDefault="00BE0F5B" w:rsidP="00BE0F5B">
      <w:pPr>
        <w:pStyle w:val="SCtext"/>
        <w:numPr>
          <w:ilvl w:val="0"/>
          <w:numId w:val="0"/>
        </w:numPr>
        <w:rPr>
          <w:rFonts w:asciiTheme="minorHAnsi" w:hAnsiTheme="minorHAnsi" w:cstheme="minorHAnsi"/>
          <w:lang w:val="en-US"/>
        </w:rPr>
      </w:pPr>
    </w:p>
    <w:p w14:paraId="2D497C11" w14:textId="78CB1ADE" w:rsidR="00BE0F5B" w:rsidRPr="00B845AF" w:rsidRDefault="00BE0F5B">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Fiji, on behalf of the FFA members, spoke to </w:t>
      </w:r>
      <w:hyperlink r:id="rId98" w:history="1">
        <w:r w:rsidR="00535ED4" w:rsidRPr="00B845AF">
          <w:rPr>
            <w:rStyle w:val="Hyperlink"/>
            <w:rFonts w:asciiTheme="minorHAnsi" w:hAnsiTheme="minorHAnsi" w:cstheme="minorHAnsi"/>
            <w:lang w:val="en-US"/>
          </w:rPr>
          <w:t>WCPFC-SC22-2026-EB-</w:t>
        </w:r>
        <w:r w:rsidRPr="00B845AF">
          <w:rPr>
            <w:rStyle w:val="Hyperlink"/>
            <w:rFonts w:asciiTheme="minorHAnsi" w:hAnsiTheme="minorHAnsi" w:cstheme="minorHAnsi"/>
            <w:lang w:val="en-US"/>
          </w:rPr>
          <w:t>WP07</w:t>
        </w:r>
      </w:hyperlink>
      <w:r w:rsidRPr="00B845AF">
        <w:rPr>
          <w:rFonts w:asciiTheme="minorHAnsi" w:hAnsiTheme="minorHAnsi" w:cstheme="minorHAnsi"/>
          <w:lang w:val="en-US"/>
        </w:rPr>
        <w:t xml:space="preserve"> and supported reporting designed to meet clearly defined scientific needs, joint analysis to improve species identification, and further development of risk assessments with CCM participation, appropriate confidentiality safeguards, and an assessment under Article 30.</w:t>
      </w:r>
    </w:p>
    <w:p w14:paraId="351AEA67" w14:textId="77777777" w:rsidR="00BE0F5B" w:rsidRPr="00B845AF" w:rsidRDefault="00BE0F5B" w:rsidP="00BE0F5B">
      <w:pPr>
        <w:pStyle w:val="SCtext"/>
        <w:numPr>
          <w:ilvl w:val="0"/>
          <w:numId w:val="0"/>
        </w:numPr>
        <w:rPr>
          <w:rFonts w:asciiTheme="minorHAnsi" w:hAnsiTheme="minorHAnsi" w:cstheme="minorHAnsi"/>
          <w:lang w:val="en-US"/>
        </w:rPr>
      </w:pPr>
    </w:p>
    <w:p w14:paraId="0921FEA1" w14:textId="6E7E0901" w:rsidR="00BE0F5B" w:rsidRPr="00B845AF" w:rsidRDefault="00BE0F5B">
      <w:pPr>
        <w:pStyle w:val="SCtext"/>
        <w:rPr>
          <w:rFonts w:asciiTheme="minorHAnsi" w:hAnsiTheme="minorHAnsi" w:cstheme="minorHAnsi"/>
          <w:lang w:val="en-US"/>
        </w:rPr>
      </w:pPr>
      <w:r w:rsidRPr="00B845AF">
        <w:rPr>
          <w:rFonts w:asciiTheme="minorHAnsi" w:hAnsiTheme="minorHAnsi" w:cstheme="minorHAnsi"/>
          <w:lang w:val="en-US"/>
        </w:rPr>
        <w:t xml:space="preserve">The USA, responding to </w:t>
      </w:r>
      <w:hyperlink r:id="rId99" w:history="1">
        <w:r w:rsidR="00535ED4" w:rsidRPr="00B845AF">
          <w:rPr>
            <w:rStyle w:val="Hyperlink"/>
            <w:rFonts w:asciiTheme="minorHAnsi" w:hAnsiTheme="minorHAnsi" w:cstheme="minorHAnsi"/>
            <w:lang w:val="en-US"/>
          </w:rPr>
          <w:t>WCPFC-SC22-2026-EB-</w:t>
        </w:r>
        <w:r w:rsidRPr="00B845AF">
          <w:rPr>
            <w:rStyle w:val="Hyperlink"/>
            <w:rFonts w:asciiTheme="minorHAnsi" w:hAnsiTheme="minorHAnsi" w:cstheme="minorHAnsi"/>
            <w:lang w:val="en-US"/>
          </w:rPr>
          <w:t>WP06</w:t>
        </w:r>
      </w:hyperlink>
      <w:r w:rsidRPr="00B845AF">
        <w:rPr>
          <w:rFonts w:asciiTheme="minorHAnsi" w:hAnsiTheme="minorHAnsi" w:cstheme="minorHAnsi"/>
          <w:lang w:val="en-US"/>
        </w:rPr>
        <w:t>, thanked Japan and stated that the suggestion that more data is needed on the effect of bait and hook type on sea turtle interactions in deep-set longline fisheries aligned with outcomes of the CMM 2018-04 review, and supported efforts to improve such data, including through requiring interaction-level bait and hook type in ROP minimum standard data fields and through a multi-nation analysis of sea turtle interactions in deep-set fisheries using WCPFC-wide ROP data that would include Japanese scientists, noting both initiatives would be covered in greater detail under EB-WP09 and EB-WP10 later in the agenda.</w:t>
      </w:r>
    </w:p>
    <w:p w14:paraId="7E9B123D" w14:textId="77777777" w:rsidR="00E923CE" w:rsidRPr="00B845AF" w:rsidRDefault="00E923CE" w:rsidP="00E923CE">
      <w:pPr>
        <w:pStyle w:val="SCtext"/>
        <w:numPr>
          <w:ilvl w:val="0"/>
          <w:numId w:val="0"/>
        </w:numPr>
        <w:rPr>
          <w:rFonts w:asciiTheme="minorHAnsi" w:hAnsiTheme="minorHAnsi" w:cstheme="minorHAnsi"/>
          <w:lang w:val="en-US"/>
        </w:rPr>
      </w:pPr>
    </w:p>
    <w:p w14:paraId="36619C00" w14:textId="1C594EE8" w:rsidR="00E923CE" w:rsidRPr="00B845AF" w:rsidRDefault="00E923CE">
      <w:pPr>
        <w:pStyle w:val="SCtext"/>
        <w:rPr>
          <w:rFonts w:asciiTheme="minorHAnsi" w:hAnsiTheme="minorHAnsi" w:cstheme="minorHAnsi"/>
          <w:lang w:val="en-US"/>
        </w:rPr>
      </w:pPr>
      <w:r w:rsidRPr="00B845AF">
        <w:rPr>
          <w:rFonts w:asciiTheme="minorHAnsi" w:hAnsiTheme="minorHAnsi" w:cstheme="minorHAnsi"/>
          <w:lang w:val="en-US"/>
        </w:rPr>
        <w:t xml:space="preserve">Responding to WP07, the USA again thanked Japan and stated that pooling data for a joint analysis was an approach it had also encouraged, to develop more robust models for identifying factors that could reduce sea turtle bycatch. The USA stated that using research vessels to collect new data was unlikely to yield robust science for management decisions in the foreseeable future, since interaction rates with sea turtles, particularly leatherbacks, are relatively low and at-sea experiments are unlikely to produce sufficient sample sizes to show a statistical effect, and stated that a controlled experimental design should not be a requirement for advancing mitigation measures in the CMM 2018-04 review. The USA stated it looked forward to further discussion of future sea turtle risk assessments in the WCPO and, while noting the SAPR may be an option, said there is value in scoping this further. The USA noted that a recent extinction risk analysis for Pacific sea turtles had already linked fisheries to sea turtle population declines in the WCPO, and that this work, shared at the recent CMM 2018-04 review, confirmed a notable decline in West Pacific leatherback turtles with a significant threat to population size from longline fishing interactions. The USA noted awareness of interest from some members in a spatially explicit fisheries risk assessment (SEFRA) and, while noting this approach may have been useful for seabirds in the CCSBT, said that after further consultation it was not confident this was the most appropriate approach at this time, given data gaps in critical life history parameters, particularly for leatherbacks, while remaining open to further discussion of risk assessments with management and conservation value. The USA stated it was eager to pursue a joint analysis of existing ROP data, thanked engaged CCMs, and noted an ISG would be available to address further questions, </w:t>
      </w:r>
      <w:r w:rsidR="00535ED4" w:rsidRPr="00B845AF">
        <w:rPr>
          <w:rFonts w:asciiTheme="minorHAnsi" w:hAnsiTheme="minorHAnsi" w:cstheme="minorHAnsi"/>
          <w:lang w:val="en-US"/>
        </w:rPr>
        <w:t>including</w:t>
      </w:r>
      <w:r w:rsidRPr="00B845AF">
        <w:rPr>
          <w:rFonts w:asciiTheme="minorHAnsi" w:hAnsiTheme="minorHAnsi" w:cstheme="minorHAnsi"/>
          <w:lang w:val="en-US"/>
        </w:rPr>
        <w:t xml:space="preserve"> confidentiality.</w:t>
      </w:r>
    </w:p>
    <w:p w14:paraId="038AFA3F" w14:textId="77777777" w:rsidR="0037000D" w:rsidRPr="00B845AF" w:rsidRDefault="0037000D" w:rsidP="0037000D">
      <w:pPr>
        <w:pStyle w:val="SCtext"/>
        <w:numPr>
          <w:ilvl w:val="0"/>
          <w:numId w:val="0"/>
        </w:numPr>
        <w:rPr>
          <w:rFonts w:asciiTheme="minorHAnsi" w:hAnsiTheme="minorHAnsi" w:cstheme="minorHAnsi"/>
          <w:lang w:val="en-US"/>
        </w:rPr>
      </w:pPr>
    </w:p>
    <w:p w14:paraId="045E7E00" w14:textId="3A38B2A9" w:rsidR="0037000D" w:rsidRPr="00B845AF" w:rsidRDefault="0037000D">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SC22 noted preliminary results in </w:t>
      </w:r>
      <w:hyperlink r:id="rId100" w:history="1">
        <w:r w:rsidR="00535ED4" w:rsidRPr="00B845AF">
          <w:rPr>
            <w:rStyle w:val="Hyperlink"/>
            <w:rFonts w:asciiTheme="minorHAnsi" w:eastAsia="MS Mincho" w:hAnsiTheme="minorHAnsi" w:cstheme="minorHAnsi"/>
            <w:lang w:val="en-US" w:eastAsia="ja-JP"/>
          </w:rPr>
          <w:t>WCPFC-SC22-2026-</w:t>
        </w:r>
        <w:r w:rsidRPr="00B845AF">
          <w:rPr>
            <w:rStyle w:val="Hyperlink"/>
            <w:rFonts w:asciiTheme="minorHAnsi" w:eastAsia="MS Mincho" w:hAnsiTheme="minorHAnsi" w:cstheme="minorHAnsi"/>
            <w:lang w:val="en-US" w:eastAsia="ja-JP"/>
          </w:rPr>
          <w:t>EB-WP08</w:t>
        </w:r>
      </w:hyperlink>
      <w:r w:rsidRPr="00B845AF">
        <w:rPr>
          <w:rFonts w:asciiTheme="minorHAnsi" w:eastAsia="MS Mincho" w:hAnsiTheme="minorHAnsi" w:cstheme="minorHAnsi"/>
          <w:lang w:val="en-US" w:eastAsia="ja-JP"/>
        </w:rPr>
        <w:t>, modeled probability of leatherback interaction was higher using 16/0 large circle hooks and monofilament leaders, than by using 15/0 large circle hooks and wire leaders, respectively.</w:t>
      </w:r>
    </w:p>
    <w:p w14:paraId="0F8F052D" w14:textId="77777777" w:rsidR="00AF59BC" w:rsidRPr="00B845AF" w:rsidRDefault="00AF59BC" w:rsidP="00AF59BC">
      <w:pPr>
        <w:pStyle w:val="SCtext"/>
        <w:numPr>
          <w:ilvl w:val="0"/>
          <w:numId w:val="0"/>
        </w:numPr>
        <w:rPr>
          <w:rFonts w:asciiTheme="minorHAnsi" w:hAnsiTheme="minorHAnsi" w:cstheme="minorHAnsi"/>
          <w:lang w:val="en-US"/>
        </w:rPr>
      </w:pPr>
    </w:p>
    <w:p w14:paraId="0B5C15FD" w14:textId="2934E5BC" w:rsidR="00AF59BC" w:rsidRPr="00B845AF" w:rsidRDefault="00647A81">
      <w:pPr>
        <w:pStyle w:val="SCtext"/>
        <w:rPr>
          <w:rFonts w:asciiTheme="minorHAnsi" w:hAnsiTheme="minorHAnsi" w:cstheme="minorHAnsi"/>
          <w:lang w:val="en-US"/>
        </w:rPr>
      </w:pPr>
      <w:r w:rsidRPr="00B845AF">
        <w:rPr>
          <w:rFonts w:asciiTheme="minorHAnsi" w:hAnsiTheme="minorHAnsi" w:cstheme="minorHAnsi"/>
          <w:lang w:val="en-US"/>
        </w:rPr>
        <w:t xml:space="preserve">In response to the USA’s presentations on WP08 and </w:t>
      </w:r>
      <w:hyperlink r:id="rId101" w:history="1">
        <w:r w:rsidR="00535ED4" w:rsidRPr="00B845AF">
          <w:rPr>
            <w:rStyle w:val="Hyperlink"/>
            <w:rFonts w:asciiTheme="minorHAnsi" w:hAnsiTheme="minorHAnsi" w:cstheme="minorHAnsi"/>
            <w:lang w:val="en-US"/>
          </w:rPr>
          <w:t>WCPFC-SC22-2026-EB-</w:t>
        </w:r>
        <w:r w:rsidRPr="00B845AF">
          <w:rPr>
            <w:rStyle w:val="Hyperlink"/>
            <w:rFonts w:asciiTheme="minorHAnsi" w:hAnsiTheme="minorHAnsi" w:cstheme="minorHAnsi"/>
            <w:lang w:val="en-US"/>
          </w:rPr>
          <w:t>WP09</w:t>
        </w:r>
      </w:hyperlink>
      <w:r w:rsidRPr="00B845AF">
        <w:rPr>
          <w:rFonts w:asciiTheme="minorHAnsi" w:hAnsiTheme="minorHAnsi" w:cstheme="minorHAnsi"/>
          <w:lang w:val="en-US"/>
        </w:rPr>
        <w:t xml:space="preserve">, Japan posed two questions and one comment. Japan asked, noting that the research had shown that 16/0 circle hooks pose a higher bycatch risk to leatherback turtles than 15/0 circle hooks, whether it would be better to explore alternatives to large circle hooks to reduce leatherback bycatch, and asked whether there was a plan to conduct a comparison using several hook types and sizes in the future. Japan further commented that the data showed a higher bycatch rate for 16/0 hooks compared to an extremely low bycatch rate for the tuna </w:t>
      </w:r>
      <w:r w:rsidR="00535ED4" w:rsidRPr="00B845AF">
        <w:rPr>
          <w:rFonts w:asciiTheme="minorHAnsi" w:hAnsiTheme="minorHAnsi" w:cstheme="minorHAnsi"/>
          <w:lang w:val="en-US"/>
        </w:rPr>
        <w:t>hook and</w:t>
      </w:r>
      <w:r w:rsidRPr="00B845AF">
        <w:rPr>
          <w:rFonts w:asciiTheme="minorHAnsi" w:hAnsiTheme="minorHAnsi" w:cstheme="minorHAnsi"/>
          <w:lang w:val="en-US"/>
        </w:rPr>
        <w:t xml:space="preserve"> suggested this indicated the tuna hook could be one possible bycatch mitigation measure, such that bycatch mitigation measures for deep-set longline should consider the use of tuna hooks.</w:t>
      </w:r>
    </w:p>
    <w:p w14:paraId="095459BF" w14:textId="77777777" w:rsidR="00647A81" w:rsidRPr="00B845AF" w:rsidRDefault="00647A81" w:rsidP="00647A81">
      <w:pPr>
        <w:pStyle w:val="SCtext"/>
        <w:numPr>
          <w:ilvl w:val="0"/>
          <w:numId w:val="0"/>
        </w:numPr>
        <w:rPr>
          <w:rFonts w:asciiTheme="minorHAnsi" w:hAnsiTheme="minorHAnsi" w:cstheme="minorHAnsi"/>
          <w:lang w:val="en-US"/>
        </w:rPr>
      </w:pPr>
    </w:p>
    <w:p w14:paraId="14C25B9D" w14:textId="22F21683" w:rsidR="00647A81" w:rsidRPr="00B845AF" w:rsidRDefault="00647A81">
      <w:pPr>
        <w:pStyle w:val="SCtext"/>
        <w:rPr>
          <w:rFonts w:asciiTheme="minorHAnsi" w:hAnsiTheme="minorHAnsi" w:cstheme="minorHAnsi"/>
          <w:lang w:val="en-US"/>
        </w:rPr>
      </w:pPr>
      <w:r w:rsidRPr="00B845AF">
        <w:rPr>
          <w:rFonts w:asciiTheme="minorHAnsi" w:hAnsiTheme="minorHAnsi" w:cstheme="minorHAnsi"/>
          <w:lang w:val="en-US"/>
        </w:rPr>
        <w:lastRenderedPageBreak/>
        <w:t>The USA responded that this was worth further investigation and that exploring alternative hook types was a good idea, but stated there were no current plans in place to conduct hook size trials, noting this was of interest given that the underlying study was limited to the Hawaii longline fishery and may not generalize to other fisheries and fleets, which was part of the motivation for the proposed joint ROP data analysis to identify trends related to hook type and other gear.</w:t>
      </w:r>
    </w:p>
    <w:p w14:paraId="3C565C48" w14:textId="77777777" w:rsidR="00647A81" w:rsidRPr="00B845AF" w:rsidRDefault="00647A81" w:rsidP="00647A81">
      <w:pPr>
        <w:pStyle w:val="SCtext"/>
        <w:numPr>
          <w:ilvl w:val="0"/>
          <w:numId w:val="0"/>
        </w:numPr>
        <w:rPr>
          <w:rFonts w:asciiTheme="minorHAnsi" w:hAnsiTheme="minorHAnsi" w:cstheme="minorHAnsi"/>
          <w:lang w:val="en-US"/>
        </w:rPr>
      </w:pPr>
    </w:p>
    <w:p w14:paraId="1510073B" w14:textId="273267E1" w:rsidR="00647A81" w:rsidRPr="00B845AF" w:rsidRDefault="00647A81">
      <w:pPr>
        <w:pStyle w:val="SCtext"/>
        <w:rPr>
          <w:rFonts w:asciiTheme="minorHAnsi" w:hAnsiTheme="minorHAnsi" w:cstheme="minorHAnsi"/>
          <w:lang w:val="en-US"/>
        </w:rPr>
      </w:pPr>
      <w:r w:rsidRPr="00B845AF">
        <w:rPr>
          <w:rFonts w:asciiTheme="minorHAnsi" w:hAnsiTheme="minorHAnsi" w:cstheme="minorHAnsi"/>
          <w:lang w:val="en-US"/>
        </w:rPr>
        <w:t xml:space="preserve">Fiji, on behalf of the FFA members, welcomed the preliminary analysis in WP08 and supported further testing using a broader, jointly governed WCPFC dataset, noting that the results appropriately called for caution given that leatherback interactions were mainly entanglements or external </w:t>
      </w:r>
      <w:proofErr w:type="spellStart"/>
      <w:r w:rsidRPr="00B845AF">
        <w:rPr>
          <w:rFonts w:asciiTheme="minorHAnsi" w:hAnsiTheme="minorHAnsi" w:cstheme="minorHAnsi"/>
          <w:lang w:val="en-US"/>
        </w:rPr>
        <w:t>hookings</w:t>
      </w:r>
      <w:proofErr w:type="spellEnd"/>
      <w:r w:rsidRPr="00B845AF">
        <w:rPr>
          <w:rFonts w:asciiTheme="minorHAnsi" w:hAnsiTheme="minorHAnsi" w:cstheme="minorHAnsi"/>
          <w:lang w:val="en-US"/>
        </w:rPr>
        <w:t>, no clear hotspots were identified, and the operational model had limited predictive performance, and stated it would therefore be premature to use an apparent association with 16/0 hooks, monofilament, or any other individual variable as a basis for new requirements. On WP09, Fiji, on behalf of the FFA members, supported joint analysis, deep-set research scoping, and practical improvements to handling and release, while stating that the emerging concepts in the workshop report should be understood as matters for further consideration rather than agreed obligations, and that deep-set terminal gear requirements, move-on rules, deeper setting, and mandatory electronic monitoring required further evidence and assessment of operational and implementation implications. Fiji, on behalf of the FFA members, requested clarity on the process and timetable for preparing any revised CMM text for TCC22 and WCPFC23.</w:t>
      </w:r>
    </w:p>
    <w:p w14:paraId="53C7E832" w14:textId="77777777" w:rsidR="005746EE" w:rsidRPr="00B845AF" w:rsidRDefault="005746EE" w:rsidP="005746EE">
      <w:pPr>
        <w:pStyle w:val="SCtext"/>
        <w:numPr>
          <w:ilvl w:val="0"/>
          <w:numId w:val="0"/>
        </w:numPr>
        <w:rPr>
          <w:rFonts w:asciiTheme="minorHAnsi" w:hAnsiTheme="minorHAnsi" w:cstheme="minorHAnsi"/>
          <w:lang w:val="en-US"/>
        </w:rPr>
      </w:pPr>
    </w:p>
    <w:p w14:paraId="3CA52969" w14:textId="14BE23E4" w:rsidR="005746EE" w:rsidRPr="00B845AF" w:rsidRDefault="005746EE">
      <w:pPr>
        <w:pStyle w:val="SCtext"/>
        <w:rPr>
          <w:rFonts w:asciiTheme="minorHAnsi" w:hAnsiTheme="minorHAnsi" w:cstheme="minorHAnsi"/>
          <w:lang w:val="en-US"/>
        </w:rPr>
      </w:pPr>
      <w:r w:rsidRPr="00B845AF">
        <w:rPr>
          <w:rFonts w:asciiTheme="minorHAnsi" w:hAnsiTheme="minorHAnsi" w:cstheme="minorHAnsi"/>
          <w:lang w:val="en-US"/>
        </w:rPr>
        <w:t>Responding in the capacity of CMM Sea Turtle Review co-conven</w:t>
      </w:r>
      <w:r w:rsidR="00EA0482" w:rsidRPr="00B845AF">
        <w:rPr>
          <w:rFonts w:asciiTheme="minorHAnsi" w:hAnsiTheme="minorHAnsi" w:cstheme="minorHAnsi"/>
          <w:lang w:val="en-US"/>
        </w:rPr>
        <w:t>e</w:t>
      </w:r>
      <w:r w:rsidRPr="00B845AF">
        <w:rPr>
          <w:rFonts w:asciiTheme="minorHAnsi" w:hAnsiTheme="minorHAnsi" w:cstheme="minorHAnsi"/>
          <w:lang w:val="en-US"/>
        </w:rPr>
        <w:t>r, the SC Chair stated that the review had begun with an open approach to identifying the best way to address potential mitigation strategies for the deep-set longline fishery, and that the review had generated more questions than answers, particularly regarding gear interactions with leatherback turtles specifically. Rather than proposing this year to revise the measure at TCC and the Commission meeting, the co-conven</w:t>
      </w:r>
      <w:r w:rsidR="00EA0482" w:rsidRPr="00B845AF">
        <w:rPr>
          <w:rFonts w:asciiTheme="minorHAnsi" w:hAnsiTheme="minorHAnsi" w:cstheme="minorHAnsi"/>
          <w:lang w:val="en-US"/>
        </w:rPr>
        <w:t>e</w:t>
      </w:r>
      <w:r w:rsidRPr="00B845AF">
        <w:rPr>
          <w:rFonts w:asciiTheme="minorHAnsi" w:hAnsiTheme="minorHAnsi" w:cstheme="minorHAnsi"/>
          <w:lang w:val="en-US"/>
        </w:rPr>
        <w:t>r stated an intention to complete further analysis using joint ROP data from other members, with the aim of exploring gear interactions with leatherback turtles and reporting back to SC23. The co-conven</w:t>
      </w:r>
      <w:r w:rsidR="00EA0482" w:rsidRPr="00B845AF">
        <w:rPr>
          <w:rFonts w:asciiTheme="minorHAnsi" w:hAnsiTheme="minorHAnsi" w:cstheme="minorHAnsi"/>
          <w:lang w:val="en-US"/>
        </w:rPr>
        <w:t>e</w:t>
      </w:r>
      <w:r w:rsidRPr="00B845AF">
        <w:rPr>
          <w:rFonts w:asciiTheme="minorHAnsi" w:hAnsiTheme="minorHAnsi" w:cstheme="minorHAnsi"/>
          <w:lang w:val="en-US"/>
        </w:rPr>
        <w:t>r stated that the review had generated substantial feedback and discussion on the need for better data, and that the next step, to be presented by the following speaker, would be proposals for improved data collection, noting that the review was not yet at a stage to propose revisions to mitigation strategies for deep-set fisheries.</w:t>
      </w:r>
    </w:p>
    <w:p w14:paraId="77DF1A28" w14:textId="77777777" w:rsidR="00566D95" w:rsidRPr="00B845AF" w:rsidRDefault="00566D95" w:rsidP="00566D95">
      <w:pPr>
        <w:pStyle w:val="SCtext"/>
        <w:numPr>
          <w:ilvl w:val="0"/>
          <w:numId w:val="0"/>
        </w:numPr>
        <w:rPr>
          <w:rFonts w:asciiTheme="minorHAnsi" w:hAnsiTheme="minorHAnsi" w:cstheme="minorHAnsi"/>
          <w:lang w:val="en-US"/>
        </w:rPr>
      </w:pPr>
    </w:p>
    <w:p w14:paraId="7FA73049" w14:textId="07430200" w:rsidR="00566D95" w:rsidRPr="00B845AF" w:rsidRDefault="00566D95">
      <w:pPr>
        <w:pStyle w:val="SCtext"/>
        <w:rPr>
          <w:rFonts w:asciiTheme="minorHAnsi" w:hAnsiTheme="minorHAnsi" w:cstheme="minorHAnsi"/>
          <w:lang w:val="en-US"/>
        </w:rPr>
      </w:pPr>
      <w:r w:rsidRPr="00B845AF">
        <w:rPr>
          <w:rFonts w:asciiTheme="minorHAnsi" w:hAnsiTheme="minorHAnsi" w:cstheme="minorHAnsi"/>
          <w:lang w:val="en-US"/>
        </w:rPr>
        <w:t>Japan stated it understood the importance of harmonization with the sea turtle CMM but saw several difficulties with the proposed SciData submission, including risk of species misidentification, underreporting, and differing hook size definitions across CCMs, such that assessment of mitigation effectiveness may not improve if unstable data were submitted. Japan stated that ROP data submission presented further practical difficulties, particularly in Asian-style longline operations using multiple hook and bait types, since observers often cannot record hook type and size before a line is cut, as fishermen typically cut the line quickly once turtle condition is good in order to protect the animal. Japan noted that its own video review under EB-IP09 found it was not possible to reliably identify hook type and size, particularly at night, and that bait is frequently lost before landing, making both fields impractical to record even with video. On the gear-remaining field, Japan stated that remaining gear length is difficult to measure accurately from the deck, especially on high-deck vessels, and that eye estimation risks inaccuracy.</w:t>
      </w:r>
    </w:p>
    <w:p w14:paraId="30B07A97" w14:textId="77777777" w:rsidR="00566D95" w:rsidRPr="00B845AF" w:rsidRDefault="00566D95" w:rsidP="00566D95">
      <w:pPr>
        <w:pStyle w:val="SCtext"/>
        <w:numPr>
          <w:ilvl w:val="0"/>
          <w:numId w:val="0"/>
        </w:numPr>
        <w:rPr>
          <w:rFonts w:asciiTheme="minorHAnsi" w:hAnsiTheme="minorHAnsi" w:cstheme="minorHAnsi"/>
          <w:lang w:val="en-US"/>
        </w:rPr>
      </w:pPr>
    </w:p>
    <w:p w14:paraId="162E3F67" w14:textId="3F131DBA" w:rsidR="00566D95" w:rsidRPr="00B845AF" w:rsidRDefault="00566D95">
      <w:pPr>
        <w:pStyle w:val="SCtext"/>
        <w:rPr>
          <w:rFonts w:asciiTheme="minorHAnsi" w:hAnsiTheme="minorHAnsi" w:cstheme="minorHAnsi"/>
          <w:lang w:val="en-US"/>
        </w:rPr>
      </w:pPr>
      <w:r w:rsidRPr="00B845AF">
        <w:rPr>
          <w:rFonts w:asciiTheme="minorHAnsi" w:eastAsia="MS Mincho" w:hAnsiTheme="minorHAnsi" w:cstheme="minorHAnsi"/>
          <w:lang w:val="en-US" w:eastAsia="ja-JP"/>
        </w:rPr>
        <w:t>Samoa, on behalf of the FFA members, supported the objective of clearer, fit-for-purpose reporting and could support the Annex 1 clarifications in principle, provided operational and summary reporting remain distinct</w:t>
      </w:r>
      <w:r w:rsidR="00535ED4" w:rsidRPr="00B845AF">
        <w:rPr>
          <w:rFonts w:asciiTheme="minorHAnsi" w:eastAsia="MS Mincho" w:hAnsiTheme="minorHAnsi" w:cstheme="minorHAnsi"/>
          <w:lang w:val="en-US" w:eastAsia="ja-JP"/>
        </w:rPr>
        <w:t>,</w:t>
      </w:r>
      <w:r w:rsidRPr="00B845AF">
        <w:rPr>
          <w:rFonts w:asciiTheme="minorHAnsi" w:eastAsia="MS Mincho" w:hAnsiTheme="minorHAnsi" w:cstheme="minorHAnsi"/>
          <w:lang w:val="en-US" w:eastAsia="ja-JP"/>
        </w:rPr>
        <w:t xml:space="preserve"> and duplication is avoided, and stated the two proposed interaction-level ROP fields would benefit from further development and piloting, including unknown response options, </w:t>
      </w:r>
      <w:r w:rsidRPr="00B845AF">
        <w:rPr>
          <w:rFonts w:asciiTheme="minorHAnsi" w:eastAsia="MS Mincho" w:hAnsiTheme="minorHAnsi" w:cstheme="minorHAnsi"/>
          <w:lang w:val="en-US" w:eastAsia="ja-JP"/>
        </w:rPr>
        <w:lastRenderedPageBreak/>
        <w:t>observer safety and animal welfare safeguards, and funded training and equipment. On the gear-remaining field, Samoa, on behalf of the FFA members, welcomed discussion of standardized codes in place of free text, but stated FFA members were not yet able to support extending the field to other species without a separate mandate and assessment. Samoa, on behalf of the FFA members, emphasized consistent application of Article 30 before any new requirements are adopted, full assessment of implications for SIDS and participating territories, avoidance of duplicate reporting and unnecessary observer workload, adequate funding and training support, and phased implementation with a review mechanism.</w:t>
      </w:r>
    </w:p>
    <w:p w14:paraId="1ABBB744" w14:textId="77777777" w:rsidR="00566D95" w:rsidRPr="00B845AF" w:rsidRDefault="00566D95" w:rsidP="00566D95">
      <w:pPr>
        <w:pStyle w:val="SCtext"/>
        <w:numPr>
          <w:ilvl w:val="0"/>
          <w:numId w:val="0"/>
        </w:numPr>
        <w:rPr>
          <w:rFonts w:asciiTheme="minorHAnsi" w:hAnsiTheme="minorHAnsi" w:cstheme="minorHAnsi"/>
          <w:lang w:val="en-US"/>
        </w:rPr>
      </w:pPr>
    </w:p>
    <w:p w14:paraId="0E8081BF" w14:textId="6D5E33C3" w:rsidR="00566D95" w:rsidRPr="00B845AF" w:rsidRDefault="00566D95">
      <w:pPr>
        <w:pStyle w:val="SCtext"/>
        <w:rPr>
          <w:rFonts w:asciiTheme="minorHAnsi" w:hAnsiTheme="minorHAnsi" w:cstheme="minorHAnsi"/>
          <w:lang w:val="en-US"/>
        </w:rPr>
      </w:pPr>
      <w:r w:rsidRPr="00B845AF">
        <w:rPr>
          <w:rFonts w:asciiTheme="minorHAnsi" w:hAnsiTheme="minorHAnsi" w:cstheme="minorHAnsi"/>
          <w:lang w:val="en-US"/>
        </w:rPr>
        <w:t>New Zealand thanked the USA and stated that new reporting requirements should start from what the data are intended to show, identifying two objectives: understanding how interactions occur to inform mitigation measures, and understanding post-release survivability through data on animal condition, injury, and gear remaining</w:t>
      </w:r>
      <w:r w:rsidR="00CA79D1" w:rsidRPr="00B845AF">
        <w:rPr>
          <w:rFonts w:asciiTheme="minorHAnsi" w:hAnsiTheme="minorHAnsi" w:cstheme="minorHAnsi"/>
          <w:lang w:val="en-US"/>
        </w:rPr>
        <w:t xml:space="preserve"> to help inform estimates of population-level impacts</w:t>
      </w:r>
      <w:r w:rsidRPr="00B845AF">
        <w:rPr>
          <w:rFonts w:asciiTheme="minorHAnsi" w:hAnsiTheme="minorHAnsi" w:cstheme="minorHAnsi"/>
          <w:lang w:val="en-US"/>
        </w:rPr>
        <w:t>. New Zealand supported further development of the proposed fields, particularly standardizing the gear-remaining field, and encouraged broader consideration of how electronic monitoring could complement observer data, for example through footage review of interaction proximity to the nearest surface float to help clarify whether hook depth influences interaction risk.</w:t>
      </w:r>
    </w:p>
    <w:p w14:paraId="2431129D" w14:textId="77777777" w:rsidR="00566D95" w:rsidRPr="00B845AF" w:rsidRDefault="00566D95" w:rsidP="00566D95">
      <w:pPr>
        <w:pStyle w:val="SCtext"/>
        <w:numPr>
          <w:ilvl w:val="0"/>
          <w:numId w:val="0"/>
        </w:numPr>
        <w:rPr>
          <w:rFonts w:asciiTheme="minorHAnsi" w:hAnsiTheme="minorHAnsi" w:cstheme="minorHAnsi"/>
          <w:lang w:val="en-US"/>
        </w:rPr>
      </w:pPr>
    </w:p>
    <w:p w14:paraId="1245A157" w14:textId="2923525B" w:rsidR="00566D95" w:rsidRPr="00B845AF" w:rsidRDefault="00566D95">
      <w:pPr>
        <w:pStyle w:val="SCtext"/>
        <w:rPr>
          <w:rFonts w:asciiTheme="minorHAnsi" w:hAnsiTheme="minorHAnsi" w:cstheme="minorHAnsi"/>
          <w:lang w:val="en-US"/>
        </w:rPr>
      </w:pPr>
      <w:r w:rsidRPr="00B845AF">
        <w:rPr>
          <w:rFonts w:asciiTheme="minorHAnsi" w:hAnsiTheme="minorHAnsi" w:cstheme="minorHAnsi"/>
          <w:lang w:val="en-US"/>
        </w:rPr>
        <w:t>China thanked the U</w:t>
      </w:r>
      <w:r w:rsidR="0094099A" w:rsidRPr="00B845AF">
        <w:rPr>
          <w:rFonts w:asciiTheme="minorHAnsi" w:hAnsiTheme="minorHAnsi" w:cstheme="minorHAnsi"/>
          <w:lang w:val="en-US"/>
        </w:rPr>
        <w:t>SA</w:t>
      </w:r>
      <w:r w:rsidRPr="00B845AF">
        <w:rPr>
          <w:rFonts w:asciiTheme="minorHAnsi" w:hAnsiTheme="minorHAnsi" w:cstheme="minorHAnsi"/>
          <w:lang w:val="en-US"/>
        </w:rPr>
        <w:t xml:space="preserve"> and supported efforts to improve data collection, including adding hook-level information under ROP, but sought clarification on the proposed SciData amendments: if intended to implement paragraph 7 of CMM 2018-04, the scope should match that provision</w:t>
      </w:r>
      <w:r w:rsidR="0094099A" w:rsidRPr="00B845AF">
        <w:rPr>
          <w:rFonts w:asciiTheme="minorHAnsi" w:hAnsiTheme="minorHAnsi" w:cstheme="minorHAnsi"/>
          <w:lang w:val="en-US"/>
        </w:rPr>
        <w:t>’</w:t>
      </w:r>
      <w:r w:rsidRPr="00B845AF">
        <w:rPr>
          <w:rFonts w:asciiTheme="minorHAnsi" w:hAnsiTheme="minorHAnsi" w:cstheme="minorHAnsi"/>
          <w:lang w:val="en-US"/>
        </w:rPr>
        <w:t>s application to shallow-set longline fisheries, whereas the amendment as drafted appeared to apply more broadly to all longline fisheries and was not limited to sea turtle interactions.</w:t>
      </w:r>
    </w:p>
    <w:p w14:paraId="4B1B246E" w14:textId="77777777" w:rsidR="0094099A" w:rsidRPr="00B845AF" w:rsidRDefault="0094099A" w:rsidP="0094099A">
      <w:pPr>
        <w:pStyle w:val="SCtext"/>
        <w:numPr>
          <w:ilvl w:val="0"/>
          <w:numId w:val="0"/>
        </w:numPr>
        <w:rPr>
          <w:rFonts w:asciiTheme="minorHAnsi" w:hAnsiTheme="minorHAnsi" w:cstheme="minorHAnsi"/>
          <w:lang w:val="en-US"/>
        </w:rPr>
      </w:pPr>
    </w:p>
    <w:p w14:paraId="630DF2AA" w14:textId="51F4B135" w:rsidR="0094099A" w:rsidRPr="00B845AF" w:rsidRDefault="0094099A">
      <w:pPr>
        <w:pStyle w:val="SCtext"/>
        <w:rPr>
          <w:rFonts w:asciiTheme="minorHAnsi" w:hAnsiTheme="minorHAnsi" w:cstheme="minorHAnsi"/>
          <w:lang w:val="en-US"/>
        </w:rPr>
      </w:pPr>
      <w:r w:rsidRPr="00B845AF">
        <w:rPr>
          <w:rFonts w:asciiTheme="minorHAnsi" w:hAnsiTheme="minorHAnsi" w:cstheme="minorHAnsi"/>
          <w:lang w:val="en-US"/>
        </w:rPr>
        <w:t xml:space="preserve">The USA responded that the proposed SciData amendments were intended to be independent of, and precede, any modification to CMM 2018-04. The SC Chair then stated the proposed revisions were intended to apply to all longline fisheries rather than only shallow-set fisheries as under the current </w:t>
      </w:r>
      <w:r w:rsidR="00535ED4" w:rsidRPr="00B845AF">
        <w:rPr>
          <w:rFonts w:asciiTheme="minorHAnsi" w:hAnsiTheme="minorHAnsi" w:cstheme="minorHAnsi"/>
          <w:lang w:val="en-US"/>
        </w:rPr>
        <w:t>CMM but</w:t>
      </w:r>
      <w:r w:rsidRPr="00B845AF">
        <w:rPr>
          <w:rFonts w:asciiTheme="minorHAnsi" w:hAnsiTheme="minorHAnsi" w:cstheme="minorHAnsi"/>
          <w:lang w:val="en-US"/>
        </w:rPr>
        <w:t xml:space="preserve"> noted that limiting the scope to shallow-set fisheries could be considered, with further discussion possible at the ISG.</w:t>
      </w:r>
    </w:p>
    <w:p w14:paraId="096D1DD1" w14:textId="77777777" w:rsidR="00A54BF9" w:rsidRPr="00B845AF" w:rsidRDefault="00A54BF9" w:rsidP="00A54BF9">
      <w:pPr>
        <w:pStyle w:val="SCtext"/>
        <w:numPr>
          <w:ilvl w:val="0"/>
          <w:numId w:val="0"/>
        </w:numPr>
        <w:rPr>
          <w:rFonts w:asciiTheme="minorHAnsi" w:hAnsiTheme="minorHAnsi" w:cstheme="minorHAnsi"/>
          <w:lang w:val="en-US"/>
        </w:rPr>
      </w:pPr>
    </w:p>
    <w:p w14:paraId="1B6EA4B8" w14:textId="333F115A" w:rsidR="00A54BF9" w:rsidRPr="00B845AF" w:rsidRDefault="00A54BF9">
      <w:pPr>
        <w:pStyle w:val="SCtext"/>
        <w:rPr>
          <w:rFonts w:asciiTheme="minorHAnsi" w:hAnsiTheme="minorHAnsi" w:cstheme="minorHAnsi"/>
          <w:lang w:val="en-US"/>
        </w:rPr>
      </w:pPr>
      <w:r w:rsidRPr="00B845AF">
        <w:rPr>
          <w:rFonts w:asciiTheme="minorHAnsi" w:hAnsiTheme="minorHAnsi" w:cstheme="minorHAnsi"/>
          <w:lang w:val="en-US"/>
        </w:rPr>
        <w:t xml:space="preserve">Chinese Taipei stated that adding a new SciData field for hook size and type would require revising its logbook, since no such field currently exists, and noted this would be a significant burden. On observer-recorded hook, bait, and material data, Chinese Taipei stated that most vessels use the same hook, bait, and material throughout an operation, so this information is already captured in observer trip label </w:t>
      </w:r>
      <w:r w:rsidR="00535ED4" w:rsidRPr="00B845AF">
        <w:rPr>
          <w:rFonts w:asciiTheme="minorHAnsi" w:hAnsiTheme="minorHAnsi" w:cstheme="minorHAnsi"/>
          <w:lang w:val="en-US"/>
        </w:rPr>
        <w:t>information and</w:t>
      </w:r>
      <w:r w:rsidRPr="00B845AF">
        <w:rPr>
          <w:rFonts w:asciiTheme="minorHAnsi" w:hAnsiTheme="minorHAnsi" w:cstheme="minorHAnsi"/>
          <w:lang w:val="en-US"/>
        </w:rPr>
        <w:t xml:space="preserve"> stated it shared Japan’s concern regarding the difficulty of measuring remaining gear length.</w:t>
      </w:r>
    </w:p>
    <w:p w14:paraId="0C67522F" w14:textId="77777777" w:rsidR="001C45E3" w:rsidRPr="00B845AF" w:rsidRDefault="001C45E3" w:rsidP="001C45E3">
      <w:pPr>
        <w:pStyle w:val="SCtext"/>
        <w:numPr>
          <w:ilvl w:val="0"/>
          <w:numId w:val="0"/>
        </w:numPr>
        <w:rPr>
          <w:rFonts w:asciiTheme="minorHAnsi" w:hAnsiTheme="minorHAnsi" w:cstheme="minorHAnsi"/>
          <w:lang w:val="en-US"/>
        </w:rPr>
      </w:pPr>
    </w:p>
    <w:p w14:paraId="28542A73" w14:textId="1873A5C6" w:rsidR="001C45E3" w:rsidRPr="00B845AF" w:rsidRDefault="001C45E3">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ISG08 met to discuss WCPFC-SC22-2026-EB-WP08 on sea turtles. The full ISG08 report can be found in </w:t>
      </w:r>
      <w:r w:rsidRPr="00B845AF">
        <w:rPr>
          <w:rFonts w:asciiTheme="minorHAnsi" w:eastAsia="MS Mincho" w:hAnsiTheme="minorHAnsi" w:cstheme="minorHAnsi"/>
          <w:b/>
          <w:bCs/>
          <w:lang w:val="en-US" w:eastAsia="ja-JP"/>
        </w:rPr>
        <w:t xml:space="preserve">Attachment </w:t>
      </w:r>
      <w:r w:rsidR="00381774" w:rsidRPr="00B845AF">
        <w:rPr>
          <w:rFonts w:asciiTheme="minorHAnsi" w:eastAsia="MS Mincho" w:hAnsiTheme="minorHAnsi" w:cstheme="minorHAnsi"/>
          <w:b/>
          <w:bCs/>
          <w:lang w:val="en-US" w:eastAsia="ja-JP"/>
        </w:rPr>
        <w:t>L</w:t>
      </w:r>
      <w:r w:rsidRPr="00B845AF">
        <w:rPr>
          <w:rFonts w:asciiTheme="minorHAnsi" w:eastAsia="MS Mincho" w:hAnsiTheme="minorHAnsi" w:cstheme="minorHAnsi"/>
          <w:lang w:val="en-US" w:eastAsia="ja-JP"/>
        </w:rPr>
        <w:t>.</w:t>
      </w:r>
    </w:p>
    <w:p w14:paraId="35C2A8B5" w14:textId="07CEEA98" w:rsidR="001C45E3" w:rsidRPr="00B845AF" w:rsidRDefault="001C45E3" w:rsidP="001C45E3">
      <w:pPr>
        <w:pStyle w:val="SCtext"/>
        <w:numPr>
          <w:ilvl w:val="0"/>
          <w:numId w:val="0"/>
        </w:numPr>
        <w:rPr>
          <w:rFonts w:asciiTheme="minorHAnsi" w:eastAsia="MS Mincho" w:hAnsiTheme="minorHAnsi" w:cstheme="minorHAnsi"/>
          <w:lang w:val="en-US" w:eastAsia="ja-JP"/>
        </w:rPr>
      </w:pPr>
    </w:p>
    <w:p w14:paraId="5A6F754D" w14:textId="58187E1C" w:rsidR="001C45E3" w:rsidRPr="00B845AF" w:rsidRDefault="001C45E3" w:rsidP="001C45E3">
      <w:pPr>
        <w:pStyle w:val="SCDR"/>
        <w:rPr>
          <w:rFonts w:asciiTheme="minorHAnsi" w:hAnsiTheme="minorHAnsi" w:cstheme="minorHAnsi"/>
          <w:lang w:eastAsia="ko-KR"/>
        </w:rPr>
      </w:pPr>
      <w:r w:rsidRPr="00B845AF">
        <w:rPr>
          <w:rFonts w:asciiTheme="minorHAnsi" w:hAnsiTheme="minorHAnsi" w:cstheme="minorHAnsi"/>
          <w:lang w:eastAsia="ja-JP"/>
        </w:rPr>
        <w:t>Outcomes</w:t>
      </w:r>
    </w:p>
    <w:p w14:paraId="617461C0" w14:textId="48D6E102" w:rsidR="004A6F2B" w:rsidRPr="00B845AF" w:rsidRDefault="0084735F">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noted that, to date, there have been only a limited number of studies on the impact of using large circle hooks and bait in deep-set longline fisheries on the bycatch rate of leatherback turtles.</w:t>
      </w:r>
    </w:p>
    <w:p w14:paraId="7682F6E5" w14:textId="77777777" w:rsidR="004A6F2B" w:rsidRPr="00B845AF" w:rsidRDefault="004A6F2B" w:rsidP="004A6F2B">
      <w:pPr>
        <w:pStyle w:val="SCtext"/>
        <w:numPr>
          <w:ilvl w:val="0"/>
          <w:numId w:val="0"/>
        </w:numPr>
        <w:rPr>
          <w:rFonts w:asciiTheme="minorHAnsi" w:hAnsiTheme="minorHAnsi" w:cstheme="minorHAnsi"/>
          <w:b/>
          <w:bCs/>
          <w:lang w:val="en-US"/>
        </w:rPr>
      </w:pPr>
    </w:p>
    <w:p w14:paraId="35C6388D" w14:textId="15896E08" w:rsidR="001C45E3" w:rsidRPr="00B845AF" w:rsidRDefault="0084735F">
      <w:pPr>
        <w:pStyle w:val="SCtext"/>
        <w:rPr>
          <w:rFonts w:asciiTheme="minorHAnsi" w:hAnsiTheme="minorHAnsi" w:cstheme="minorHAnsi"/>
          <w:b/>
          <w:bCs/>
          <w:lang w:val="en-US"/>
        </w:rPr>
      </w:pPr>
      <w:r w:rsidRPr="00B845AF">
        <w:rPr>
          <w:rFonts w:asciiTheme="minorHAnsi" w:eastAsia="MS Mincho" w:hAnsiTheme="minorHAnsi" w:cstheme="minorHAnsi"/>
          <w:b/>
          <w:bCs/>
          <w:lang w:val="en-US" w:eastAsia="ja-JP"/>
        </w:rPr>
        <w:t xml:space="preserve">SC22 noted that </w:t>
      </w:r>
      <w:proofErr w:type="gramStart"/>
      <w:r w:rsidRPr="00B845AF">
        <w:rPr>
          <w:rFonts w:asciiTheme="minorHAnsi" w:eastAsia="MS Mincho" w:hAnsiTheme="minorHAnsi" w:cstheme="minorHAnsi"/>
          <w:b/>
          <w:bCs/>
          <w:lang w:val="en-US" w:eastAsia="ja-JP"/>
        </w:rPr>
        <w:t xml:space="preserve">effects of </w:t>
      </w:r>
      <w:r w:rsidR="00535ED4" w:rsidRPr="00B845AF">
        <w:rPr>
          <w:rFonts w:asciiTheme="minorHAnsi" w:eastAsia="MS Mincho" w:hAnsiTheme="minorHAnsi" w:cstheme="minorHAnsi"/>
          <w:b/>
          <w:bCs/>
          <w:lang w:val="en-US" w:eastAsia="ja-JP"/>
        </w:rPr>
        <w:t>mitigation</w:t>
      </w:r>
      <w:proofErr w:type="gramEnd"/>
      <w:r w:rsidRPr="00B845AF">
        <w:rPr>
          <w:rFonts w:asciiTheme="minorHAnsi" w:eastAsia="MS Mincho" w:hAnsiTheme="minorHAnsi" w:cstheme="minorHAnsi"/>
          <w:b/>
          <w:bCs/>
          <w:lang w:val="en-US" w:eastAsia="ja-JP"/>
        </w:rPr>
        <w:t xml:space="preserve"> measures on not only sea turtles but also other bycatch species such as sharks and stingrays should be evaluated when the bycatch mitigation measures are considered.</w:t>
      </w:r>
    </w:p>
    <w:p w14:paraId="4B31727C" w14:textId="77777777" w:rsidR="00162B85" w:rsidRPr="00B845AF" w:rsidRDefault="00162B85" w:rsidP="00162B85">
      <w:pPr>
        <w:pStyle w:val="ListParagraph"/>
        <w:rPr>
          <w:rFonts w:asciiTheme="minorHAnsi" w:hAnsiTheme="minorHAnsi" w:cstheme="minorHAnsi"/>
          <w:b/>
          <w:bCs/>
        </w:rPr>
      </w:pPr>
    </w:p>
    <w:p w14:paraId="6657A3BD" w14:textId="7BA5B8FB" w:rsidR="00162B85" w:rsidRPr="00B845AF" w:rsidRDefault="00162B85">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noted preliminary results in WCPFC-SC22-2026-EB-WP08, modeled probability of leatherback interaction was higher using 16/0 large circle hooks and monofilament leaders, than by using 15/0 large circle hooks and wire leaders, respectively.</w:t>
      </w:r>
    </w:p>
    <w:p w14:paraId="1295650A" w14:textId="77777777" w:rsidR="0084735F" w:rsidRPr="00B845AF" w:rsidRDefault="0084735F" w:rsidP="0084735F">
      <w:pPr>
        <w:pStyle w:val="SCtext"/>
        <w:numPr>
          <w:ilvl w:val="0"/>
          <w:numId w:val="0"/>
        </w:numPr>
        <w:rPr>
          <w:rFonts w:asciiTheme="minorHAnsi" w:hAnsiTheme="minorHAnsi" w:cstheme="minorHAnsi"/>
          <w:b/>
          <w:bCs/>
          <w:lang w:val="en-US"/>
        </w:rPr>
      </w:pPr>
    </w:p>
    <w:p w14:paraId="4C5CC02F" w14:textId="544EF58F" w:rsidR="0084735F" w:rsidRPr="00B845AF" w:rsidRDefault="00DC03CA">
      <w:pPr>
        <w:pStyle w:val="SCtext"/>
        <w:rPr>
          <w:rFonts w:asciiTheme="minorHAnsi" w:hAnsiTheme="minorHAnsi" w:cstheme="minorHAnsi"/>
          <w:lang w:val="en-US"/>
        </w:rPr>
      </w:pPr>
      <w:r w:rsidRPr="00B845AF">
        <w:rPr>
          <w:rFonts w:asciiTheme="minorHAnsi" w:hAnsiTheme="minorHAnsi" w:cstheme="minorHAnsi"/>
          <w:lang w:val="en-US"/>
        </w:rPr>
        <w:t xml:space="preserve">SC22 noted that it is premature at this time to recommend additional bycatch mitigation measures specifically aimed </w:t>
      </w:r>
      <w:r w:rsidR="00535ED4" w:rsidRPr="00B845AF">
        <w:rPr>
          <w:rFonts w:asciiTheme="minorHAnsi" w:hAnsiTheme="minorHAnsi" w:cstheme="minorHAnsi"/>
          <w:lang w:val="en-US"/>
        </w:rPr>
        <w:t>at reducing</w:t>
      </w:r>
      <w:r w:rsidRPr="00B845AF">
        <w:rPr>
          <w:rFonts w:asciiTheme="minorHAnsi" w:hAnsiTheme="minorHAnsi" w:cstheme="minorHAnsi"/>
          <w:lang w:val="en-US"/>
        </w:rPr>
        <w:t xml:space="preserve"> bycatch of leatherback turtles.</w:t>
      </w:r>
    </w:p>
    <w:p w14:paraId="23DE3907" w14:textId="77777777" w:rsidR="00DC03CA" w:rsidRPr="00B845AF" w:rsidRDefault="00DC03CA" w:rsidP="00DC03CA">
      <w:pPr>
        <w:pStyle w:val="SCtext"/>
        <w:numPr>
          <w:ilvl w:val="0"/>
          <w:numId w:val="0"/>
        </w:numPr>
        <w:rPr>
          <w:rFonts w:asciiTheme="minorHAnsi" w:hAnsiTheme="minorHAnsi" w:cstheme="minorHAnsi"/>
          <w:lang w:val="en-US"/>
        </w:rPr>
      </w:pPr>
    </w:p>
    <w:p w14:paraId="32F5154B" w14:textId="69B35E0B" w:rsidR="00DC03CA" w:rsidRPr="00B845AF" w:rsidRDefault="00DC03CA">
      <w:pPr>
        <w:pStyle w:val="SCtext"/>
        <w:rPr>
          <w:rFonts w:asciiTheme="minorHAnsi" w:hAnsiTheme="minorHAnsi" w:cstheme="minorHAnsi"/>
          <w:lang w:val="en-US"/>
        </w:rPr>
      </w:pPr>
      <w:r w:rsidRPr="00B845AF">
        <w:rPr>
          <w:rFonts w:asciiTheme="minorHAnsi" w:hAnsiTheme="minorHAnsi" w:cstheme="minorHAnsi"/>
          <w:lang w:val="en-US"/>
        </w:rPr>
        <w:t>SC22 noted that the impact of bycatch in the tuna fishery on the leatherback turtle population remains unclear, yet mortality in longline fishing was determined to be a primary threat.</w:t>
      </w:r>
    </w:p>
    <w:p w14:paraId="212BCE86" w14:textId="77777777" w:rsidR="00DC03CA" w:rsidRPr="00B845AF" w:rsidRDefault="00DC03CA" w:rsidP="00DC03CA">
      <w:pPr>
        <w:pStyle w:val="SCtext"/>
        <w:numPr>
          <w:ilvl w:val="0"/>
          <w:numId w:val="0"/>
        </w:numPr>
        <w:rPr>
          <w:rFonts w:asciiTheme="minorHAnsi" w:hAnsiTheme="minorHAnsi" w:cstheme="minorHAnsi"/>
          <w:b/>
          <w:bCs/>
          <w:lang w:val="en-US"/>
        </w:rPr>
      </w:pPr>
    </w:p>
    <w:p w14:paraId="22030A6B" w14:textId="5DA10955" w:rsidR="00DC03CA" w:rsidRPr="00B845AF" w:rsidRDefault="00247942">
      <w:pPr>
        <w:pStyle w:val="SCtext"/>
        <w:rPr>
          <w:rFonts w:asciiTheme="minorHAnsi" w:hAnsiTheme="minorHAnsi" w:cstheme="minorHAnsi"/>
          <w:b/>
          <w:bCs/>
          <w:lang w:val="en-US"/>
        </w:rPr>
      </w:pPr>
      <w:r w:rsidRPr="00B845AF">
        <w:rPr>
          <w:rFonts w:asciiTheme="minorHAnsi" w:hAnsiTheme="minorHAnsi" w:cstheme="minorHAnsi"/>
          <w:b/>
          <w:bCs/>
          <w:lang w:val="en-US"/>
        </w:rPr>
        <w:t>SC22 recommends a joint bycatch risk analysis of leatherback sea turtle in longline fisheries in the WCPO led by the United States in collaboration with participating CCMs using joint ROP data, with results to be presented at SC23.</w:t>
      </w:r>
    </w:p>
    <w:p w14:paraId="31A16007" w14:textId="77777777" w:rsidR="00247942" w:rsidRPr="00B845AF" w:rsidRDefault="00247942" w:rsidP="00247942">
      <w:pPr>
        <w:pStyle w:val="SCtext"/>
        <w:numPr>
          <w:ilvl w:val="0"/>
          <w:numId w:val="0"/>
        </w:numPr>
        <w:rPr>
          <w:rFonts w:asciiTheme="minorHAnsi" w:hAnsiTheme="minorHAnsi" w:cstheme="minorHAnsi"/>
          <w:b/>
          <w:bCs/>
          <w:lang w:val="en-US"/>
        </w:rPr>
      </w:pPr>
    </w:p>
    <w:p w14:paraId="52EE7A33" w14:textId="4DE2F292" w:rsidR="00247942" w:rsidRPr="00B845AF" w:rsidRDefault="00F8448B">
      <w:pPr>
        <w:pStyle w:val="SCtext"/>
        <w:rPr>
          <w:rFonts w:asciiTheme="minorHAnsi" w:hAnsiTheme="minorHAnsi" w:cstheme="minorHAnsi"/>
          <w:b/>
          <w:bCs/>
          <w:lang w:val="en-US"/>
        </w:rPr>
      </w:pPr>
      <w:r w:rsidRPr="00B845AF">
        <w:rPr>
          <w:rFonts w:asciiTheme="minorHAnsi" w:hAnsiTheme="minorHAnsi" w:cstheme="minorHAnsi"/>
          <w:b/>
          <w:bCs/>
          <w:lang w:val="en-US"/>
        </w:rPr>
        <w:t>SC22 also recommends another bycatch risk analysis in longline fisheries in the WCPO led by Japan, in collaboration with participating CCMs using joint ROP data with lower resolution (5ºx5º aggregated).</w:t>
      </w:r>
    </w:p>
    <w:p w14:paraId="1680A7BA" w14:textId="77777777" w:rsidR="00AF08AF" w:rsidRPr="00B845AF" w:rsidRDefault="00AF08AF" w:rsidP="00AF08AF">
      <w:pPr>
        <w:pStyle w:val="SCtext"/>
        <w:numPr>
          <w:ilvl w:val="0"/>
          <w:numId w:val="0"/>
        </w:numPr>
        <w:rPr>
          <w:rFonts w:asciiTheme="minorHAnsi" w:hAnsiTheme="minorHAnsi" w:cstheme="minorHAnsi"/>
          <w:b/>
          <w:bCs/>
          <w:lang w:val="en-US"/>
        </w:rPr>
      </w:pPr>
    </w:p>
    <w:p w14:paraId="783BC6B0" w14:textId="28424620" w:rsidR="00F62D24" w:rsidRPr="00B845AF" w:rsidRDefault="00AF08AF">
      <w:pPr>
        <w:pStyle w:val="SCtext"/>
        <w:rPr>
          <w:rFonts w:asciiTheme="minorHAnsi" w:hAnsiTheme="minorHAnsi" w:cstheme="minorHAnsi"/>
          <w:b/>
          <w:bCs/>
          <w:lang w:val="en-US"/>
        </w:rPr>
      </w:pPr>
      <w:r w:rsidRPr="00B845AF">
        <w:rPr>
          <w:rFonts w:asciiTheme="minorHAnsi" w:hAnsiTheme="minorHAnsi" w:cstheme="minorHAnsi"/>
          <w:b/>
          <w:bCs/>
          <w:lang w:val="en-US"/>
        </w:rPr>
        <w:t>SC22 encourages CCMs to share ROP data in support of these analyses.</w:t>
      </w:r>
    </w:p>
    <w:p w14:paraId="1188FA97" w14:textId="77777777" w:rsidR="00F62D24" w:rsidRPr="00B845AF" w:rsidRDefault="00F62D24" w:rsidP="00F62D24">
      <w:pPr>
        <w:pStyle w:val="SCtext"/>
        <w:numPr>
          <w:ilvl w:val="0"/>
          <w:numId w:val="0"/>
        </w:numPr>
        <w:rPr>
          <w:rFonts w:asciiTheme="minorHAnsi" w:hAnsiTheme="minorHAnsi" w:cstheme="minorHAnsi"/>
          <w:b/>
          <w:bCs/>
          <w:lang w:val="en-US"/>
        </w:rPr>
      </w:pPr>
    </w:p>
    <w:p w14:paraId="21CD1033" w14:textId="504EC080" w:rsidR="00AF08AF" w:rsidRPr="00B845AF" w:rsidRDefault="007B12BB">
      <w:pPr>
        <w:pStyle w:val="SCtext"/>
        <w:rPr>
          <w:rFonts w:asciiTheme="minorHAnsi" w:hAnsiTheme="minorHAnsi" w:cstheme="minorHAnsi"/>
          <w:lang w:val="en-US"/>
        </w:rPr>
      </w:pPr>
      <w:r w:rsidRPr="00B845AF">
        <w:rPr>
          <w:rFonts w:asciiTheme="minorHAnsi" w:hAnsiTheme="minorHAnsi" w:cstheme="minorHAnsi"/>
          <w:lang w:val="en-US"/>
        </w:rPr>
        <w:t xml:space="preserve">SC22 noted that some CCMs recommend further development and piloting of modifications to </w:t>
      </w:r>
      <w:proofErr w:type="gramStart"/>
      <w:r w:rsidRPr="00B845AF">
        <w:rPr>
          <w:rFonts w:asciiTheme="minorHAnsi" w:hAnsiTheme="minorHAnsi" w:cstheme="minorHAnsi"/>
          <w:lang w:val="en-US"/>
        </w:rPr>
        <w:t>the ROP</w:t>
      </w:r>
      <w:proofErr w:type="gramEnd"/>
      <w:r w:rsidRPr="00B845AF">
        <w:rPr>
          <w:rFonts w:asciiTheme="minorHAnsi" w:hAnsiTheme="minorHAnsi" w:cstheme="minorHAnsi"/>
          <w:lang w:val="en-US"/>
        </w:rPr>
        <w:t xml:space="preserve"> MSDF to, where possible, collect hook type and hook size, bait type, branch line material, and estimated amount of remaining gear for sea turtles brought on board and released in the water.</w:t>
      </w:r>
    </w:p>
    <w:p w14:paraId="7E6F791F" w14:textId="77777777" w:rsidR="007B12BB" w:rsidRPr="00B845AF" w:rsidRDefault="007B12BB" w:rsidP="007B12BB">
      <w:pPr>
        <w:pStyle w:val="SCtext"/>
        <w:numPr>
          <w:ilvl w:val="0"/>
          <w:numId w:val="0"/>
        </w:numPr>
        <w:rPr>
          <w:rFonts w:asciiTheme="minorHAnsi" w:hAnsiTheme="minorHAnsi" w:cstheme="minorHAnsi"/>
          <w:lang w:val="en-US"/>
        </w:rPr>
      </w:pPr>
    </w:p>
    <w:p w14:paraId="3BCBA2F5" w14:textId="28C0380A" w:rsidR="007B12BB" w:rsidRPr="00B845AF" w:rsidRDefault="007B12BB">
      <w:pPr>
        <w:pStyle w:val="SCtext"/>
        <w:rPr>
          <w:rFonts w:asciiTheme="minorHAnsi" w:hAnsiTheme="minorHAnsi" w:cstheme="minorHAnsi"/>
          <w:lang w:val="en-US"/>
        </w:rPr>
      </w:pPr>
      <w:r w:rsidRPr="00B845AF">
        <w:rPr>
          <w:rFonts w:asciiTheme="minorHAnsi" w:hAnsiTheme="minorHAnsi" w:cstheme="minorHAnsi"/>
          <w:lang w:val="en-US"/>
        </w:rPr>
        <w:t>Some CCMs noted that reports on sea turtle bycatch by species in SciData can involve issues such as species identification accuracy, underreporting, and variability in reporting content.</w:t>
      </w:r>
    </w:p>
    <w:p w14:paraId="7132A39C" w14:textId="77777777" w:rsidR="009262CF" w:rsidRPr="00B845AF" w:rsidRDefault="009262CF" w:rsidP="009262CF">
      <w:pPr>
        <w:pStyle w:val="SCtext"/>
        <w:numPr>
          <w:ilvl w:val="0"/>
          <w:numId w:val="0"/>
        </w:numPr>
        <w:rPr>
          <w:rFonts w:asciiTheme="minorHAnsi" w:hAnsiTheme="minorHAnsi" w:cstheme="minorHAnsi"/>
          <w:lang w:val="en-US"/>
        </w:rPr>
      </w:pPr>
    </w:p>
    <w:p w14:paraId="585AA6DC" w14:textId="5CA9B65A" w:rsidR="009262CF" w:rsidRPr="00B845AF" w:rsidRDefault="009262CF">
      <w:pPr>
        <w:pStyle w:val="SCtext"/>
        <w:rPr>
          <w:rFonts w:asciiTheme="minorHAnsi" w:hAnsiTheme="minorHAnsi" w:cstheme="minorHAnsi"/>
          <w:lang w:val="en-US"/>
        </w:rPr>
      </w:pPr>
      <w:r w:rsidRPr="00B845AF">
        <w:rPr>
          <w:rFonts w:asciiTheme="minorHAnsi" w:hAnsiTheme="minorHAnsi" w:cstheme="minorHAnsi"/>
          <w:lang w:val="en-US"/>
        </w:rPr>
        <w:t xml:space="preserve">SC22 noted that some CCMs recommend that hook type and hook size be added to the SciData as a voluntary/non-binding element, </w:t>
      </w:r>
      <w:proofErr w:type="gramStart"/>
      <w:r w:rsidRPr="00B845AF">
        <w:rPr>
          <w:rFonts w:asciiTheme="minorHAnsi" w:hAnsiTheme="minorHAnsi" w:cstheme="minorHAnsi"/>
          <w:lang w:val="en-US"/>
        </w:rPr>
        <w:t>similar to</w:t>
      </w:r>
      <w:proofErr w:type="gramEnd"/>
      <w:r w:rsidRPr="00B845AF">
        <w:rPr>
          <w:rFonts w:asciiTheme="minorHAnsi" w:hAnsiTheme="minorHAnsi" w:cstheme="minorHAnsi"/>
          <w:lang w:val="en-US"/>
        </w:rPr>
        <w:t xml:space="preserve"> bait type.</w:t>
      </w:r>
    </w:p>
    <w:p w14:paraId="75C593ED" w14:textId="77777777" w:rsidR="009262CF" w:rsidRPr="00B845AF" w:rsidRDefault="009262CF" w:rsidP="009262CF">
      <w:pPr>
        <w:pStyle w:val="SCtext"/>
        <w:numPr>
          <w:ilvl w:val="0"/>
          <w:numId w:val="0"/>
        </w:numPr>
        <w:rPr>
          <w:rFonts w:asciiTheme="minorHAnsi" w:hAnsiTheme="minorHAnsi" w:cstheme="minorHAnsi"/>
          <w:b/>
          <w:bCs/>
          <w:lang w:val="en-US"/>
        </w:rPr>
      </w:pPr>
    </w:p>
    <w:p w14:paraId="04200D45" w14:textId="784CC32A" w:rsidR="009262CF" w:rsidRPr="00B845AF" w:rsidRDefault="00BC057B">
      <w:pPr>
        <w:pStyle w:val="SCtext"/>
        <w:rPr>
          <w:rFonts w:asciiTheme="minorHAnsi" w:hAnsiTheme="minorHAnsi" w:cstheme="minorHAnsi"/>
          <w:b/>
          <w:bCs/>
          <w:lang w:val="en-US"/>
        </w:rPr>
      </w:pPr>
      <w:r w:rsidRPr="00B845AF">
        <w:rPr>
          <w:rFonts w:asciiTheme="minorHAnsi" w:hAnsiTheme="minorHAnsi" w:cstheme="minorHAnsi"/>
          <w:b/>
          <w:bCs/>
          <w:lang w:val="en-US"/>
        </w:rPr>
        <w:t>SC22 recommends further work to explore ways to collect information regarding the type and amount of gear remaining attached to a sea turtle released alive following an interaction with longline gear, including when an animal is not brought on board.</w:t>
      </w:r>
    </w:p>
    <w:p w14:paraId="33E80DEE" w14:textId="77777777" w:rsidR="002330DC" w:rsidRPr="00B845AF" w:rsidRDefault="002330DC" w:rsidP="002330DC">
      <w:pPr>
        <w:pStyle w:val="SCtext"/>
        <w:numPr>
          <w:ilvl w:val="0"/>
          <w:numId w:val="0"/>
        </w:numPr>
        <w:rPr>
          <w:rFonts w:asciiTheme="minorHAnsi" w:hAnsiTheme="minorHAnsi" w:cstheme="minorHAnsi"/>
          <w:b/>
          <w:bCs/>
          <w:lang w:val="en-US"/>
        </w:rPr>
      </w:pPr>
    </w:p>
    <w:p w14:paraId="0F63875D" w14:textId="742F41D1" w:rsidR="002330DC" w:rsidRPr="00B845AF" w:rsidRDefault="002330DC">
      <w:pPr>
        <w:pStyle w:val="SCtext"/>
        <w:rPr>
          <w:rFonts w:asciiTheme="minorHAnsi" w:hAnsiTheme="minorHAnsi" w:cstheme="minorHAnsi"/>
          <w:lang w:val="en-US"/>
        </w:rPr>
      </w:pPr>
      <w:r w:rsidRPr="00B845AF">
        <w:rPr>
          <w:rFonts w:asciiTheme="minorHAnsi" w:hAnsiTheme="minorHAnsi" w:cstheme="minorHAnsi"/>
          <w:lang w:val="en-US"/>
        </w:rPr>
        <w:t xml:space="preserve">SC22 noted that similar information on the amount of gear remaining on an animal released to sea (alive) may have potential relevance to </w:t>
      </w:r>
      <w:r w:rsidR="00535ED4" w:rsidRPr="00B845AF">
        <w:rPr>
          <w:rFonts w:asciiTheme="minorHAnsi" w:hAnsiTheme="minorHAnsi" w:cstheme="minorHAnsi"/>
          <w:lang w:val="en-US"/>
        </w:rPr>
        <w:t>understanding post-release</w:t>
      </w:r>
      <w:r w:rsidRPr="00B845AF">
        <w:rPr>
          <w:rFonts w:asciiTheme="minorHAnsi" w:hAnsiTheme="minorHAnsi" w:cstheme="minorHAnsi"/>
          <w:lang w:val="en-US"/>
        </w:rPr>
        <w:t xml:space="preserve"> survival to other species.</w:t>
      </w:r>
    </w:p>
    <w:p w14:paraId="1C04E35C" w14:textId="77777777" w:rsidR="00031D94" w:rsidRPr="00B845AF" w:rsidRDefault="00031D94" w:rsidP="00CE049C">
      <w:pPr>
        <w:rPr>
          <w:rFonts w:asciiTheme="minorHAnsi" w:hAnsiTheme="minorHAnsi" w:cstheme="minorHAnsi"/>
          <w:szCs w:val="22"/>
        </w:rPr>
      </w:pPr>
    </w:p>
    <w:p w14:paraId="0BA98D2A" w14:textId="7F0572A4" w:rsidR="00CE049C" w:rsidRPr="00B845AF" w:rsidRDefault="00414CC2">
      <w:pPr>
        <w:pStyle w:val="SC2"/>
        <w:rPr>
          <w:rFonts w:asciiTheme="minorHAnsi" w:hAnsiTheme="minorHAnsi" w:cstheme="minorHAnsi"/>
        </w:rPr>
      </w:pPr>
      <w:r w:rsidRPr="00B845AF">
        <w:rPr>
          <w:rFonts w:asciiTheme="minorHAnsi" w:hAnsiTheme="minorHAnsi" w:cstheme="minorHAnsi"/>
        </w:rPr>
        <w:t>Marine pollution</w:t>
      </w:r>
    </w:p>
    <w:p w14:paraId="0632CB3E" w14:textId="77777777" w:rsidR="00966F16" w:rsidRPr="00B845AF" w:rsidRDefault="00795A76">
      <w:pPr>
        <w:pStyle w:val="SCtext"/>
        <w:rPr>
          <w:rFonts w:asciiTheme="minorHAnsi" w:hAnsiTheme="minorHAnsi" w:cstheme="minorHAnsi"/>
          <w:lang w:val="en-US"/>
        </w:rPr>
      </w:pPr>
      <w:r w:rsidRPr="00B845AF">
        <w:rPr>
          <w:rFonts w:asciiTheme="minorHAnsi" w:hAnsiTheme="minorHAnsi" w:cstheme="minorHAnsi"/>
          <w:lang w:val="en-US"/>
        </w:rPr>
        <w:t xml:space="preserve">K. Bigelow presented </w:t>
      </w:r>
      <w:hyperlink r:id="rId102" w:history="1">
        <w:r w:rsidRPr="00B845AF">
          <w:rPr>
            <w:rStyle w:val="Hyperlink"/>
            <w:rFonts w:asciiTheme="minorHAnsi" w:hAnsiTheme="minorHAnsi" w:cstheme="minorHAnsi"/>
            <w:lang w:val="en-US"/>
          </w:rPr>
          <w:t>WCPFC-SC22-2026-EB-WP11</w:t>
        </w:r>
      </w:hyperlink>
      <w:r w:rsidRPr="00B845AF">
        <w:rPr>
          <w:rFonts w:asciiTheme="minorHAnsi" w:hAnsiTheme="minorHAnsi" w:cstheme="minorHAnsi"/>
          <w:lang w:val="en-US"/>
        </w:rPr>
        <w:t xml:space="preserve">, an assessment of abandoned, lost, or discarded pelagic longline gear (ALDFG) in the WCPFC Convention Area, drawing on GEN-6 pollution report data from 11 CCMs and PIROP data from 2 CCMs covering 2005 to 2024. </w:t>
      </w:r>
    </w:p>
    <w:p w14:paraId="0B053D94" w14:textId="77777777" w:rsidR="00966F16" w:rsidRPr="00B845AF" w:rsidRDefault="00966F16" w:rsidP="00966F16">
      <w:pPr>
        <w:pStyle w:val="SCtext"/>
        <w:numPr>
          <w:ilvl w:val="0"/>
          <w:numId w:val="0"/>
        </w:numPr>
        <w:rPr>
          <w:rFonts w:asciiTheme="minorHAnsi" w:hAnsiTheme="minorHAnsi" w:cstheme="minorHAnsi"/>
          <w:lang w:val="en-US"/>
        </w:rPr>
      </w:pPr>
    </w:p>
    <w:p w14:paraId="61C33033" w14:textId="28D35DB8" w:rsidR="00EC5CA9" w:rsidRPr="00B845AF" w:rsidRDefault="00795A76" w:rsidP="00966F1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Across a combined 9,864 observed trips, ALDFG incidents occurred on 8.7 percent of GEN-6 trips (347 of 3,985 trips, 706 incidents) and 2.2 percent of PIROP trips (130 of 5,879 trips, 138 incidents), with mean mainline and branchline length, weight, and buoy and radio beacon counts presented by incident type and data source. The leading drivers identified were unknown causes for both </w:t>
      </w:r>
      <w:r w:rsidRPr="00B845AF">
        <w:rPr>
          <w:rFonts w:asciiTheme="minorHAnsi" w:hAnsiTheme="minorHAnsi" w:cstheme="minorHAnsi"/>
          <w:lang w:val="en-US"/>
        </w:rPr>
        <w:lastRenderedPageBreak/>
        <w:t xml:space="preserve">abandoned and lost gear, and, for lost gear specifically, line parting followed by inability to locate and retrieve the gear. The presentation raised these incident rates to the Convention Area’s 2015 reference longline effort of 857 million hooks under four scenarios, yielding a range of estimates for gear length, weight, and hooks lost, with confidence intervals to follow after SC22, and drew on interviews and port surveys describing </w:t>
      </w:r>
      <w:r w:rsidR="00535ED4" w:rsidRPr="00B845AF">
        <w:rPr>
          <w:rFonts w:asciiTheme="minorHAnsi" w:hAnsiTheme="minorHAnsi" w:cstheme="minorHAnsi"/>
          <w:lang w:val="en-US"/>
        </w:rPr>
        <w:t>end-of-life</w:t>
      </w:r>
      <w:r w:rsidRPr="00B845AF">
        <w:rPr>
          <w:rFonts w:asciiTheme="minorHAnsi" w:hAnsiTheme="minorHAnsi" w:cstheme="minorHAnsi"/>
          <w:lang w:val="en-US"/>
        </w:rPr>
        <w:t xml:space="preserve"> gear disposal practices in several CCMs, including a private sector managed system in the Federated States of Micronesia and the Marshall Islands and an incineration and buy back scheme in Hawaii. It closed with eight recommendations, including increasing longline observer coverage, exploring electronic monitoring as a means of capturing ALDFG indicators, extending ALDFG reporting across the Regional Observer Programme and to additional fleets, updating the GEN-6 and PIROP forms, introducing observer training on ALDFG reporting, seeking authorization to release observer journals with ancillary data, and identifying opportunities to improve </w:t>
      </w:r>
      <w:r w:rsidR="00535ED4" w:rsidRPr="00B845AF">
        <w:rPr>
          <w:rFonts w:asciiTheme="minorHAnsi" w:hAnsiTheme="minorHAnsi" w:cstheme="minorHAnsi"/>
          <w:lang w:val="en-US"/>
        </w:rPr>
        <w:t>end-of-life</w:t>
      </w:r>
      <w:r w:rsidRPr="00B845AF">
        <w:rPr>
          <w:rFonts w:asciiTheme="minorHAnsi" w:hAnsiTheme="minorHAnsi" w:cstheme="minorHAnsi"/>
          <w:lang w:val="en-US"/>
        </w:rPr>
        <w:t xml:space="preserve"> gear management at port.</w:t>
      </w:r>
    </w:p>
    <w:p w14:paraId="48A387AC" w14:textId="77777777" w:rsidR="00795A76" w:rsidRPr="00B845AF" w:rsidRDefault="00795A76" w:rsidP="00795A76">
      <w:pPr>
        <w:pStyle w:val="SCtext"/>
        <w:numPr>
          <w:ilvl w:val="0"/>
          <w:numId w:val="0"/>
        </w:numPr>
        <w:rPr>
          <w:rFonts w:asciiTheme="minorHAnsi" w:hAnsiTheme="minorHAnsi" w:cstheme="minorHAnsi"/>
          <w:lang w:val="en-US"/>
        </w:rPr>
      </w:pPr>
    </w:p>
    <w:p w14:paraId="2B426A39" w14:textId="77777777" w:rsidR="00966F16" w:rsidRPr="00B845AF" w:rsidRDefault="007213BC">
      <w:pPr>
        <w:pStyle w:val="SCtext"/>
        <w:rPr>
          <w:rFonts w:asciiTheme="minorHAnsi" w:hAnsiTheme="minorHAnsi" w:cstheme="minorHAnsi"/>
          <w:lang w:val="en-US"/>
        </w:rPr>
      </w:pPr>
      <w:r w:rsidRPr="00B845AF">
        <w:rPr>
          <w:rFonts w:asciiTheme="minorHAnsi" w:hAnsiTheme="minorHAnsi" w:cstheme="minorHAnsi"/>
          <w:lang w:val="en-US"/>
        </w:rPr>
        <w:t xml:space="preserve">J. Shaw (Canada) presented </w:t>
      </w:r>
      <w:hyperlink r:id="rId103" w:history="1">
        <w:r w:rsidRPr="00B845AF">
          <w:rPr>
            <w:rStyle w:val="Hyperlink"/>
            <w:rFonts w:asciiTheme="minorHAnsi" w:hAnsiTheme="minorHAnsi" w:cstheme="minorHAnsi"/>
            <w:lang w:val="en-US"/>
          </w:rPr>
          <w:t>WCPFC-SC22-2026-EB-WP12</w:t>
        </w:r>
      </w:hyperlink>
      <w:r w:rsidR="00AA0627" w:rsidRPr="00B845AF">
        <w:rPr>
          <w:rFonts w:asciiTheme="minorHAnsi" w:hAnsiTheme="minorHAnsi" w:cstheme="minorHAnsi"/>
          <w:b/>
          <w:bCs/>
          <w:lang w:val="en-US"/>
        </w:rPr>
        <w:t xml:space="preserve"> </w:t>
      </w:r>
      <w:r w:rsidRPr="00B845AF">
        <w:rPr>
          <w:rFonts w:asciiTheme="minorHAnsi" w:hAnsiTheme="minorHAnsi" w:cstheme="minorHAnsi"/>
          <w:lang w:val="en-US"/>
        </w:rPr>
        <w:t xml:space="preserve">on the intersessional review of CMM 2017-04 on marine pollution, which the measure requires to be reviewed every three years. </w:t>
      </w:r>
    </w:p>
    <w:p w14:paraId="3406BBF4" w14:textId="77777777" w:rsidR="00966F16" w:rsidRPr="00B845AF" w:rsidRDefault="00966F16" w:rsidP="00966F16">
      <w:pPr>
        <w:pStyle w:val="SCtext"/>
        <w:numPr>
          <w:ilvl w:val="0"/>
          <w:numId w:val="0"/>
        </w:numPr>
        <w:rPr>
          <w:rFonts w:asciiTheme="minorHAnsi" w:hAnsiTheme="minorHAnsi" w:cstheme="minorHAnsi"/>
          <w:lang w:val="en-US"/>
        </w:rPr>
      </w:pPr>
    </w:p>
    <w:p w14:paraId="2920AA1B" w14:textId="77777777" w:rsidR="00966F16" w:rsidRPr="00B845AF" w:rsidRDefault="007213BC" w:rsidP="00966F1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presentation traced the review</w:t>
      </w:r>
      <w:r w:rsidR="00AA0627" w:rsidRPr="00B845AF">
        <w:rPr>
          <w:rFonts w:asciiTheme="minorHAnsi" w:hAnsiTheme="minorHAnsi" w:cstheme="minorHAnsi"/>
          <w:lang w:val="en-US"/>
        </w:rPr>
        <w:t>’</w:t>
      </w:r>
      <w:r w:rsidRPr="00B845AF">
        <w:rPr>
          <w:rFonts w:asciiTheme="minorHAnsi" w:hAnsiTheme="minorHAnsi" w:cstheme="minorHAnsi"/>
          <w:lang w:val="en-US"/>
        </w:rPr>
        <w:t>s history, from Canada</w:t>
      </w:r>
      <w:r w:rsidR="00AA0627" w:rsidRPr="00B845AF">
        <w:rPr>
          <w:rFonts w:asciiTheme="minorHAnsi" w:hAnsiTheme="minorHAnsi" w:cstheme="minorHAnsi"/>
          <w:lang w:val="en-US"/>
        </w:rPr>
        <w:t>’</w:t>
      </w:r>
      <w:r w:rsidRPr="00B845AF">
        <w:rPr>
          <w:rFonts w:asciiTheme="minorHAnsi" w:hAnsiTheme="minorHAnsi" w:cstheme="minorHAnsi"/>
          <w:lang w:val="en-US"/>
        </w:rPr>
        <w:t>s original 2024 proposal to amend the measure at WCPFC21, through two rounds of written feedback sought in 2025 and WCPFC22</w:t>
      </w:r>
      <w:r w:rsidR="00AA0627" w:rsidRPr="00B845AF">
        <w:rPr>
          <w:rFonts w:asciiTheme="minorHAnsi" w:hAnsiTheme="minorHAnsi" w:cstheme="minorHAnsi"/>
          <w:lang w:val="en-US"/>
        </w:rPr>
        <w:t>’</w:t>
      </w:r>
      <w:r w:rsidRPr="00B845AF">
        <w:rPr>
          <w:rFonts w:asciiTheme="minorHAnsi" w:hAnsiTheme="minorHAnsi" w:cstheme="minorHAnsi"/>
          <w:lang w:val="en-US"/>
        </w:rPr>
        <w:t>s request that recommendations and any proposed amendments be submitted to SC22 and TCC22 in 2026 with a view to adopting a revised measure at WCPFC23, to a new proposal Canada circulated in 2026 seeking two further rounds of written feedback. The presentation set out proposed amendment text and a summary of CCM comments across four issues: inclusion of underwater noise within the measure</w:t>
      </w:r>
      <w:r w:rsidR="00AA0627" w:rsidRPr="00B845AF">
        <w:rPr>
          <w:rFonts w:asciiTheme="minorHAnsi" w:hAnsiTheme="minorHAnsi" w:cstheme="minorHAnsi"/>
          <w:lang w:val="en-US"/>
        </w:rPr>
        <w:t>’</w:t>
      </w:r>
      <w:r w:rsidRPr="00B845AF">
        <w:rPr>
          <w:rFonts w:asciiTheme="minorHAnsi" w:hAnsiTheme="minorHAnsi" w:cstheme="minorHAnsi"/>
          <w:lang w:val="en-US"/>
        </w:rPr>
        <w:t>s scope, where many CCMs did not support inclusion given insufficiently developed science, though some were open to addressing it elsewhere in the Commission</w:t>
      </w:r>
      <w:r w:rsidR="00AA0627" w:rsidRPr="00B845AF">
        <w:rPr>
          <w:rFonts w:asciiTheme="minorHAnsi" w:hAnsiTheme="minorHAnsi" w:cstheme="minorHAnsi"/>
          <w:lang w:val="en-US"/>
        </w:rPr>
        <w:t>’</w:t>
      </w:r>
      <w:r w:rsidRPr="00B845AF">
        <w:rPr>
          <w:rFonts w:asciiTheme="minorHAnsi" w:hAnsiTheme="minorHAnsi" w:cstheme="minorHAnsi"/>
          <w:lang w:val="en-US"/>
        </w:rPr>
        <w:t>s work program; inclusion of greenhouse gas emissions, where many CCMs likewise did not support treating GHG emissions as marine pollution within the measure</w:t>
      </w:r>
      <w:r w:rsidR="00AA0627" w:rsidRPr="00B845AF">
        <w:rPr>
          <w:rFonts w:asciiTheme="minorHAnsi" w:hAnsiTheme="minorHAnsi" w:cstheme="minorHAnsi"/>
          <w:lang w:val="en-US"/>
        </w:rPr>
        <w:t>’</w:t>
      </w:r>
      <w:r w:rsidRPr="00B845AF">
        <w:rPr>
          <w:rFonts w:asciiTheme="minorHAnsi" w:hAnsiTheme="minorHAnsi" w:cstheme="minorHAnsi"/>
          <w:lang w:val="en-US"/>
        </w:rPr>
        <w:t xml:space="preserve">s scope at this time, with some support only for a preambular reference; the utility of and data flows for reporting on </w:t>
      </w:r>
      <w:r w:rsidR="00AA0627" w:rsidRPr="00B845AF">
        <w:rPr>
          <w:rFonts w:asciiTheme="minorHAnsi" w:hAnsiTheme="minorHAnsi" w:cstheme="minorHAnsi"/>
          <w:lang w:val="en-US"/>
        </w:rPr>
        <w:t>ALDFG</w:t>
      </w:r>
      <w:r w:rsidRPr="00B845AF">
        <w:rPr>
          <w:rFonts w:asciiTheme="minorHAnsi" w:hAnsiTheme="minorHAnsi" w:cstheme="minorHAnsi"/>
          <w:lang w:val="en-US"/>
        </w:rPr>
        <w:t xml:space="preserve">, where several CCMs opposed mandatory annual reporting as administratively burdensome and duplicative of existing FAD-related reporting systems, with one CCM suggesting automated reporting or existing scientific data channels as better suited; and the revision period, where Canada recommended the review clause reference unresolved issues such as biodegradable gear, underwater noise, and GHG emissions, and some CCMs proposed the period be discussed jointly by SC and TCC to align with subsidiary body work plans. </w:t>
      </w:r>
    </w:p>
    <w:p w14:paraId="2E606025" w14:textId="77777777" w:rsidR="00966F16" w:rsidRPr="00B845AF" w:rsidRDefault="00966F16" w:rsidP="00966F16">
      <w:pPr>
        <w:pStyle w:val="SCtext"/>
        <w:numPr>
          <w:ilvl w:val="0"/>
          <w:numId w:val="0"/>
        </w:numPr>
        <w:ind w:left="720"/>
        <w:rPr>
          <w:rFonts w:asciiTheme="minorHAnsi" w:hAnsiTheme="minorHAnsi" w:cstheme="minorHAnsi"/>
          <w:lang w:val="en-US"/>
        </w:rPr>
      </w:pPr>
    </w:p>
    <w:p w14:paraId="206B0538" w14:textId="0B0889DC" w:rsidR="00795A76" w:rsidRPr="00B845AF" w:rsidRDefault="007213BC" w:rsidP="00966F16">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For each issue</w:t>
      </w:r>
      <w:r w:rsidR="00535ED4" w:rsidRPr="00B845AF">
        <w:rPr>
          <w:rFonts w:asciiTheme="minorHAnsi" w:hAnsiTheme="minorHAnsi" w:cstheme="minorHAnsi"/>
          <w:lang w:val="en-US"/>
        </w:rPr>
        <w:t>,</w:t>
      </w:r>
      <w:r w:rsidRPr="00B845AF">
        <w:rPr>
          <w:rFonts w:asciiTheme="minorHAnsi" w:hAnsiTheme="minorHAnsi" w:cstheme="minorHAnsi"/>
          <w:lang w:val="en-US"/>
        </w:rPr>
        <w:t xml:space="preserve"> the presentation offered draft recommendation text for SC22</w:t>
      </w:r>
      <w:r w:rsidR="00AA0627" w:rsidRPr="00B845AF">
        <w:rPr>
          <w:rFonts w:asciiTheme="minorHAnsi" w:hAnsiTheme="minorHAnsi" w:cstheme="minorHAnsi"/>
          <w:lang w:val="en-US"/>
        </w:rPr>
        <w:t>’</w:t>
      </w:r>
      <w:r w:rsidRPr="00B845AF">
        <w:rPr>
          <w:rFonts w:asciiTheme="minorHAnsi" w:hAnsiTheme="minorHAnsi" w:cstheme="minorHAnsi"/>
          <w:lang w:val="en-US"/>
        </w:rPr>
        <w:t>s consideration, including recommending that the Commission consider encouraging information exchange on underwater noise and on GHG emissions, consider enhancing ALDFG reporting requirements, and consider a revision period aligned with the SC work plan, with several bracketed placeholders (including on ALDFG data flow and on gear posing significant risk of ghost fishing or navigational safety) left unresolved on the slides themselves.</w:t>
      </w:r>
    </w:p>
    <w:p w14:paraId="6762AF82" w14:textId="77777777" w:rsidR="00EC5CA9" w:rsidRPr="00B845AF" w:rsidRDefault="00EC5CA9" w:rsidP="00290BE9">
      <w:pPr>
        <w:pStyle w:val="SCtext"/>
        <w:numPr>
          <w:ilvl w:val="0"/>
          <w:numId w:val="0"/>
        </w:numPr>
        <w:rPr>
          <w:rFonts w:asciiTheme="minorHAnsi" w:hAnsiTheme="minorHAnsi" w:cstheme="minorHAnsi"/>
          <w:lang w:val="en-US"/>
        </w:rPr>
      </w:pPr>
    </w:p>
    <w:p w14:paraId="29621AAA" w14:textId="4932D2E4" w:rsidR="00FA434C" w:rsidRPr="00B845AF" w:rsidRDefault="00FA434C" w:rsidP="00FA434C">
      <w:pPr>
        <w:pStyle w:val="SCDR"/>
        <w:rPr>
          <w:rFonts w:asciiTheme="minorHAnsi" w:hAnsiTheme="minorHAnsi" w:cstheme="minorHAnsi"/>
        </w:rPr>
      </w:pPr>
      <w:r w:rsidRPr="00B845AF">
        <w:rPr>
          <w:rFonts w:asciiTheme="minorHAnsi" w:hAnsiTheme="minorHAnsi" w:cstheme="minorHAnsi"/>
        </w:rPr>
        <w:t xml:space="preserve">Discussion </w:t>
      </w:r>
    </w:p>
    <w:p w14:paraId="767697C4" w14:textId="55B300FB" w:rsidR="00537A2B" w:rsidRPr="00B845AF" w:rsidRDefault="00D404F0">
      <w:pPr>
        <w:pStyle w:val="SCtext"/>
        <w:rPr>
          <w:rFonts w:asciiTheme="minorHAnsi" w:hAnsiTheme="minorHAnsi" w:cstheme="minorHAnsi"/>
          <w:lang w:val="en-US"/>
        </w:rPr>
      </w:pPr>
      <w:r w:rsidRPr="00B845AF">
        <w:rPr>
          <w:rFonts w:asciiTheme="minorHAnsi" w:hAnsiTheme="minorHAnsi" w:cstheme="minorHAnsi"/>
          <w:lang w:val="en-US"/>
        </w:rPr>
        <w:t xml:space="preserve">FSM, on behalf of the FFA members, stated support for additional reporting on ALDFG only where there was a clearly demonstrated scientific or management need, provided that any new reporting requirements have a defined purpose, avoid duplicating existing reporting systems, and generate information that directly supports scientific advice or management. FSM stated that any additional reporting obligations should take account of the disproportionate burden they may place on SIDS, and </w:t>
      </w:r>
      <w:r w:rsidRPr="00B845AF">
        <w:rPr>
          <w:rFonts w:asciiTheme="minorHAnsi" w:hAnsiTheme="minorHAnsi" w:cstheme="minorHAnsi"/>
          <w:lang w:val="en-US"/>
        </w:rPr>
        <w:lastRenderedPageBreak/>
        <w:t>that where ALDFG information is required for scientific purposes, it would be more appropriately collected through scientific log sheet reporting or observer programmes rather than annual reports. FSM noted that the scientific value of additional ALDFG reporting would remain limited while observer coverage, particularly in longline fisheries, remained low.</w:t>
      </w:r>
    </w:p>
    <w:p w14:paraId="1181B49E" w14:textId="77777777" w:rsidR="004A06BA" w:rsidRPr="00B845AF" w:rsidRDefault="004A06BA" w:rsidP="004A06BA">
      <w:pPr>
        <w:pStyle w:val="ListParagraph"/>
        <w:rPr>
          <w:rFonts w:asciiTheme="minorHAnsi" w:hAnsiTheme="minorHAnsi" w:cstheme="minorHAnsi"/>
        </w:rPr>
      </w:pPr>
    </w:p>
    <w:p w14:paraId="02D71D0A" w14:textId="1AD9853C" w:rsidR="004A06BA" w:rsidRPr="00B845AF" w:rsidRDefault="00662D77">
      <w:pPr>
        <w:pStyle w:val="SCtext"/>
        <w:rPr>
          <w:rFonts w:asciiTheme="minorHAnsi" w:hAnsiTheme="minorHAnsi" w:cstheme="minorHAnsi"/>
          <w:lang w:val="en-US"/>
        </w:rPr>
      </w:pPr>
      <w:r w:rsidRPr="00B845AF">
        <w:rPr>
          <w:rFonts w:asciiTheme="minorHAnsi" w:hAnsiTheme="minorHAnsi" w:cstheme="minorHAnsi"/>
          <w:lang w:val="en-US"/>
        </w:rPr>
        <w:t>RMI, on behalf of the FFA members, stated strong support for the recommendations in WCPFC-SC22-2026-EB-WP12 requiring all carrier vessels undertaking fishing activities to receive an appropriately managed waste management plan in accordance with the measure and other applicable international instruments. RMI stated that it was important that any strengthened obligations on waste management in port be complemented by equivalent requirements for transshipment vessels, so as not to create incentives to avoid Pacific ports in favor of increased transshipment at sea. RMI also stated strong support for the recommendation in the paper on increasing observer coverage of longline fishery operations.</w:t>
      </w:r>
    </w:p>
    <w:p w14:paraId="367CD66C" w14:textId="77777777" w:rsidR="00A55D26" w:rsidRPr="00B845AF" w:rsidRDefault="00A55D26" w:rsidP="00A55D26">
      <w:pPr>
        <w:pStyle w:val="ListParagraph"/>
        <w:rPr>
          <w:rFonts w:asciiTheme="minorHAnsi" w:hAnsiTheme="minorHAnsi" w:cstheme="minorHAnsi"/>
        </w:rPr>
      </w:pPr>
    </w:p>
    <w:p w14:paraId="484C699F" w14:textId="4FBF348F" w:rsidR="00A55D26" w:rsidRPr="00B845AF" w:rsidRDefault="0057331C">
      <w:pPr>
        <w:pStyle w:val="SCtext"/>
        <w:rPr>
          <w:rFonts w:asciiTheme="minorHAnsi" w:hAnsiTheme="minorHAnsi" w:cstheme="minorHAnsi"/>
          <w:lang w:val="en-US"/>
        </w:rPr>
      </w:pPr>
      <w:r w:rsidRPr="00B845AF">
        <w:rPr>
          <w:rFonts w:asciiTheme="minorHAnsi" w:hAnsiTheme="minorHAnsi" w:cstheme="minorHAnsi"/>
          <w:lang w:val="en-US"/>
        </w:rPr>
        <w:t>The USA thanked the presenters for both presentations and stated that, in comments submitted to Canada to date, the USA had been generally supportive of practical and enforceable measures to reduce marine pollution, while emphasizing that new requirements should fall clearly within the Commission</w:t>
      </w:r>
      <w:r w:rsidR="003C48F6" w:rsidRPr="00B845AF">
        <w:rPr>
          <w:rFonts w:asciiTheme="minorHAnsi" w:hAnsiTheme="minorHAnsi" w:cstheme="minorHAnsi"/>
          <w:lang w:val="en-US"/>
        </w:rPr>
        <w:t>’</w:t>
      </w:r>
      <w:r w:rsidRPr="00B845AF">
        <w:rPr>
          <w:rFonts w:asciiTheme="minorHAnsi" w:hAnsiTheme="minorHAnsi" w:cstheme="minorHAnsi"/>
          <w:lang w:val="en-US"/>
        </w:rPr>
        <w:t xml:space="preserve">s mandate, avoid unnecessary reporting burdens, and align with existing WCPFC initiatives. On underwater noise, the USA stated that it had supported deletion of the relevant elements from the draft measure, noting that it was unclear whether the Commission had the authority to regulate the issue, and suggested that underwater noise might be more appropriately addressed through a non-binding resolution. The USA also expressed concern about the practicality and enforceability of regulating underwater noise, including the operational necessity of technologies such as echo sounders for FAD fisheries. On </w:t>
      </w:r>
      <w:r w:rsidR="003C48F6" w:rsidRPr="00B845AF">
        <w:rPr>
          <w:rFonts w:asciiTheme="minorHAnsi" w:hAnsiTheme="minorHAnsi" w:cstheme="minorHAnsi"/>
          <w:lang w:val="en-US"/>
        </w:rPr>
        <w:t>GHG</w:t>
      </w:r>
      <w:r w:rsidRPr="00B845AF">
        <w:rPr>
          <w:rFonts w:asciiTheme="minorHAnsi" w:hAnsiTheme="minorHAnsi" w:cstheme="minorHAnsi"/>
          <w:lang w:val="en-US"/>
        </w:rPr>
        <w:t xml:space="preserve"> emissions, the USA stated that it was still considering the issue and that any provisions should be carefully considered to ensure they fall within the Commission</w:t>
      </w:r>
      <w:r w:rsidR="003C48F6" w:rsidRPr="00B845AF">
        <w:rPr>
          <w:rFonts w:asciiTheme="minorHAnsi" w:hAnsiTheme="minorHAnsi" w:cstheme="minorHAnsi"/>
          <w:lang w:val="en-US"/>
        </w:rPr>
        <w:t>’</w:t>
      </w:r>
      <w:r w:rsidRPr="00B845AF">
        <w:rPr>
          <w:rFonts w:asciiTheme="minorHAnsi" w:hAnsiTheme="minorHAnsi" w:cstheme="minorHAnsi"/>
          <w:lang w:val="en-US"/>
        </w:rPr>
        <w:t xml:space="preserve">s mandate and are appropriately addressed through relevant international </w:t>
      </w:r>
      <w:r w:rsidR="00535ED4" w:rsidRPr="00B845AF">
        <w:rPr>
          <w:rFonts w:asciiTheme="minorHAnsi" w:hAnsiTheme="minorHAnsi" w:cstheme="minorHAnsi"/>
          <w:lang w:val="en-US"/>
        </w:rPr>
        <w:t>frameworks and</w:t>
      </w:r>
      <w:r w:rsidRPr="00B845AF">
        <w:rPr>
          <w:rFonts w:asciiTheme="minorHAnsi" w:hAnsiTheme="minorHAnsi" w:cstheme="minorHAnsi"/>
          <w:lang w:val="en-US"/>
        </w:rPr>
        <w:t xml:space="preserve"> stated general support for Canada</w:t>
      </w:r>
      <w:r w:rsidR="003C48F6" w:rsidRPr="00B845AF">
        <w:rPr>
          <w:rFonts w:asciiTheme="minorHAnsi" w:hAnsiTheme="minorHAnsi" w:cstheme="minorHAnsi"/>
          <w:lang w:val="en-US"/>
        </w:rPr>
        <w:t>’</w:t>
      </w:r>
      <w:r w:rsidRPr="00B845AF">
        <w:rPr>
          <w:rFonts w:asciiTheme="minorHAnsi" w:hAnsiTheme="minorHAnsi" w:cstheme="minorHAnsi"/>
          <w:lang w:val="en-US"/>
        </w:rPr>
        <w:t>s suggestion that the Commission consider these issues further and pursue additional data exchange. The USA stated that it had additional comments it was prepared to submit in written form.</w:t>
      </w:r>
    </w:p>
    <w:p w14:paraId="23A7FBF3" w14:textId="77777777" w:rsidR="00296BB7" w:rsidRPr="00B845AF" w:rsidRDefault="00296BB7" w:rsidP="00296BB7">
      <w:pPr>
        <w:pStyle w:val="ListParagraph"/>
        <w:rPr>
          <w:rFonts w:asciiTheme="minorHAnsi" w:hAnsiTheme="minorHAnsi" w:cstheme="minorHAnsi"/>
        </w:rPr>
      </w:pPr>
    </w:p>
    <w:p w14:paraId="23E858EB" w14:textId="2008B1EB" w:rsidR="00296BB7" w:rsidRPr="00B845AF" w:rsidRDefault="003C48F6">
      <w:pPr>
        <w:pStyle w:val="SCtext"/>
        <w:rPr>
          <w:rFonts w:asciiTheme="minorHAnsi" w:hAnsiTheme="minorHAnsi" w:cstheme="minorHAnsi"/>
          <w:lang w:val="en-US"/>
        </w:rPr>
      </w:pPr>
      <w:r w:rsidRPr="00B845AF">
        <w:rPr>
          <w:rFonts w:asciiTheme="minorHAnsi" w:hAnsiTheme="minorHAnsi" w:cstheme="minorHAnsi"/>
          <w:lang w:val="en-US"/>
        </w:rPr>
        <w:t xml:space="preserve">Japan stated that it was important to consider the issue but that the actual requirements needed to be </w:t>
      </w:r>
      <w:r w:rsidR="00535ED4" w:rsidRPr="00B845AF">
        <w:rPr>
          <w:rFonts w:asciiTheme="minorHAnsi" w:hAnsiTheme="minorHAnsi" w:cstheme="minorHAnsi"/>
          <w:lang w:val="en-US"/>
        </w:rPr>
        <w:t>considered and</w:t>
      </w:r>
      <w:r w:rsidRPr="00B845AF">
        <w:rPr>
          <w:rFonts w:asciiTheme="minorHAnsi" w:hAnsiTheme="minorHAnsi" w:cstheme="minorHAnsi"/>
          <w:lang w:val="en-US"/>
        </w:rPr>
        <w:t xml:space="preserve"> stated that it was struggling to understand the process, noting that the measure itself was subject to a country comment process through Canada, but that the paper before SC22 also contained general recommendations to the Commission that were not clearly presented in the paper. Japan stated that careful consideration was needed of the proposed </w:t>
      </w:r>
      <w:r w:rsidR="00535ED4" w:rsidRPr="00B845AF">
        <w:rPr>
          <w:rFonts w:asciiTheme="minorHAnsi" w:hAnsiTheme="minorHAnsi" w:cstheme="minorHAnsi"/>
          <w:lang w:val="en-US"/>
        </w:rPr>
        <w:t>recommendations and</w:t>
      </w:r>
      <w:r w:rsidRPr="00B845AF">
        <w:rPr>
          <w:rFonts w:asciiTheme="minorHAnsi" w:hAnsiTheme="minorHAnsi" w:cstheme="minorHAnsi"/>
          <w:lang w:val="en-US"/>
        </w:rPr>
        <w:t xml:space="preserve"> clarified that Japan understood SC22 was not negotiating the measure </w:t>
      </w:r>
      <w:proofErr w:type="gramStart"/>
      <w:r w:rsidRPr="00B845AF">
        <w:rPr>
          <w:rFonts w:asciiTheme="minorHAnsi" w:hAnsiTheme="minorHAnsi" w:cstheme="minorHAnsi"/>
          <w:lang w:val="en-US"/>
        </w:rPr>
        <w:t>itself, but</w:t>
      </w:r>
      <w:proofErr w:type="gramEnd"/>
      <w:r w:rsidRPr="00B845AF">
        <w:rPr>
          <w:rFonts w:asciiTheme="minorHAnsi" w:hAnsiTheme="minorHAnsi" w:cstheme="minorHAnsi"/>
          <w:lang w:val="en-US"/>
        </w:rPr>
        <w:t xml:space="preserve"> rather considering what kind of recommendation SC22 could make, and stated that Japan had not had sufficient time to study Canada’s suggestions, including the text shown on screen, and needed further time before these could be included in a recommendation. Japan asked for clarification on the process.</w:t>
      </w:r>
    </w:p>
    <w:p w14:paraId="2DCB67F9" w14:textId="77777777" w:rsidR="003C48F6" w:rsidRPr="00B845AF" w:rsidRDefault="003C48F6" w:rsidP="003C48F6">
      <w:pPr>
        <w:pStyle w:val="SCtext"/>
        <w:numPr>
          <w:ilvl w:val="0"/>
          <w:numId w:val="0"/>
        </w:numPr>
        <w:rPr>
          <w:rFonts w:asciiTheme="minorHAnsi" w:hAnsiTheme="minorHAnsi" w:cstheme="minorHAnsi"/>
          <w:lang w:val="en-US"/>
        </w:rPr>
      </w:pPr>
    </w:p>
    <w:p w14:paraId="04A4E027" w14:textId="0560D7F5" w:rsidR="003C48F6" w:rsidRPr="00B845AF" w:rsidRDefault="00BC29BE">
      <w:pPr>
        <w:pStyle w:val="SCtext"/>
        <w:rPr>
          <w:rFonts w:asciiTheme="minorHAnsi" w:hAnsiTheme="minorHAnsi" w:cstheme="minorHAnsi"/>
          <w:lang w:val="en-US"/>
        </w:rPr>
      </w:pPr>
      <w:r w:rsidRPr="00B845AF">
        <w:rPr>
          <w:rFonts w:asciiTheme="minorHAnsi" w:hAnsiTheme="minorHAnsi" w:cstheme="minorHAnsi"/>
          <w:lang w:val="en-US"/>
        </w:rPr>
        <w:t>The theme convener responded that the intention was to obtain feedback from SC on specific items, clarified that SC22 was not negotiating text at this point, and stated that the purpose was to see whether there was general agreement to allow Canada to make progress, noting that further discussion could take place at TCC.</w:t>
      </w:r>
    </w:p>
    <w:p w14:paraId="6F498960" w14:textId="77777777" w:rsidR="00BC29BE" w:rsidRPr="00B845AF" w:rsidRDefault="00BC29BE" w:rsidP="00BC29BE">
      <w:pPr>
        <w:pStyle w:val="SCtext"/>
        <w:numPr>
          <w:ilvl w:val="0"/>
          <w:numId w:val="0"/>
        </w:numPr>
        <w:rPr>
          <w:rFonts w:asciiTheme="minorHAnsi" w:hAnsiTheme="minorHAnsi" w:cstheme="minorHAnsi"/>
          <w:lang w:val="en-US"/>
        </w:rPr>
      </w:pPr>
    </w:p>
    <w:p w14:paraId="209EC10D" w14:textId="089E4D21" w:rsidR="00BC29BE" w:rsidRPr="00B845AF" w:rsidRDefault="00BC29BE">
      <w:pPr>
        <w:pStyle w:val="SCtext"/>
        <w:rPr>
          <w:rFonts w:asciiTheme="minorHAnsi" w:hAnsiTheme="minorHAnsi" w:cstheme="minorHAnsi"/>
          <w:lang w:val="en-US"/>
        </w:rPr>
      </w:pPr>
      <w:r w:rsidRPr="00B845AF">
        <w:rPr>
          <w:rFonts w:asciiTheme="minorHAnsi" w:hAnsiTheme="minorHAnsi" w:cstheme="minorHAnsi"/>
          <w:lang w:val="en-US"/>
        </w:rPr>
        <w:t>China thanked Canada for the work and stated concerns. China stated that the draft CMM proposed substantial revisions to the current measure and that, in China</w:t>
      </w:r>
      <w:r w:rsidR="008A0A97" w:rsidRPr="00B845AF">
        <w:rPr>
          <w:rFonts w:asciiTheme="minorHAnsi" w:hAnsiTheme="minorHAnsi" w:cstheme="minorHAnsi"/>
          <w:lang w:val="en-US"/>
        </w:rPr>
        <w:t>’</w:t>
      </w:r>
      <w:r w:rsidRPr="00B845AF">
        <w:rPr>
          <w:rFonts w:asciiTheme="minorHAnsi" w:hAnsiTheme="minorHAnsi" w:cstheme="minorHAnsi"/>
          <w:lang w:val="en-US"/>
        </w:rPr>
        <w:t xml:space="preserve">s understanding, changes to management measures should be based on scientific </w:t>
      </w:r>
      <w:r w:rsidR="00535ED4" w:rsidRPr="00B845AF">
        <w:rPr>
          <w:rFonts w:asciiTheme="minorHAnsi" w:hAnsiTheme="minorHAnsi" w:cstheme="minorHAnsi"/>
          <w:lang w:val="en-US"/>
        </w:rPr>
        <w:t>evidence and</w:t>
      </w:r>
      <w:r w:rsidRPr="00B845AF">
        <w:rPr>
          <w:rFonts w:asciiTheme="minorHAnsi" w:hAnsiTheme="minorHAnsi" w:cstheme="minorHAnsi"/>
          <w:lang w:val="en-US"/>
        </w:rPr>
        <w:t xml:space="preserve"> encouraged further scientific work before decisions are made. China stated particular concern regarding the </w:t>
      </w:r>
      <w:r w:rsidR="0009154A" w:rsidRPr="00B845AF">
        <w:rPr>
          <w:rFonts w:asciiTheme="minorHAnsi" w:hAnsiTheme="minorHAnsi" w:cstheme="minorHAnsi"/>
          <w:lang w:val="en-US"/>
        </w:rPr>
        <w:t>GHG</w:t>
      </w:r>
      <w:r w:rsidRPr="00B845AF">
        <w:rPr>
          <w:rFonts w:asciiTheme="minorHAnsi" w:hAnsiTheme="minorHAnsi" w:cstheme="minorHAnsi"/>
          <w:lang w:val="en-US"/>
        </w:rPr>
        <w:t xml:space="preserve"> emissions elements, stating that this required further discussion, and noted that it had only seen the wording that day and needed </w:t>
      </w:r>
      <w:r w:rsidRPr="00B845AF">
        <w:rPr>
          <w:rFonts w:asciiTheme="minorHAnsi" w:hAnsiTheme="minorHAnsi" w:cstheme="minorHAnsi"/>
          <w:lang w:val="en-US"/>
        </w:rPr>
        <w:lastRenderedPageBreak/>
        <w:t>more time to consider it. China stated that, while it appreciated the recommendations, it considered the issues raised to concern management matters more broadly and that it would be more feasible to discuss them at TCC.</w:t>
      </w:r>
    </w:p>
    <w:p w14:paraId="213E9E73" w14:textId="77777777" w:rsidR="008A0A97" w:rsidRPr="00B845AF" w:rsidRDefault="008A0A97" w:rsidP="008A0A97">
      <w:pPr>
        <w:pStyle w:val="SCtext"/>
        <w:numPr>
          <w:ilvl w:val="0"/>
          <w:numId w:val="0"/>
        </w:numPr>
        <w:rPr>
          <w:rFonts w:asciiTheme="minorHAnsi" w:hAnsiTheme="minorHAnsi" w:cstheme="minorHAnsi"/>
          <w:lang w:val="en-US"/>
        </w:rPr>
      </w:pPr>
    </w:p>
    <w:p w14:paraId="608BCF3B" w14:textId="498BE846" w:rsidR="008A0A97" w:rsidRPr="00B845AF" w:rsidRDefault="00D56198">
      <w:pPr>
        <w:pStyle w:val="SCtext"/>
        <w:rPr>
          <w:rFonts w:asciiTheme="minorHAnsi" w:hAnsiTheme="minorHAnsi" w:cstheme="minorHAnsi"/>
          <w:lang w:val="en-US"/>
        </w:rPr>
      </w:pPr>
      <w:r w:rsidRPr="00B845AF">
        <w:rPr>
          <w:rFonts w:asciiTheme="minorHAnsi" w:hAnsiTheme="minorHAnsi" w:cstheme="minorHAnsi"/>
          <w:lang w:val="en-US"/>
        </w:rPr>
        <w:t>Indonesia thanked the presenters and, referring in particular to underwater noise, stated that it did not seek to prolong the discussion but considered that Indonesia needed more time to understand the proposal and the issue of underwater noise, on which it did not yet have a full understanding. Indonesia stated that it considered the proposal a good basis for addressing marine pollution but wished to have further discussion.</w:t>
      </w:r>
    </w:p>
    <w:p w14:paraId="32614B92" w14:textId="77777777" w:rsidR="008A0A97" w:rsidRPr="00B845AF" w:rsidRDefault="008A0A97" w:rsidP="008A0A97">
      <w:pPr>
        <w:pStyle w:val="SCtext"/>
        <w:numPr>
          <w:ilvl w:val="0"/>
          <w:numId w:val="0"/>
        </w:numPr>
        <w:rPr>
          <w:rFonts w:asciiTheme="minorHAnsi" w:hAnsiTheme="minorHAnsi" w:cstheme="minorHAnsi"/>
          <w:lang w:val="en-US"/>
        </w:rPr>
      </w:pPr>
    </w:p>
    <w:p w14:paraId="4C11201B" w14:textId="6B72B2DD" w:rsidR="008A0A97" w:rsidRPr="00B845AF" w:rsidRDefault="00DC1B60">
      <w:pPr>
        <w:pStyle w:val="SCtext"/>
        <w:rPr>
          <w:rFonts w:asciiTheme="minorHAnsi" w:hAnsiTheme="minorHAnsi" w:cstheme="minorHAnsi"/>
          <w:lang w:val="en-US"/>
        </w:rPr>
      </w:pPr>
      <w:r w:rsidRPr="00B845AF">
        <w:rPr>
          <w:rFonts w:asciiTheme="minorHAnsi" w:hAnsiTheme="minorHAnsi" w:cstheme="minorHAnsi"/>
          <w:lang w:val="en-US"/>
        </w:rPr>
        <w:t xml:space="preserve">SPREP stated that its intervention was a general comment on the EB theme and did not specifically relate to the two presentations. SPREP stated that it would support the region through a new EU-funded partnership on mitigating threats to key marine species, with a programme of work running through late 2028 and structured around three key areas. The first area concerned reducing extinction risk for sea turtles, including by reducing direct take in communities, particularly in Fiji and Tonga, and improving identification, mapping, and protection of migratory corridors. The second concerned reducing bycatch of marine species through training for government officials and building the capacity of boat crews on bycatch mitigation and safe handling, particularly in Vanuatu and Fiji. The third </w:t>
      </w:r>
      <w:proofErr w:type="gramStart"/>
      <w:r w:rsidRPr="00B845AF">
        <w:rPr>
          <w:rFonts w:asciiTheme="minorHAnsi" w:hAnsiTheme="minorHAnsi" w:cstheme="minorHAnsi"/>
          <w:lang w:val="en-US"/>
        </w:rPr>
        <w:t>concerned</w:t>
      </w:r>
      <w:proofErr w:type="gramEnd"/>
      <w:r w:rsidRPr="00B845AF">
        <w:rPr>
          <w:rFonts w:asciiTheme="minorHAnsi" w:hAnsiTheme="minorHAnsi" w:cstheme="minorHAnsi"/>
          <w:lang w:val="en-US"/>
        </w:rPr>
        <w:t xml:space="preserve"> reducing extinction risk for sharks through CITES implementation, including building regional capacity to develop NDFs and supporting monitoring and enforcement. SPREP invited CCMs to contact SPREP regarding collaboration and synergies with the upcoming work.</w:t>
      </w:r>
    </w:p>
    <w:p w14:paraId="2A44C797" w14:textId="2BA9B6B6" w:rsidR="00D9080E" w:rsidRPr="00B845AF" w:rsidRDefault="00D9080E" w:rsidP="00D9080E">
      <w:pPr>
        <w:pStyle w:val="SCtext"/>
        <w:numPr>
          <w:ilvl w:val="0"/>
          <w:numId w:val="0"/>
        </w:numPr>
        <w:rPr>
          <w:rFonts w:asciiTheme="minorHAnsi" w:hAnsiTheme="minorHAnsi" w:cstheme="minorHAnsi"/>
          <w:lang w:val="en-US"/>
        </w:rPr>
      </w:pPr>
    </w:p>
    <w:p w14:paraId="28D32934" w14:textId="1E1A3767" w:rsidR="00D9080E" w:rsidRPr="00B845AF" w:rsidRDefault="00D9080E" w:rsidP="00D9080E">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6E8B2761" w14:textId="39C5C6EE" w:rsidR="00D9080E" w:rsidRPr="00B845AF" w:rsidRDefault="00D766E0">
      <w:pPr>
        <w:pStyle w:val="SCtext"/>
        <w:rPr>
          <w:rFonts w:asciiTheme="minorHAnsi" w:hAnsiTheme="minorHAnsi" w:cstheme="minorHAnsi"/>
          <w:b/>
          <w:bCs/>
          <w:lang w:val="en-US"/>
        </w:rPr>
      </w:pPr>
      <w:r w:rsidRPr="00B845AF">
        <w:rPr>
          <w:rFonts w:asciiTheme="minorHAnsi" w:hAnsiTheme="minorHAnsi" w:cstheme="minorHAnsi"/>
          <w:b/>
          <w:bCs/>
          <w:iCs/>
          <w:lang w:val="en-US"/>
        </w:rPr>
        <w:t xml:space="preserve">SC22 recommended that </w:t>
      </w:r>
      <w:r w:rsidR="005A42B8" w:rsidRPr="00B845AF">
        <w:rPr>
          <w:rFonts w:asciiTheme="minorHAnsi" w:hAnsiTheme="minorHAnsi" w:cstheme="minorHAnsi"/>
          <w:b/>
          <w:bCs/>
          <w:iCs/>
          <w:lang w:val="en-US"/>
        </w:rPr>
        <w:t xml:space="preserve">the </w:t>
      </w:r>
      <w:r w:rsidRPr="00B845AF">
        <w:rPr>
          <w:rFonts w:asciiTheme="minorHAnsi" w:hAnsiTheme="minorHAnsi" w:cstheme="minorHAnsi"/>
          <w:b/>
          <w:bCs/>
          <w:iCs/>
          <w:lang w:val="en-US"/>
        </w:rPr>
        <w:t xml:space="preserve">TCC and Commission consider strengthening observer monitoring of </w:t>
      </w:r>
      <w:r w:rsidRPr="00B845AF">
        <w:rPr>
          <w:rFonts w:asciiTheme="minorHAnsi" w:hAnsiTheme="minorHAnsi" w:cstheme="minorHAnsi"/>
          <w:b/>
          <w:bCs/>
          <w:lang w:val="en-US"/>
        </w:rPr>
        <w:t>a</w:t>
      </w:r>
      <w:r w:rsidRPr="00B845AF">
        <w:rPr>
          <w:rFonts w:asciiTheme="minorHAnsi" w:hAnsiTheme="minorHAnsi" w:cstheme="minorHAnsi"/>
          <w:b/>
          <w:bCs/>
          <w:iCs/>
          <w:lang w:val="en-US"/>
        </w:rPr>
        <w:t>bandoned, lost, or discarded pelagic fishing gear (ALDFG) across relevant WCPFC longline observer programmes, as appropriate and practicable, including through electronic reporting systems and associated observer training.</w:t>
      </w:r>
    </w:p>
    <w:p w14:paraId="7D47F011" w14:textId="77777777" w:rsidR="00D766E0" w:rsidRPr="00B845AF" w:rsidRDefault="00D766E0" w:rsidP="00D766E0">
      <w:pPr>
        <w:pStyle w:val="SCtext"/>
        <w:numPr>
          <w:ilvl w:val="0"/>
          <w:numId w:val="0"/>
        </w:numPr>
        <w:rPr>
          <w:rFonts w:asciiTheme="minorHAnsi" w:hAnsiTheme="minorHAnsi" w:cstheme="minorHAnsi"/>
          <w:b/>
          <w:bCs/>
          <w:lang w:val="en-US"/>
        </w:rPr>
      </w:pPr>
    </w:p>
    <w:p w14:paraId="4A774257" w14:textId="5C38D6A0" w:rsidR="005A42B8" w:rsidRPr="00B845AF" w:rsidRDefault="00D766E0">
      <w:pPr>
        <w:pStyle w:val="SCtext"/>
        <w:rPr>
          <w:rFonts w:asciiTheme="minorHAnsi" w:hAnsiTheme="minorHAnsi" w:cstheme="minorHAnsi"/>
          <w:lang w:val="en-US"/>
        </w:rPr>
      </w:pPr>
      <w:r w:rsidRPr="00B845AF">
        <w:rPr>
          <w:rFonts w:asciiTheme="minorHAnsi" w:hAnsiTheme="minorHAnsi" w:cstheme="minorHAnsi"/>
          <w:lang w:val="en-US"/>
        </w:rPr>
        <w:t xml:space="preserve">SC22 noted that some CCMs suggested </w:t>
      </w:r>
      <w:r w:rsidRPr="00B845AF">
        <w:rPr>
          <w:rFonts w:asciiTheme="minorHAnsi" w:hAnsiTheme="minorHAnsi" w:cstheme="minorHAnsi"/>
          <w:iCs/>
          <w:lang w:val="en-US"/>
        </w:rPr>
        <w:t>data monitoring should use standardised fields instead of “comments” to record whether gear was abandoned, lost or discarded, the reasons for the event, and estimated quantities of gear involved, including mainline and branchline length or weight and numbers of floats and beacons.</w:t>
      </w:r>
    </w:p>
    <w:p w14:paraId="0B8E9BDC" w14:textId="77777777" w:rsidR="005A42B8" w:rsidRPr="00B845AF" w:rsidRDefault="005A42B8" w:rsidP="005A42B8">
      <w:pPr>
        <w:pStyle w:val="SCtext"/>
        <w:numPr>
          <w:ilvl w:val="0"/>
          <w:numId w:val="0"/>
        </w:numPr>
        <w:rPr>
          <w:rFonts w:asciiTheme="minorHAnsi" w:hAnsiTheme="minorHAnsi" w:cstheme="minorHAnsi"/>
          <w:b/>
          <w:bCs/>
          <w:lang w:val="en-US"/>
        </w:rPr>
      </w:pPr>
    </w:p>
    <w:p w14:paraId="35DB64E9" w14:textId="3C184BC0" w:rsidR="00990902" w:rsidRPr="00B845AF" w:rsidRDefault="00D766E0">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recommended that the TCC and Commission encourage CCMs to expand monitoring of longline ALDFG beyond the 13 CCMs with current monitoring </w:t>
      </w:r>
      <w:proofErr w:type="gramStart"/>
      <w:r w:rsidRPr="00B845AF">
        <w:rPr>
          <w:rFonts w:asciiTheme="minorHAnsi" w:hAnsiTheme="minorHAnsi" w:cstheme="minorHAnsi"/>
          <w:b/>
          <w:bCs/>
          <w:lang w:val="en-US"/>
        </w:rPr>
        <w:t>and</w:t>
      </w:r>
      <w:r w:rsidRPr="00B845AF">
        <w:rPr>
          <w:rFonts w:asciiTheme="minorHAnsi" w:hAnsiTheme="minorHAnsi" w:cstheme="minorHAnsi"/>
          <w:b/>
          <w:bCs/>
          <w:iCs/>
          <w:lang w:val="en-US"/>
        </w:rPr>
        <w:t xml:space="preserve"> also</w:t>
      </w:r>
      <w:proofErr w:type="gramEnd"/>
      <w:r w:rsidRPr="00B845AF">
        <w:rPr>
          <w:rFonts w:asciiTheme="minorHAnsi" w:hAnsiTheme="minorHAnsi" w:cstheme="minorHAnsi"/>
          <w:b/>
          <w:bCs/>
          <w:iCs/>
          <w:lang w:val="en-US"/>
        </w:rPr>
        <w:t xml:space="preserve"> encourage CCMs to expand monitoring of additional WCPFC fleets.</w:t>
      </w:r>
    </w:p>
    <w:p w14:paraId="0B1ED740" w14:textId="77777777" w:rsidR="00990902" w:rsidRPr="00B845AF" w:rsidRDefault="00990902" w:rsidP="00990902">
      <w:pPr>
        <w:pStyle w:val="SCtext"/>
        <w:numPr>
          <w:ilvl w:val="0"/>
          <w:numId w:val="0"/>
        </w:numPr>
        <w:rPr>
          <w:rFonts w:asciiTheme="minorHAnsi" w:hAnsiTheme="minorHAnsi" w:cstheme="minorHAnsi"/>
          <w:b/>
          <w:bCs/>
          <w:lang w:val="en-US"/>
        </w:rPr>
      </w:pPr>
    </w:p>
    <w:p w14:paraId="6CFB0190" w14:textId="0A3C3005" w:rsidR="00990902" w:rsidRPr="00B845AF" w:rsidRDefault="00990902">
      <w:pPr>
        <w:pStyle w:val="SCtext"/>
        <w:rPr>
          <w:rFonts w:asciiTheme="minorHAnsi" w:hAnsiTheme="minorHAnsi" w:cstheme="minorHAnsi"/>
          <w:b/>
          <w:bCs/>
          <w:lang w:val="en-US"/>
        </w:rPr>
      </w:pPr>
      <w:r w:rsidRPr="00B845AF">
        <w:rPr>
          <w:rFonts w:asciiTheme="minorHAnsi" w:hAnsiTheme="minorHAnsi" w:cstheme="minorHAnsi"/>
          <w:b/>
          <w:bCs/>
          <w:lang w:val="en-US"/>
        </w:rPr>
        <w:t>SC22 advised that the scientific value of additional ALDFG reporting will remain limited while observer coverage in longline fisheries remains low, and supported increasing independent monitoring, whether human or electronic, of longline fishing operations.</w:t>
      </w:r>
    </w:p>
    <w:p w14:paraId="420ADEF2" w14:textId="77777777" w:rsidR="00B56AAD" w:rsidRPr="00B845AF" w:rsidRDefault="00B56AAD" w:rsidP="00B56AAD">
      <w:pPr>
        <w:pStyle w:val="SCtext"/>
        <w:numPr>
          <w:ilvl w:val="0"/>
          <w:numId w:val="0"/>
        </w:numPr>
        <w:rPr>
          <w:rFonts w:asciiTheme="minorHAnsi" w:hAnsiTheme="minorHAnsi" w:cstheme="minorHAnsi"/>
          <w:b/>
          <w:bCs/>
          <w:lang w:val="en-US"/>
        </w:rPr>
      </w:pPr>
    </w:p>
    <w:p w14:paraId="1B9A51AE" w14:textId="52D99876" w:rsidR="00B56AAD" w:rsidRPr="00B845AF" w:rsidRDefault="00B56AAD">
      <w:pPr>
        <w:pStyle w:val="SCtext"/>
        <w:rPr>
          <w:rFonts w:asciiTheme="minorHAnsi" w:hAnsiTheme="minorHAnsi" w:cstheme="minorHAnsi"/>
          <w:lang w:val="en-US"/>
        </w:rPr>
      </w:pPr>
      <w:r w:rsidRPr="00B845AF">
        <w:rPr>
          <w:rFonts w:asciiTheme="minorHAnsi" w:hAnsiTheme="minorHAnsi" w:cstheme="minorHAnsi"/>
          <w:lang w:val="en-US"/>
        </w:rPr>
        <w:t>SC22 noted that several CCMs considered that further scientific discussion is required before underwater noise and greenhouse gas emissions could be included in the measure, and that the proposed amendments have management implications more appropriately considered by TCC.</w:t>
      </w:r>
    </w:p>
    <w:p w14:paraId="00BAB6D2" w14:textId="77777777" w:rsidR="00C324CF" w:rsidRPr="00B845AF" w:rsidRDefault="00C324CF" w:rsidP="00C324CF">
      <w:pPr>
        <w:pStyle w:val="SCtext"/>
        <w:numPr>
          <w:ilvl w:val="0"/>
          <w:numId w:val="0"/>
        </w:numPr>
        <w:rPr>
          <w:rFonts w:asciiTheme="minorHAnsi" w:hAnsiTheme="minorHAnsi" w:cstheme="minorHAnsi"/>
          <w:b/>
          <w:bCs/>
          <w:lang w:val="en-US"/>
        </w:rPr>
      </w:pPr>
    </w:p>
    <w:p w14:paraId="72521AC3" w14:textId="051D9853" w:rsidR="00C324CF" w:rsidRPr="00B845AF" w:rsidRDefault="00C324CF">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the Commission consider scheduling a three-year review period following the adoption of the new marine pollution measure, which aligns with the SC’s workplan.</w:t>
      </w:r>
    </w:p>
    <w:p w14:paraId="5B69648B" w14:textId="77777777" w:rsidR="00C324CF" w:rsidRPr="00B845AF" w:rsidRDefault="00C324CF" w:rsidP="00C324CF">
      <w:pPr>
        <w:pStyle w:val="SCtext"/>
        <w:numPr>
          <w:ilvl w:val="0"/>
          <w:numId w:val="0"/>
        </w:numPr>
        <w:rPr>
          <w:rFonts w:asciiTheme="minorHAnsi" w:hAnsiTheme="minorHAnsi" w:cstheme="minorHAnsi"/>
          <w:b/>
          <w:bCs/>
          <w:lang w:val="en-US"/>
        </w:rPr>
      </w:pPr>
    </w:p>
    <w:p w14:paraId="12EC0F8F" w14:textId="754311C4" w:rsidR="00C324CF" w:rsidRPr="00B845AF" w:rsidRDefault="00C324CF">
      <w:pPr>
        <w:pStyle w:val="SCtext"/>
        <w:rPr>
          <w:rFonts w:asciiTheme="minorHAnsi" w:hAnsiTheme="minorHAnsi" w:cstheme="minorHAnsi"/>
          <w:lang w:val="en-US"/>
        </w:rPr>
      </w:pPr>
      <w:r w:rsidRPr="00B845AF">
        <w:rPr>
          <w:rFonts w:asciiTheme="minorHAnsi" w:hAnsiTheme="minorHAnsi" w:cstheme="minorHAnsi"/>
          <w:lang w:val="en-US"/>
        </w:rPr>
        <w:t>SC22 noted that it did not have the necessary information to advise on what ALDFG pose a “significant risk of ghost fishing and/or navigational safety.”</w:t>
      </w:r>
    </w:p>
    <w:p w14:paraId="5DD2186B" w14:textId="77777777" w:rsidR="009944A6" w:rsidRPr="00B845AF" w:rsidRDefault="009944A6" w:rsidP="00CE049C">
      <w:pPr>
        <w:rPr>
          <w:rFonts w:asciiTheme="minorHAnsi" w:hAnsiTheme="minorHAnsi" w:cstheme="minorHAnsi"/>
          <w:b/>
          <w:bCs/>
          <w:szCs w:val="22"/>
        </w:rPr>
      </w:pPr>
    </w:p>
    <w:p w14:paraId="0EFA321C" w14:textId="77777777" w:rsidR="00CE049C" w:rsidRPr="00B845AF" w:rsidRDefault="00CE049C" w:rsidP="00CE049C">
      <w:pPr>
        <w:rPr>
          <w:rFonts w:asciiTheme="minorHAnsi" w:hAnsiTheme="minorHAnsi" w:cstheme="minorHAnsi"/>
          <w:vanish/>
          <w:szCs w:val="22"/>
        </w:rPr>
      </w:pPr>
    </w:p>
    <w:p w14:paraId="2F612022" w14:textId="77777777" w:rsidR="00CE049C" w:rsidRPr="00B845AF" w:rsidRDefault="00CE049C">
      <w:pPr>
        <w:numPr>
          <w:ilvl w:val="0"/>
          <w:numId w:val="20"/>
        </w:numPr>
        <w:rPr>
          <w:rFonts w:asciiTheme="minorHAnsi" w:hAnsiTheme="minorHAnsi" w:cstheme="minorHAnsi"/>
          <w:b/>
          <w:bCs/>
          <w:vanish/>
          <w:szCs w:val="22"/>
        </w:rPr>
      </w:pPr>
    </w:p>
    <w:p w14:paraId="3C1A8887" w14:textId="77777777" w:rsidR="00CE049C" w:rsidRPr="00B845AF" w:rsidRDefault="00CE049C" w:rsidP="00043E22">
      <w:pPr>
        <w:ind w:left="480"/>
        <w:rPr>
          <w:rFonts w:asciiTheme="minorHAnsi" w:hAnsiTheme="minorHAnsi" w:cstheme="minorHAnsi"/>
          <w:b/>
          <w:bCs/>
          <w:vanish/>
          <w:szCs w:val="22"/>
        </w:rPr>
      </w:pPr>
    </w:p>
    <w:p w14:paraId="60F46427" w14:textId="7C27F2A1" w:rsidR="00CE049C" w:rsidRPr="00B845AF" w:rsidRDefault="00414CC2">
      <w:pPr>
        <w:pStyle w:val="SC2"/>
        <w:rPr>
          <w:rFonts w:asciiTheme="minorHAnsi" w:hAnsiTheme="minorHAnsi" w:cstheme="minorHAnsi"/>
        </w:rPr>
      </w:pPr>
      <w:bookmarkStart w:id="66" w:name="_Hlk197438972"/>
      <w:r w:rsidRPr="00B845AF">
        <w:rPr>
          <w:rFonts w:asciiTheme="minorHAnsi" w:hAnsiTheme="minorHAnsi" w:cstheme="minorHAnsi"/>
        </w:rPr>
        <w:t xml:space="preserve">Deep-sea </w:t>
      </w:r>
      <w:proofErr w:type="gramStart"/>
      <w:r w:rsidRPr="00B845AF">
        <w:rPr>
          <w:rFonts w:asciiTheme="minorHAnsi" w:hAnsiTheme="minorHAnsi" w:cstheme="minorHAnsi"/>
        </w:rPr>
        <w:t>mining</w:t>
      </w:r>
      <w:proofErr w:type="gramEnd"/>
    </w:p>
    <w:bookmarkStart w:id="67" w:name="_Hlk196235825"/>
    <w:p w14:paraId="256D811C" w14:textId="787583AB" w:rsidR="00A12056" w:rsidRPr="00B845AF" w:rsidRDefault="00D25B99">
      <w:pPr>
        <w:pStyle w:val="SCtext"/>
        <w:rPr>
          <w:rFonts w:asciiTheme="minorHAnsi" w:hAnsiTheme="minorHAnsi" w:cstheme="minorHAnsi"/>
          <w:lang w:val="en-US"/>
        </w:rPr>
      </w:pPr>
      <w:r w:rsidRPr="00B845AF">
        <w:rPr>
          <w:rFonts w:asciiTheme="minorHAnsi" w:hAnsiTheme="minorHAnsi" w:cstheme="minorHAnsi"/>
          <w:lang w:val="en-US"/>
        </w:rPr>
        <w:fldChar w:fldCharType="begin"/>
      </w:r>
      <w:r w:rsidRPr="00B845AF">
        <w:rPr>
          <w:rFonts w:asciiTheme="minorHAnsi" w:hAnsiTheme="minorHAnsi" w:cstheme="minorHAnsi"/>
          <w:lang w:val="en-US"/>
        </w:rPr>
        <w:instrText xml:space="preserve"> HYPERLINK "https://meetings.wcpfc.int/node/32593" </w:instrText>
      </w:r>
      <w:r w:rsidRPr="00B845AF">
        <w:rPr>
          <w:rFonts w:asciiTheme="minorHAnsi" w:hAnsiTheme="minorHAnsi" w:cstheme="minorHAnsi"/>
          <w:lang w:val="en-US"/>
        </w:rPr>
      </w:r>
      <w:r w:rsidRPr="00B845AF">
        <w:rPr>
          <w:rFonts w:asciiTheme="minorHAnsi" w:hAnsiTheme="minorHAnsi" w:cstheme="minorHAnsi"/>
          <w:lang w:val="en-US"/>
        </w:rPr>
        <w:fldChar w:fldCharType="separate"/>
      </w:r>
      <w:r w:rsidRPr="00B845AF">
        <w:rPr>
          <w:rStyle w:val="Hyperlink"/>
          <w:rFonts w:asciiTheme="minorHAnsi" w:hAnsiTheme="minorHAnsi" w:cstheme="minorHAnsi"/>
          <w:lang w:val="en-US"/>
        </w:rPr>
        <w:t>WCPFC-SC22-2026-EB-IP17</w:t>
      </w:r>
      <w:bookmarkEnd w:id="67"/>
      <w:r w:rsidRPr="00B845AF">
        <w:rPr>
          <w:rFonts w:asciiTheme="minorHAnsi" w:hAnsiTheme="minorHAnsi" w:cstheme="minorHAnsi"/>
          <w:lang w:val="en-US"/>
        </w:rPr>
        <w:fldChar w:fldCharType="end"/>
      </w:r>
      <w:r w:rsidRPr="00B845AF">
        <w:rPr>
          <w:rFonts w:asciiTheme="minorHAnsi" w:hAnsiTheme="minorHAnsi" w:cstheme="minorHAnsi"/>
          <w:lang w:val="en-US"/>
        </w:rPr>
        <w:t xml:space="preserve"> was taken as read.</w:t>
      </w:r>
    </w:p>
    <w:p w14:paraId="413E2400" w14:textId="77777777" w:rsidR="00A12C93" w:rsidRPr="00B845AF" w:rsidRDefault="00A12C93" w:rsidP="00D25B99">
      <w:pPr>
        <w:rPr>
          <w:rFonts w:asciiTheme="minorHAnsi" w:hAnsiTheme="minorHAnsi" w:cstheme="minorHAnsi"/>
        </w:rPr>
      </w:pPr>
    </w:p>
    <w:p w14:paraId="55490AA5" w14:textId="0CBE4A9D" w:rsidR="00FA434C" w:rsidRPr="00B845AF" w:rsidRDefault="00FA434C" w:rsidP="00FA434C">
      <w:pPr>
        <w:pStyle w:val="SCDR"/>
        <w:rPr>
          <w:rFonts w:asciiTheme="minorHAnsi" w:hAnsiTheme="minorHAnsi" w:cstheme="minorHAnsi"/>
        </w:rPr>
      </w:pPr>
      <w:r w:rsidRPr="00B845AF">
        <w:rPr>
          <w:rFonts w:asciiTheme="minorHAnsi" w:hAnsiTheme="minorHAnsi" w:cstheme="minorHAnsi"/>
        </w:rPr>
        <w:t>Discussion</w:t>
      </w:r>
    </w:p>
    <w:p w14:paraId="4EB9D288" w14:textId="709FA88E" w:rsidR="00BA3D44" w:rsidRPr="00B845AF" w:rsidRDefault="00B678BD">
      <w:pPr>
        <w:pStyle w:val="SCtext"/>
        <w:rPr>
          <w:rFonts w:asciiTheme="minorHAnsi" w:hAnsiTheme="minorHAnsi" w:cstheme="minorHAnsi"/>
          <w:lang w:val="en-US"/>
        </w:rPr>
      </w:pPr>
      <w:r w:rsidRPr="00B845AF">
        <w:rPr>
          <w:rFonts w:asciiTheme="minorHAnsi" w:hAnsiTheme="minorHAnsi" w:cstheme="minorHAnsi"/>
          <w:lang w:val="en-US"/>
        </w:rPr>
        <w:t>Niue, on behalf of the FFA members, thanked the Secretariat for its update and noted its participation in the International Seabed Authority (ISA) Regional Environmental Management Plan (REMP) workshop and its contribution of WCPFC fisheries information to the REMP development process. Niue, on behalf of the FFA members, stated that FFA members supported continued cooperation and information exchange between WCPFC and the ISA on matters of mutual relevance to fisheries and the marine environment, consistent with the Commission’s mandate, and recommended that SC22 recommend that the Commission continue to work closely with relevant research institutions, scientific organizations, regional agencies, development partners, and the ISA to improve understanding of the potential impacts of seabed mining on pelagic fisheries.</w:t>
      </w:r>
    </w:p>
    <w:p w14:paraId="381237D0" w14:textId="2DF3F384" w:rsidR="00A91078" w:rsidRPr="00B845AF" w:rsidRDefault="00A91078" w:rsidP="00A91078">
      <w:pPr>
        <w:pStyle w:val="SCtext"/>
        <w:numPr>
          <w:ilvl w:val="0"/>
          <w:numId w:val="0"/>
        </w:numPr>
        <w:rPr>
          <w:rFonts w:asciiTheme="minorHAnsi" w:hAnsiTheme="minorHAnsi" w:cstheme="minorHAnsi"/>
          <w:lang w:val="en-US"/>
        </w:rPr>
      </w:pPr>
    </w:p>
    <w:p w14:paraId="02D1D757" w14:textId="7A218979" w:rsidR="00A91078" w:rsidRPr="00B845AF" w:rsidRDefault="00A91078" w:rsidP="00A91078">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7E1B191F" w14:textId="343181AF" w:rsidR="00A91078" w:rsidRPr="00B845AF" w:rsidRDefault="00D769BA">
      <w:pPr>
        <w:pStyle w:val="SCtext"/>
        <w:rPr>
          <w:rFonts w:asciiTheme="minorHAnsi" w:hAnsiTheme="minorHAnsi" w:cstheme="minorHAnsi"/>
          <w:lang w:val="en-US"/>
        </w:rPr>
      </w:pPr>
      <w:r w:rsidRPr="00B845AF">
        <w:rPr>
          <w:rFonts w:asciiTheme="minorHAnsi" w:hAnsiTheme="minorHAnsi" w:cstheme="minorHAnsi"/>
          <w:lang w:val="en-US"/>
        </w:rPr>
        <w:t xml:space="preserve">SC22 noted the Secretariat’s participation in the International Seabed Authority (ISA) Regional Environmental Management Plan (REMP) workshop and its contribution of WCPFC fisheries information to the REMP development process. </w:t>
      </w:r>
    </w:p>
    <w:p w14:paraId="6A48E433" w14:textId="77777777" w:rsidR="00D769BA" w:rsidRPr="00B845AF" w:rsidRDefault="00D769BA" w:rsidP="00D769BA">
      <w:pPr>
        <w:pStyle w:val="SCtext"/>
        <w:numPr>
          <w:ilvl w:val="0"/>
          <w:numId w:val="0"/>
        </w:numPr>
        <w:rPr>
          <w:rFonts w:asciiTheme="minorHAnsi" w:hAnsiTheme="minorHAnsi" w:cstheme="minorHAnsi"/>
          <w:b/>
          <w:bCs/>
          <w:lang w:val="en-US"/>
        </w:rPr>
      </w:pPr>
    </w:p>
    <w:p w14:paraId="56F9474F" w14:textId="09675943" w:rsidR="00D769BA" w:rsidRPr="00B845AF" w:rsidRDefault="00D769BA">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the Commission continue to work closely with relevant research institutions, scientific organisations, regional agencies, development partners and the ISA to provide information to improve understanding of the potential impacts of seabed mining on pelagic fisheries.</w:t>
      </w:r>
    </w:p>
    <w:p w14:paraId="757596A8" w14:textId="77777777" w:rsidR="00A96778" w:rsidRPr="00B845AF" w:rsidRDefault="00A96778" w:rsidP="00CE049C">
      <w:pPr>
        <w:rPr>
          <w:rFonts w:asciiTheme="minorHAnsi" w:hAnsiTheme="minorHAnsi" w:cstheme="minorHAnsi"/>
          <w:szCs w:val="22"/>
        </w:rPr>
      </w:pPr>
    </w:p>
    <w:bookmarkEnd w:id="66"/>
    <w:p w14:paraId="5E706F98" w14:textId="39B665B7" w:rsidR="00CE049C" w:rsidRPr="00B845AF" w:rsidRDefault="00414CC2">
      <w:pPr>
        <w:pStyle w:val="SC2"/>
        <w:rPr>
          <w:rFonts w:asciiTheme="minorHAnsi" w:hAnsiTheme="minorHAnsi" w:cstheme="minorHAnsi"/>
        </w:rPr>
      </w:pPr>
      <w:r w:rsidRPr="00B845AF">
        <w:rPr>
          <w:rFonts w:asciiTheme="minorHAnsi" w:hAnsiTheme="minorHAnsi" w:cstheme="minorHAnsi"/>
        </w:rPr>
        <w:t>Other EB Theme issues</w:t>
      </w:r>
    </w:p>
    <w:p w14:paraId="14AD9E73" w14:textId="5E9AA933" w:rsidR="00BA617D" w:rsidRPr="00B845AF" w:rsidRDefault="00B678BD">
      <w:pPr>
        <w:pStyle w:val="SCtext"/>
        <w:rPr>
          <w:rFonts w:asciiTheme="minorHAnsi" w:hAnsiTheme="minorHAnsi" w:cstheme="minorHAnsi"/>
          <w:bCs/>
          <w:lang w:val="en-US"/>
        </w:rPr>
      </w:pPr>
      <w:r w:rsidRPr="00B845AF">
        <w:rPr>
          <w:rFonts w:asciiTheme="minorHAnsi" w:hAnsiTheme="minorHAnsi" w:cstheme="minorHAnsi"/>
          <w:bCs/>
          <w:lang w:val="en-US"/>
        </w:rPr>
        <w:t>The theme convener noted that five information papers had been tabled and would not be addressed individually, that two concerned elasmobranchs and were tabled in part to prepare for the shark CMM review, and that under the schedule proposed, the 2027 EB focus would return to seabirds and sea turtles, meaning the shark measure review would move from SC23 to SC24. The theme convener noted this scheduling matter was being handled under Agenda Item 11, encouraged CCMs to start considering what information would be needed for an effective SC24 review, including from the SSP, and noted that Canada had made recommendations at the Shark Research Plan Working Group.</w:t>
      </w:r>
    </w:p>
    <w:p w14:paraId="2D644532" w14:textId="77777777" w:rsidR="00F07390" w:rsidRPr="00B845AF" w:rsidRDefault="00F07390" w:rsidP="00F07390">
      <w:pPr>
        <w:rPr>
          <w:rFonts w:asciiTheme="minorHAnsi" w:hAnsiTheme="minorHAnsi" w:cstheme="minorHAnsi"/>
          <w:bCs/>
          <w:szCs w:val="22"/>
        </w:rPr>
      </w:pPr>
    </w:p>
    <w:p w14:paraId="4C189A56" w14:textId="4234E47F" w:rsidR="00CE049C" w:rsidRPr="00B845AF" w:rsidRDefault="00D25B99" w:rsidP="00ED0065">
      <w:pPr>
        <w:pStyle w:val="SCDR"/>
        <w:rPr>
          <w:rFonts w:asciiTheme="minorHAnsi" w:hAnsiTheme="minorHAnsi" w:cstheme="minorHAnsi"/>
        </w:rPr>
      </w:pPr>
      <w:r w:rsidRPr="00B845AF">
        <w:rPr>
          <w:rFonts w:asciiTheme="minorHAnsi" w:hAnsiTheme="minorHAnsi" w:cstheme="minorHAnsi"/>
        </w:rPr>
        <w:t>Discussion</w:t>
      </w:r>
    </w:p>
    <w:p w14:paraId="367764CC" w14:textId="2B528A99" w:rsidR="00C64EA6" w:rsidRPr="00B845AF" w:rsidRDefault="00B678BD">
      <w:pPr>
        <w:pStyle w:val="SCtext"/>
        <w:rPr>
          <w:rFonts w:asciiTheme="minorHAnsi" w:hAnsiTheme="minorHAnsi" w:cstheme="minorHAnsi"/>
          <w:bCs/>
          <w:lang w:val="en-US"/>
        </w:rPr>
      </w:pPr>
      <w:r w:rsidRPr="00B845AF">
        <w:rPr>
          <w:rFonts w:asciiTheme="minorHAnsi" w:hAnsiTheme="minorHAnsi" w:cstheme="minorHAnsi"/>
          <w:bCs/>
          <w:lang w:val="en-US"/>
        </w:rPr>
        <w:t>The USA asked commented on WCPFC-SC22-2026-EB-IP15, stating a strong interest in new information on the efficacy of loop trap line rings as an emerging data gap relevant to stock assessments, and suggested further discussion at SC23.</w:t>
      </w:r>
    </w:p>
    <w:p w14:paraId="189BC78E" w14:textId="2B43605D" w:rsidR="00C64EA6" w:rsidRPr="00B845AF" w:rsidRDefault="00C64EA6" w:rsidP="00C64EA6">
      <w:pPr>
        <w:pStyle w:val="SCtext"/>
        <w:numPr>
          <w:ilvl w:val="0"/>
          <w:numId w:val="0"/>
        </w:numPr>
        <w:rPr>
          <w:rFonts w:asciiTheme="minorHAnsi" w:hAnsiTheme="minorHAnsi" w:cstheme="minorHAnsi"/>
          <w:bCs/>
          <w:lang w:val="en-US"/>
        </w:rPr>
      </w:pPr>
    </w:p>
    <w:p w14:paraId="52D49817" w14:textId="08A1453B" w:rsidR="00C64EA6" w:rsidRPr="00B845AF" w:rsidRDefault="00C64EA6" w:rsidP="00C64EA6">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5F99D378" w14:textId="7E0827C1" w:rsidR="00C64EA6" w:rsidRPr="00B845AF" w:rsidRDefault="002226CB">
      <w:pPr>
        <w:pStyle w:val="SCtext"/>
        <w:rPr>
          <w:rFonts w:asciiTheme="minorHAnsi" w:hAnsiTheme="minorHAnsi" w:cstheme="minorHAnsi"/>
          <w:bCs/>
          <w:lang w:val="en-US"/>
        </w:rPr>
      </w:pPr>
      <w:r w:rsidRPr="00B845AF">
        <w:rPr>
          <w:rFonts w:asciiTheme="minorHAnsi" w:hAnsiTheme="minorHAnsi" w:cstheme="minorHAnsi"/>
          <w:bCs/>
          <w:lang w:val="en-US"/>
        </w:rPr>
        <w:t>SC22 noted the emerging use of traplines (</w:t>
      </w:r>
      <w:proofErr w:type="spellStart"/>
      <w:r w:rsidRPr="00B845AF">
        <w:rPr>
          <w:rFonts w:asciiTheme="minorHAnsi" w:hAnsiTheme="minorHAnsi" w:cstheme="minorHAnsi"/>
          <w:bCs/>
          <w:lang w:val="en-US"/>
        </w:rPr>
        <w:t>meka</w:t>
      </w:r>
      <w:proofErr w:type="spellEnd"/>
      <w:r w:rsidRPr="00B845AF">
        <w:rPr>
          <w:rFonts w:asciiTheme="minorHAnsi" w:hAnsiTheme="minorHAnsi" w:cstheme="minorHAnsi"/>
          <w:bCs/>
          <w:lang w:val="en-US"/>
        </w:rPr>
        <w:t>-rings) in pelagic longline swordfish fisheries (WCPFC-SC22-2026-EB-IP15), and that their increasing use may represent a data gap for stock assessment.</w:t>
      </w:r>
    </w:p>
    <w:p w14:paraId="19EA137F" w14:textId="77777777" w:rsidR="002226CB" w:rsidRPr="00B845AF" w:rsidRDefault="002226CB" w:rsidP="002226CB">
      <w:pPr>
        <w:pStyle w:val="SCtext"/>
        <w:numPr>
          <w:ilvl w:val="0"/>
          <w:numId w:val="0"/>
        </w:numPr>
        <w:rPr>
          <w:rFonts w:asciiTheme="minorHAnsi" w:hAnsiTheme="minorHAnsi" w:cstheme="minorHAnsi"/>
          <w:bCs/>
          <w:lang w:val="en-US"/>
        </w:rPr>
      </w:pPr>
    </w:p>
    <w:p w14:paraId="50D1070C" w14:textId="597F3512" w:rsidR="002226CB" w:rsidRPr="00B845AF" w:rsidRDefault="002226CB">
      <w:pPr>
        <w:pStyle w:val="SCtext"/>
        <w:rPr>
          <w:rFonts w:asciiTheme="minorHAnsi" w:hAnsiTheme="minorHAnsi" w:cstheme="minorHAnsi"/>
          <w:bCs/>
          <w:lang w:val="en-US"/>
        </w:rPr>
      </w:pPr>
      <w:r w:rsidRPr="00B845AF">
        <w:rPr>
          <w:rFonts w:asciiTheme="minorHAnsi" w:hAnsiTheme="minorHAnsi" w:cstheme="minorHAnsi"/>
          <w:bCs/>
          <w:lang w:val="en-US"/>
        </w:rPr>
        <w:t>SC22 note</w:t>
      </w:r>
      <w:r w:rsidR="00732D2E" w:rsidRPr="00B845AF">
        <w:rPr>
          <w:rFonts w:asciiTheme="minorHAnsi" w:eastAsia="MS Mincho" w:hAnsiTheme="minorHAnsi" w:cstheme="minorHAnsi"/>
          <w:bCs/>
          <w:lang w:val="en-US" w:eastAsia="ja-JP"/>
        </w:rPr>
        <w:t>d</w:t>
      </w:r>
      <w:r w:rsidRPr="00B845AF">
        <w:rPr>
          <w:rFonts w:asciiTheme="minorHAnsi" w:hAnsiTheme="minorHAnsi" w:cstheme="minorHAnsi"/>
          <w:bCs/>
          <w:lang w:val="en-US"/>
        </w:rPr>
        <w:t xml:space="preserve"> that some members requested that the potential impact of traplines (</w:t>
      </w:r>
      <w:proofErr w:type="spellStart"/>
      <w:r w:rsidRPr="00B845AF">
        <w:rPr>
          <w:rFonts w:asciiTheme="minorHAnsi" w:hAnsiTheme="minorHAnsi" w:cstheme="minorHAnsi"/>
          <w:bCs/>
          <w:lang w:val="en-US"/>
        </w:rPr>
        <w:t>meka</w:t>
      </w:r>
      <w:proofErr w:type="spellEnd"/>
      <w:r w:rsidRPr="00B845AF">
        <w:rPr>
          <w:rFonts w:asciiTheme="minorHAnsi" w:hAnsiTheme="minorHAnsi" w:cstheme="minorHAnsi"/>
          <w:bCs/>
          <w:lang w:val="en-US"/>
        </w:rPr>
        <w:t xml:space="preserve">-rings) on CPUE of both target species and species of special interest be discussed at SC23, with CCMs whose fleets use these devices encouraged to submit a working paper </w:t>
      </w:r>
      <w:proofErr w:type="gramStart"/>
      <w:r w:rsidRPr="00B845AF">
        <w:rPr>
          <w:rFonts w:asciiTheme="minorHAnsi" w:hAnsiTheme="minorHAnsi" w:cstheme="minorHAnsi"/>
          <w:bCs/>
          <w:lang w:val="en-US"/>
        </w:rPr>
        <w:t>based on</w:t>
      </w:r>
      <w:proofErr w:type="gramEnd"/>
      <w:r w:rsidRPr="00B845AF">
        <w:rPr>
          <w:rFonts w:asciiTheme="minorHAnsi" w:hAnsiTheme="minorHAnsi" w:cstheme="minorHAnsi"/>
          <w:bCs/>
          <w:lang w:val="en-US"/>
        </w:rPr>
        <w:t xml:space="preserve"> ongoing trials.</w:t>
      </w:r>
    </w:p>
    <w:p w14:paraId="208546D1" w14:textId="4E47AAED" w:rsidR="00556C64" w:rsidRPr="00B845AF" w:rsidRDefault="00556C64" w:rsidP="00E9544A">
      <w:pPr>
        <w:pStyle w:val="SCtext"/>
        <w:numPr>
          <w:ilvl w:val="0"/>
          <w:numId w:val="0"/>
        </w:numPr>
        <w:rPr>
          <w:rFonts w:asciiTheme="minorHAnsi" w:hAnsiTheme="minorHAnsi" w:cstheme="minorHAnsi"/>
          <w:lang w:val="en-US"/>
        </w:rPr>
      </w:pPr>
    </w:p>
    <w:p w14:paraId="52472CD1" w14:textId="77777777" w:rsidR="00CE049C" w:rsidRPr="00B845AF" w:rsidRDefault="00CE049C" w:rsidP="009F4B28">
      <w:pPr>
        <w:rPr>
          <w:rFonts w:asciiTheme="minorHAnsi" w:hAnsiTheme="minorHAnsi" w:cstheme="minorHAnsi"/>
          <w:szCs w:val="22"/>
        </w:rPr>
      </w:pPr>
    </w:p>
    <w:p w14:paraId="46210E11" w14:textId="77777777" w:rsidR="00E651E7" w:rsidRPr="00B845AF" w:rsidRDefault="00E651E7" w:rsidP="00043E22">
      <w:pPr>
        <w:keepNext/>
        <w:suppressLineNumbers/>
        <w:adjustRightInd w:val="0"/>
        <w:snapToGrid w:val="0"/>
        <w:jc w:val="both"/>
        <w:rPr>
          <w:rFonts w:asciiTheme="minorHAnsi" w:hAnsiTheme="minorHAnsi" w:cstheme="minorHAnsi"/>
          <w:bCs/>
          <w:vanish/>
          <w:szCs w:val="22"/>
        </w:rPr>
      </w:pPr>
    </w:p>
    <w:p w14:paraId="15151377" w14:textId="77777777" w:rsidR="00016AF5" w:rsidRPr="00B845AF" w:rsidRDefault="00E651E7" w:rsidP="00016AF5">
      <w:pPr>
        <w:pStyle w:val="Heading1"/>
        <w:numPr>
          <w:ilvl w:val="0"/>
          <w:numId w:val="0"/>
        </w:numPr>
        <w:adjustRightInd w:val="0"/>
        <w:snapToGrid w:val="0"/>
        <w:spacing w:after="0"/>
        <w:ind w:left="360"/>
        <w:rPr>
          <w:rFonts w:asciiTheme="minorHAnsi" w:hAnsiTheme="minorHAnsi" w:cstheme="minorHAnsi"/>
          <w:bCs w:val="0"/>
        </w:rPr>
      </w:pPr>
      <w:r w:rsidRPr="00B845AF">
        <w:rPr>
          <w:rFonts w:asciiTheme="minorHAnsi" w:hAnsiTheme="minorHAnsi" w:cstheme="minorHAnsi"/>
        </w:rPr>
        <w:t>AGENDA ITEM 7—</w:t>
      </w:r>
      <w:r w:rsidR="00005A9E" w:rsidRPr="00B845AF">
        <w:rPr>
          <w:rFonts w:asciiTheme="minorHAnsi" w:hAnsiTheme="minorHAnsi" w:cstheme="minorHAnsi"/>
        </w:rPr>
        <w:t xml:space="preserve"> </w:t>
      </w:r>
      <w:r w:rsidR="00CF7CF6" w:rsidRPr="00B845AF">
        <w:rPr>
          <w:rFonts w:asciiTheme="minorHAnsi" w:hAnsiTheme="minorHAnsi" w:cstheme="minorHAnsi"/>
          <w:bCs w:val="0"/>
        </w:rPr>
        <w:t>OTHER RESEARCH PROJECTS</w:t>
      </w:r>
    </w:p>
    <w:p w14:paraId="3BCD8523" w14:textId="46F367B9" w:rsidR="00016AF5" w:rsidRPr="00B845AF" w:rsidRDefault="00016AF5" w:rsidP="00D2571A">
      <w:pPr>
        <w:pStyle w:val="Heading1"/>
        <w:numPr>
          <w:ilvl w:val="0"/>
          <w:numId w:val="0"/>
        </w:numPr>
        <w:adjustRightInd w:val="0"/>
        <w:snapToGrid w:val="0"/>
        <w:spacing w:after="0"/>
        <w:ind w:left="360"/>
        <w:jc w:val="both"/>
        <w:rPr>
          <w:rFonts w:asciiTheme="minorHAnsi" w:hAnsiTheme="minorHAnsi" w:cstheme="minorHAnsi"/>
          <w:bCs w:val="0"/>
        </w:rPr>
      </w:pPr>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68" w:name="_Toc239261429"/>
      <w:r w:rsidRPr="00B845AF">
        <w:rPr>
          <w:rFonts w:asciiTheme="minorHAnsi" w:hAnsiTheme="minorHAnsi" w:cstheme="minorHAnsi"/>
        </w:rPr>
        <w:instrText>AGENDA ITEM 7 — OTHER RESEARCH PROJECTS</w:instrText>
      </w:r>
      <w:bookmarkEnd w:id="68"/>
      <w:r w:rsidRPr="00B845AF">
        <w:rPr>
          <w:rFonts w:asciiTheme="minorHAnsi" w:hAnsiTheme="minorHAnsi" w:cstheme="minorHAnsi"/>
        </w:rPr>
        <w:instrText xml:space="preserve">" \f C \l "1" </w:instrText>
      </w:r>
      <w:r w:rsidRPr="00B845AF">
        <w:rPr>
          <w:rFonts w:asciiTheme="minorHAnsi" w:hAnsiTheme="minorHAnsi" w:cstheme="minorHAnsi"/>
        </w:rPr>
        <w:fldChar w:fldCharType="end"/>
      </w:r>
    </w:p>
    <w:p w14:paraId="41729424" w14:textId="664D6939" w:rsidR="00CF7CF6" w:rsidRPr="00B845AF" w:rsidRDefault="00CF7CF6">
      <w:pPr>
        <w:pStyle w:val="SC2"/>
        <w:numPr>
          <w:ilvl w:val="1"/>
          <w:numId w:val="21"/>
        </w:numPr>
        <w:ind w:left="720" w:hanging="720"/>
        <w:jc w:val="left"/>
        <w:rPr>
          <w:rFonts w:asciiTheme="minorHAnsi" w:hAnsiTheme="minorHAnsi" w:cstheme="minorHAnsi"/>
        </w:rPr>
      </w:pPr>
      <w:bookmarkStart w:id="69" w:name="_Hlk164871438"/>
      <w:bookmarkStart w:id="70" w:name="_Hlk196318064"/>
      <w:r w:rsidRPr="00B845AF">
        <w:rPr>
          <w:rFonts w:asciiTheme="minorHAnsi" w:hAnsiTheme="minorHAnsi" w:cstheme="minorHAnsi"/>
        </w:rPr>
        <w:t xml:space="preserve">Pacific Marine Specimen Bank (Project 35b) </w:t>
      </w:r>
    </w:p>
    <w:p w14:paraId="1FBFEA54" w14:textId="77777777" w:rsidR="009437AE" w:rsidRPr="00B845AF" w:rsidRDefault="00EF6C09">
      <w:pPr>
        <w:pStyle w:val="SCtext"/>
        <w:rPr>
          <w:rFonts w:asciiTheme="minorHAnsi" w:hAnsiTheme="minorHAnsi" w:cstheme="minorHAnsi"/>
          <w:lang w:val="en-US"/>
        </w:rPr>
      </w:pPr>
      <w:r w:rsidRPr="00B845AF">
        <w:rPr>
          <w:rFonts w:asciiTheme="minorHAnsi" w:hAnsiTheme="minorHAnsi" w:cstheme="minorHAnsi"/>
          <w:lang w:val="en-US"/>
        </w:rPr>
        <w:t xml:space="preserve">The SSP presented on the Pacific Marine Specimen Bank (PMSB report </w:t>
      </w:r>
      <w:hyperlink r:id="rId104" w:history="1">
        <w:r w:rsidRPr="00B845AF">
          <w:rPr>
            <w:rStyle w:val="Hyperlink"/>
            <w:rFonts w:asciiTheme="minorHAnsi" w:hAnsiTheme="minorHAnsi" w:cstheme="minorHAnsi"/>
            <w:lang w:val="en-US"/>
          </w:rPr>
          <w:t>WCPFC-SC22-2026-RP-P35b-01_Rev01</w:t>
        </w:r>
      </w:hyperlink>
      <w:r w:rsidRPr="00B845AF">
        <w:rPr>
          <w:rFonts w:asciiTheme="minorHAnsi" w:hAnsiTheme="minorHAnsi" w:cstheme="minorHAnsi"/>
          <w:lang w:val="en-US"/>
        </w:rPr>
        <w:t xml:space="preserve">; steering committee report </w:t>
      </w:r>
      <w:hyperlink r:id="rId105" w:history="1">
        <w:r w:rsidRPr="00B845AF">
          <w:rPr>
            <w:rStyle w:val="Hyperlink"/>
            <w:rFonts w:asciiTheme="minorHAnsi" w:hAnsiTheme="minorHAnsi" w:cstheme="minorHAnsi"/>
            <w:lang w:val="en-US"/>
          </w:rPr>
          <w:t>WCPFC-SC22-2026-RP-P35b02</w:t>
        </w:r>
      </w:hyperlink>
      <w:r w:rsidRPr="00B845AF">
        <w:rPr>
          <w:rFonts w:asciiTheme="minorHAnsi" w:hAnsiTheme="minorHAnsi" w:cstheme="minorHAnsi"/>
          <w:lang w:val="en-US"/>
        </w:rPr>
        <w:t xml:space="preserve">). </w:t>
      </w:r>
    </w:p>
    <w:p w14:paraId="6A27443C" w14:textId="77777777" w:rsidR="009437AE" w:rsidRPr="00B845AF" w:rsidRDefault="009437AE" w:rsidP="009437AE">
      <w:pPr>
        <w:pStyle w:val="SCtext"/>
        <w:numPr>
          <w:ilvl w:val="0"/>
          <w:numId w:val="0"/>
        </w:numPr>
        <w:rPr>
          <w:rFonts w:asciiTheme="minorHAnsi" w:hAnsiTheme="minorHAnsi" w:cstheme="minorHAnsi"/>
          <w:lang w:val="en-US"/>
        </w:rPr>
      </w:pPr>
    </w:p>
    <w:p w14:paraId="03DCA6C6" w14:textId="3C01ACC7" w:rsidR="004970CA" w:rsidRPr="00B845AF" w:rsidRDefault="00EF6C09" w:rsidP="009437AE">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In 2025, 79,821 biological samples were collected from 57,081 fish, and 144 people were trained or mentored in biological sampling; the PMSB repository now holds 498,732 samples collected to date, with 367,680 samples from 238,722 individual specimens currently available for analysis. Utilization stands at approximately 22%, which the SSP noted needs to reach 40%+ by December 2026 to meet Project 100d’s CKMR needs. The SSP estimated 2025 </w:t>
      </w:r>
      <w:r w:rsidR="00535ED4" w:rsidRPr="00B845AF">
        <w:rPr>
          <w:rFonts w:asciiTheme="minorHAnsi" w:hAnsiTheme="minorHAnsi" w:cstheme="minorHAnsi"/>
          <w:lang w:val="en-US"/>
        </w:rPr>
        <w:t>costs</w:t>
      </w:r>
      <w:r w:rsidRPr="00B845AF">
        <w:rPr>
          <w:rFonts w:asciiTheme="minorHAnsi" w:hAnsiTheme="minorHAnsi" w:cstheme="minorHAnsi"/>
          <w:lang w:val="en-US"/>
        </w:rPr>
        <w:t xml:space="preserve"> roughly 1,500,000 USD, with the WCPFC P35B contribution at 109,520 USD (7.5%) and other donors covering the remainder, and presented budget figures of 111,711 USD (2026, approved), 113,945 USD (2027, proposed), and 116,224 and 118,549 USD (2028-29, indicative). The SSP’s recommendations for SC22 were to continue supporting increased biological sampling (especially by observers at sea), incorporate the identified budget into the 2027 and 2028-29 budgets, and endorse that the Section 5 work plan of the steering committee report be pursued by the SSP.</w:t>
      </w:r>
    </w:p>
    <w:p w14:paraId="3CC13493" w14:textId="77777777" w:rsidR="00706160" w:rsidRPr="00B845AF" w:rsidRDefault="00706160" w:rsidP="00706160">
      <w:pPr>
        <w:pStyle w:val="SCtext"/>
        <w:numPr>
          <w:ilvl w:val="0"/>
          <w:numId w:val="0"/>
        </w:numPr>
        <w:rPr>
          <w:rFonts w:asciiTheme="minorHAnsi" w:hAnsiTheme="minorHAnsi" w:cstheme="minorHAnsi"/>
          <w:lang w:val="en-US"/>
        </w:rPr>
      </w:pPr>
    </w:p>
    <w:p w14:paraId="021FFE6D" w14:textId="3B2CB56B" w:rsidR="00F66006" w:rsidRPr="00B845AF" w:rsidRDefault="00F66006" w:rsidP="00F66006">
      <w:pPr>
        <w:pStyle w:val="SCDR"/>
        <w:rPr>
          <w:rFonts w:asciiTheme="minorHAnsi" w:hAnsiTheme="minorHAnsi" w:cstheme="minorHAnsi"/>
        </w:rPr>
      </w:pPr>
      <w:r w:rsidRPr="00B845AF">
        <w:rPr>
          <w:rFonts w:asciiTheme="minorHAnsi" w:hAnsiTheme="minorHAnsi" w:cstheme="minorHAnsi"/>
        </w:rPr>
        <w:t>Discussion</w:t>
      </w:r>
    </w:p>
    <w:p w14:paraId="76FB53F9" w14:textId="107E94DE" w:rsidR="00F35875" w:rsidRPr="00B845AF" w:rsidRDefault="002B7D59">
      <w:pPr>
        <w:pStyle w:val="SCtext"/>
        <w:rPr>
          <w:rFonts w:asciiTheme="minorHAnsi" w:hAnsiTheme="minorHAnsi" w:cstheme="minorHAnsi"/>
          <w:lang w:val="en-US"/>
        </w:rPr>
      </w:pPr>
      <w:r w:rsidRPr="00B845AF">
        <w:rPr>
          <w:rFonts w:asciiTheme="minorHAnsi" w:hAnsiTheme="minorHAnsi" w:cstheme="minorHAnsi"/>
          <w:lang w:val="en-US"/>
        </w:rPr>
        <w:t>The SC Chair thanked the SSP for the presentation and noted that the PMSB has been considered an essential project by SC, and as such is not subject to SC’s project ranking process. The SC Chair indicated support for continuation of the work and work plan.</w:t>
      </w:r>
    </w:p>
    <w:p w14:paraId="43620880" w14:textId="77777777" w:rsidR="0054042E" w:rsidRPr="00B845AF" w:rsidRDefault="0054042E" w:rsidP="0054042E">
      <w:pPr>
        <w:pStyle w:val="SCtext"/>
        <w:numPr>
          <w:ilvl w:val="0"/>
          <w:numId w:val="0"/>
        </w:numPr>
        <w:rPr>
          <w:rFonts w:asciiTheme="minorHAnsi" w:hAnsiTheme="minorHAnsi" w:cstheme="minorHAnsi"/>
          <w:lang w:val="en-US"/>
        </w:rPr>
      </w:pPr>
    </w:p>
    <w:p w14:paraId="44F0124B" w14:textId="2039022A" w:rsidR="0054042E" w:rsidRPr="00B845AF" w:rsidRDefault="002B7D59">
      <w:pPr>
        <w:pStyle w:val="SCtext"/>
        <w:rPr>
          <w:rFonts w:asciiTheme="minorHAnsi" w:hAnsiTheme="minorHAnsi" w:cstheme="minorHAnsi"/>
          <w:lang w:val="en-US"/>
        </w:rPr>
      </w:pPr>
      <w:r w:rsidRPr="00B845AF">
        <w:rPr>
          <w:rFonts w:asciiTheme="minorHAnsi" w:eastAsia="MS Mincho" w:hAnsiTheme="minorHAnsi" w:cstheme="minorHAnsi"/>
          <w:lang w:val="en-US" w:eastAsia="ja-JP"/>
        </w:rPr>
        <w:t>Kiribati, on behalf of the FFA members, thanked the SSP for the paper and presentation, and stated that the PMSB is making an important contribution to understanding tuna dynamics and fisheries science and management across the Pacific. Kiribati, on behalf of the FFA members, considered the project to provide strong value, particularly through its contribution to harvest strategy work and regional scientific capacity building, and commended the SSP, participating national agencies, host institutions, and donors for their contributions. Kiribati, on behalf of the FFA members, supported the recommendations in the paper, including development of a business case for the program’s long-term sustainability.</w:t>
      </w:r>
    </w:p>
    <w:p w14:paraId="6EF8C2D8" w14:textId="77777777" w:rsidR="00706160" w:rsidRPr="00B845AF" w:rsidRDefault="00706160" w:rsidP="00706160">
      <w:pPr>
        <w:pStyle w:val="SCtext"/>
        <w:numPr>
          <w:ilvl w:val="0"/>
          <w:numId w:val="0"/>
        </w:numPr>
        <w:rPr>
          <w:rFonts w:asciiTheme="minorHAnsi" w:hAnsiTheme="minorHAnsi" w:cstheme="minorHAnsi"/>
          <w:lang w:val="en-US"/>
        </w:rPr>
      </w:pPr>
    </w:p>
    <w:p w14:paraId="09976B63" w14:textId="4A06A8BF" w:rsidR="00706160" w:rsidRPr="00B845AF" w:rsidRDefault="00706160" w:rsidP="00706160">
      <w:pPr>
        <w:pStyle w:val="SCDR"/>
        <w:rPr>
          <w:rFonts w:asciiTheme="minorHAnsi" w:hAnsiTheme="minorHAnsi" w:cstheme="minorHAnsi"/>
        </w:rPr>
      </w:pPr>
      <w:r w:rsidRPr="00B845AF">
        <w:rPr>
          <w:rFonts w:asciiTheme="minorHAnsi" w:hAnsiTheme="minorHAnsi" w:cstheme="minorHAnsi"/>
        </w:rPr>
        <w:t>Outcomes</w:t>
      </w:r>
    </w:p>
    <w:p w14:paraId="2005716C" w14:textId="3168574F" w:rsidR="00914AF4" w:rsidRPr="00B845AF" w:rsidRDefault="00C0522A">
      <w:pPr>
        <w:pStyle w:val="SCtext"/>
        <w:rPr>
          <w:rFonts w:asciiTheme="minorHAnsi" w:hAnsiTheme="minorHAnsi" w:cstheme="minorHAnsi"/>
          <w:b/>
          <w:bCs/>
          <w:lang w:val="en-US"/>
        </w:rPr>
      </w:pPr>
      <w:r w:rsidRPr="00B845AF">
        <w:rPr>
          <w:rFonts w:asciiTheme="minorHAnsi" w:hAnsiTheme="minorHAnsi" w:cstheme="minorHAnsi"/>
          <w:b/>
          <w:bCs/>
          <w:lang w:val="en-US"/>
        </w:rPr>
        <w:t>SC2</w:t>
      </w:r>
      <w:r w:rsidR="00FB367A" w:rsidRPr="00B845AF">
        <w:rPr>
          <w:rFonts w:asciiTheme="minorHAnsi" w:hAnsiTheme="minorHAnsi" w:cstheme="minorHAnsi"/>
          <w:b/>
          <w:bCs/>
          <w:lang w:val="en-US"/>
        </w:rPr>
        <w:t>2</w:t>
      </w:r>
      <w:r w:rsidR="001C51C3" w:rsidRPr="00B845AF">
        <w:rPr>
          <w:rFonts w:asciiTheme="minorHAnsi" w:hAnsiTheme="minorHAnsi" w:cstheme="minorHAnsi"/>
          <w:b/>
          <w:bCs/>
          <w:lang w:val="en-US"/>
        </w:rPr>
        <w:t xml:space="preserve"> endorsed the following recommendations from the PMSB Steering Committee:</w:t>
      </w:r>
    </w:p>
    <w:p w14:paraId="04242E41" w14:textId="77777777" w:rsidR="00873EFC" w:rsidRPr="00B845AF" w:rsidRDefault="00873EFC" w:rsidP="00873EFC">
      <w:pPr>
        <w:pStyle w:val="SCtext"/>
        <w:numPr>
          <w:ilvl w:val="0"/>
          <w:numId w:val="0"/>
        </w:numPr>
        <w:rPr>
          <w:rFonts w:asciiTheme="minorHAnsi" w:hAnsiTheme="minorHAnsi" w:cstheme="minorHAnsi"/>
          <w:b/>
          <w:bCs/>
          <w:lang w:val="en-US"/>
        </w:rPr>
      </w:pPr>
    </w:p>
    <w:p w14:paraId="67EDACCD" w14:textId="77777777" w:rsidR="00914AF4" w:rsidRPr="00B845AF" w:rsidRDefault="00914AF4" w:rsidP="00D47778">
      <w:pPr>
        <w:pStyle w:val="SCtext"/>
        <w:numPr>
          <w:ilvl w:val="0"/>
          <w:numId w:val="32"/>
        </w:numPr>
        <w:rPr>
          <w:rFonts w:asciiTheme="minorHAnsi" w:hAnsiTheme="minorHAnsi" w:cstheme="minorHAnsi"/>
          <w:b/>
          <w:bCs/>
          <w:lang w:val="en-US"/>
        </w:rPr>
      </w:pPr>
      <w:r w:rsidRPr="00B845AF">
        <w:rPr>
          <w:rFonts w:asciiTheme="minorHAnsi" w:hAnsiTheme="minorHAnsi" w:cstheme="minorHAnsi"/>
          <w:b/>
          <w:bCs/>
          <w:lang w:val="en-US"/>
        </w:rPr>
        <w:t>Continue to support initiatives to increase rates of biological sampling, especially by fisheries observers at sea, noting that this contribution is essential to the ongoing success of the WCPFC’s work;</w:t>
      </w:r>
    </w:p>
    <w:p w14:paraId="1C4D59B9" w14:textId="274E1434" w:rsidR="00914AF4" w:rsidRPr="00B845AF" w:rsidRDefault="00914AF4" w:rsidP="00D47778">
      <w:pPr>
        <w:pStyle w:val="SCtext"/>
        <w:numPr>
          <w:ilvl w:val="0"/>
          <w:numId w:val="32"/>
        </w:numPr>
        <w:rPr>
          <w:rFonts w:asciiTheme="minorHAnsi" w:hAnsiTheme="minorHAnsi" w:cstheme="minorHAnsi"/>
          <w:b/>
          <w:bCs/>
          <w:lang w:val="en-US"/>
        </w:rPr>
      </w:pPr>
      <w:bookmarkStart w:id="71" w:name="_owdojrkx1zkx" w:colFirst="0" w:colLast="0"/>
      <w:bookmarkEnd w:id="71"/>
      <w:r w:rsidRPr="00B845AF">
        <w:rPr>
          <w:rFonts w:asciiTheme="minorHAnsi" w:hAnsiTheme="minorHAnsi" w:cstheme="minorHAnsi"/>
          <w:b/>
          <w:bCs/>
          <w:lang w:val="en-US"/>
        </w:rPr>
        <w:lastRenderedPageBreak/>
        <w:t xml:space="preserve">Incorporate the identified budget into the WCPFC 2027 budget and the 2028-29 indicative budgets, </w:t>
      </w:r>
      <w:r w:rsidR="00E96DBC" w:rsidRPr="00B845AF">
        <w:rPr>
          <w:rFonts w:asciiTheme="minorHAnsi" w:hAnsiTheme="minorHAnsi" w:cstheme="minorHAnsi"/>
          <w:b/>
          <w:bCs/>
          <w:lang w:val="en-US"/>
        </w:rPr>
        <w:t xml:space="preserve">as </w:t>
      </w:r>
      <w:proofErr w:type="gramStart"/>
      <w:r w:rsidR="00E96DBC" w:rsidRPr="00B845AF">
        <w:rPr>
          <w:rFonts w:asciiTheme="minorHAnsi" w:hAnsiTheme="minorHAnsi" w:cstheme="minorHAnsi"/>
          <w:b/>
          <w:bCs/>
          <w:lang w:val="en-US"/>
        </w:rPr>
        <w:t>development</w:t>
      </w:r>
      <w:r w:rsidRPr="00B845AF">
        <w:rPr>
          <w:rFonts w:asciiTheme="minorHAnsi" w:hAnsiTheme="minorHAnsi" w:cstheme="minorHAnsi"/>
          <w:b/>
          <w:bCs/>
          <w:lang w:val="en-US"/>
        </w:rPr>
        <w:t xml:space="preserve">  of</w:t>
      </w:r>
      <w:proofErr w:type="gramEnd"/>
      <w:r w:rsidRPr="00B845AF">
        <w:rPr>
          <w:rFonts w:asciiTheme="minorHAnsi" w:hAnsiTheme="minorHAnsi" w:cstheme="minorHAnsi"/>
          <w:b/>
          <w:bCs/>
          <w:lang w:val="en-US"/>
        </w:rPr>
        <w:t xml:space="preserve">  </w:t>
      </w:r>
      <w:proofErr w:type="gramStart"/>
      <w:r w:rsidRPr="00B845AF">
        <w:rPr>
          <w:rFonts w:asciiTheme="minorHAnsi" w:hAnsiTheme="minorHAnsi" w:cstheme="minorHAnsi"/>
          <w:b/>
          <w:bCs/>
          <w:lang w:val="en-US"/>
        </w:rPr>
        <w:t>the  WCPFC</w:t>
      </w:r>
      <w:proofErr w:type="gramEnd"/>
      <w:r w:rsidRPr="00B845AF">
        <w:rPr>
          <w:rFonts w:asciiTheme="minorHAnsi" w:hAnsiTheme="minorHAnsi" w:cstheme="minorHAnsi"/>
          <w:b/>
          <w:bCs/>
          <w:lang w:val="en-US"/>
        </w:rPr>
        <w:t xml:space="preserve"> PMSB is intended to be </w:t>
      </w:r>
      <w:proofErr w:type="gramStart"/>
      <w:r w:rsidRPr="00B845AF">
        <w:rPr>
          <w:rFonts w:asciiTheme="minorHAnsi" w:hAnsiTheme="minorHAnsi" w:cstheme="minorHAnsi"/>
          <w:b/>
          <w:bCs/>
          <w:lang w:val="en-US"/>
        </w:rPr>
        <w:t>ongoing  and</w:t>
      </w:r>
      <w:proofErr w:type="gramEnd"/>
      <w:r w:rsidRPr="00B845AF">
        <w:rPr>
          <w:rFonts w:asciiTheme="minorHAnsi" w:hAnsiTheme="minorHAnsi" w:cstheme="minorHAnsi"/>
          <w:b/>
          <w:bCs/>
          <w:lang w:val="en-US"/>
        </w:rPr>
        <w:t xml:space="preserve"> </w:t>
      </w:r>
      <w:proofErr w:type="gramStart"/>
      <w:r w:rsidRPr="00B845AF">
        <w:rPr>
          <w:rFonts w:asciiTheme="minorHAnsi" w:hAnsiTheme="minorHAnsi" w:cstheme="minorHAnsi"/>
          <w:b/>
          <w:bCs/>
          <w:lang w:val="en-US"/>
        </w:rPr>
        <w:t>is  considered</w:t>
      </w:r>
      <w:proofErr w:type="gramEnd"/>
      <w:r w:rsidRPr="00B845AF">
        <w:rPr>
          <w:rFonts w:asciiTheme="minorHAnsi" w:hAnsiTheme="minorHAnsi" w:cstheme="minorHAnsi"/>
          <w:b/>
          <w:bCs/>
          <w:lang w:val="en-US"/>
        </w:rPr>
        <w:t xml:space="preserve"> essential; and</w:t>
      </w:r>
      <w:bookmarkStart w:id="72" w:name="_tr0dmd3r738r" w:colFirst="0" w:colLast="0"/>
      <w:bookmarkEnd w:id="72"/>
    </w:p>
    <w:p w14:paraId="378897E9" w14:textId="6C0722A6" w:rsidR="00914AF4" w:rsidRPr="00B845AF" w:rsidRDefault="00914AF4" w:rsidP="00D47778">
      <w:pPr>
        <w:pStyle w:val="SCtext"/>
        <w:numPr>
          <w:ilvl w:val="0"/>
          <w:numId w:val="32"/>
        </w:numPr>
        <w:rPr>
          <w:rFonts w:asciiTheme="minorHAnsi" w:hAnsiTheme="minorHAnsi" w:cstheme="minorHAnsi"/>
          <w:b/>
          <w:bCs/>
          <w:lang w:val="en-US"/>
        </w:rPr>
      </w:pPr>
      <w:r w:rsidRPr="00B845AF">
        <w:rPr>
          <w:rFonts w:asciiTheme="minorHAnsi" w:hAnsiTheme="minorHAnsi" w:cstheme="minorHAnsi"/>
          <w:b/>
          <w:bCs/>
          <w:lang w:val="en-US"/>
        </w:rPr>
        <w:t xml:space="preserve">Endorse that the work plan in Section 5 of WCPFC-SC22-2026-RP-P35b01_Rev01 should be pursued by the Scientific Services </w:t>
      </w:r>
      <w:r w:rsidR="00E96DBC" w:rsidRPr="00B845AF">
        <w:rPr>
          <w:rFonts w:asciiTheme="minorHAnsi" w:hAnsiTheme="minorHAnsi" w:cstheme="minorHAnsi"/>
          <w:b/>
          <w:bCs/>
          <w:lang w:val="en-US"/>
        </w:rPr>
        <w:t>Provider, in</w:t>
      </w:r>
      <w:r w:rsidRPr="00B845AF">
        <w:rPr>
          <w:rFonts w:asciiTheme="minorHAnsi" w:hAnsiTheme="minorHAnsi" w:cstheme="minorHAnsi"/>
          <w:b/>
          <w:bCs/>
          <w:lang w:val="en-US"/>
        </w:rPr>
        <w:t xml:space="preserve"> addition to standard duties associated with maintenance and operation of the WCPFC PMSB.</w:t>
      </w:r>
    </w:p>
    <w:p w14:paraId="47620B61" w14:textId="175B6933" w:rsidR="00DB62EB" w:rsidRPr="00B845AF" w:rsidRDefault="00DB62EB" w:rsidP="00DB62EB">
      <w:pPr>
        <w:pStyle w:val="SCtext"/>
        <w:numPr>
          <w:ilvl w:val="0"/>
          <w:numId w:val="0"/>
        </w:numPr>
        <w:rPr>
          <w:rFonts w:asciiTheme="minorHAnsi" w:hAnsiTheme="minorHAnsi" w:cstheme="minorHAnsi"/>
          <w:b/>
          <w:bCs/>
          <w:lang w:val="en-US"/>
        </w:rPr>
      </w:pPr>
    </w:p>
    <w:p w14:paraId="28DF7EA7" w14:textId="69331839" w:rsidR="00DB62EB" w:rsidRPr="00B845AF" w:rsidRDefault="00DB62EB" w:rsidP="00DB62EB">
      <w:pPr>
        <w:pStyle w:val="SCtext"/>
        <w:numPr>
          <w:ilvl w:val="0"/>
          <w:numId w:val="0"/>
        </w:numPr>
        <w:rPr>
          <w:rFonts w:asciiTheme="minorHAnsi" w:eastAsia="MS Mincho" w:hAnsiTheme="minorHAnsi" w:cstheme="minorHAnsi"/>
          <w:b/>
          <w:bCs/>
          <w:lang w:val="en-US" w:eastAsia="ja-JP"/>
        </w:rPr>
      </w:pPr>
      <w:r w:rsidRPr="00B845AF">
        <w:rPr>
          <w:rFonts w:asciiTheme="minorHAnsi" w:eastAsia="MS Mincho" w:hAnsiTheme="minorHAnsi" w:cstheme="minorHAnsi"/>
          <w:b/>
          <w:bCs/>
          <w:lang w:val="en-US" w:eastAsia="ja-JP"/>
        </w:rPr>
        <w:t>7.1.1 Updates on pollutant studies in WCPO tuna</w:t>
      </w:r>
    </w:p>
    <w:p w14:paraId="2F638941" w14:textId="77777777" w:rsidR="00DB62EB" w:rsidRPr="00B845AF" w:rsidRDefault="00DB62EB" w:rsidP="00DB62EB">
      <w:pPr>
        <w:pStyle w:val="SCtext"/>
        <w:numPr>
          <w:ilvl w:val="0"/>
          <w:numId w:val="0"/>
        </w:numPr>
        <w:rPr>
          <w:rFonts w:asciiTheme="minorHAnsi" w:hAnsiTheme="minorHAnsi" w:cstheme="minorHAnsi"/>
          <w:b/>
          <w:bCs/>
          <w:lang w:val="en-US"/>
        </w:rPr>
      </w:pPr>
    </w:p>
    <w:p w14:paraId="4908D325" w14:textId="77777777" w:rsidR="002B7D59" w:rsidRPr="00B845AF" w:rsidRDefault="002B7D59">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A. </w:t>
      </w:r>
      <w:proofErr w:type="spellStart"/>
      <w:r w:rsidRPr="00B845AF">
        <w:rPr>
          <w:rFonts w:asciiTheme="minorHAnsi" w:eastAsia="MS Mincho" w:hAnsiTheme="minorHAnsi" w:cstheme="minorHAnsi"/>
          <w:lang w:val="en-US" w:eastAsia="ja-JP"/>
        </w:rPr>
        <w:t>Médieu</w:t>
      </w:r>
      <w:proofErr w:type="spellEnd"/>
      <w:r w:rsidRPr="00B845AF">
        <w:rPr>
          <w:rFonts w:asciiTheme="minorHAnsi" w:eastAsia="MS Mincho" w:hAnsiTheme="minorHAnsi" w:cstheme="minorHAnsi"/>
          <w:lang w:val="en-US" w:eastAsia="ja-JP"/>
        </w:rPr>
        <w:t xml:space="preserve"> (IRD) presented </w:t>
      </w:r>
      <w:hyperlink r:id="rId106" w:history="1">
        <w:r w:rsidRPr="00B845AF">
          <w:rPr>
            <w:rStyle w:val="Hyperlink"/>
            <w:rFonts w:asciiTheme="minorHAnsi" w:eastAsia="MS Mincho" w:hAnsiTheme="minorHAnsi" w:cstheme="minorHAnsi"/>
            <w:lang w:val="en-US" w:eastAsia="ja-JP"/>
          </w:rPr>
          <w:t>WCPFC-SC22-2026-RP-P35b03</w:t>
        </w:r>
      </w:hyperlink>
      <w:r w:rsidRPr="00B845AF">
        <w:rPr>
          <w:rFonts w:asciiTheme="minorHAnsi" w:eastAsia="MS Mincho" w:hAnsiTheme="minorHAnsi" w:cstheme="minorHAnsi"/>
          <w:lang w:val="en-US" w:eastAsia="ja-JP"/>
        </w:rPr>
        <w:t xml:space="preserve"> on mercury and other pollutants in tunas, drawing on the largest global mercury database in tunas (over 5,700 samples, 27% from the PMSB).</w:t>
      </w:r>
    </w:p>
    <w:p w14:paraId="765EC1F8" w14:textId="77777777" w:rsidR="002B7D59" w:rsidRPr="00B845AF" w:rsidRDefault="002B7D59" w:rsidP="002B7D59">
      <w:pPr>
        <w:pStyle w:val="SCtext"/>
        <w:numPr>
          <w:ilvl w:val="0"/>
          <w:numId w:val="0"/>
        </w:numPr>
        <w:rPr>
          <w:rFonts w:asciiTheme="minorHAnsi" w:eastAsia="MS Mincho" w:hAnsiTheme="minorHAnsi" w:cstheme="minorHAnsi"/>
          <w:lang w:val="en-US" w:eastAsia="ja-JP"/>
        </w:rPr>
      </w:pPr>
    </w:p>
    <w:p w14:paraId="0DD1DC71" w14:textId="729918F1" w:rsidR="00DB62EB" w:rsidRPr="00B845AF" w:rsidRDefault="002B7D59" w:rsidP="002B7D59">
      <w:pPr>
        <w:pStyle w:val="SCtext"/>
        <w:numPr>
          <w:ilvl w:val="0"/>
          <w:numId w:val="0"/>
        </w:numPr>
        <w:ind w:left="720"/>
        <w:rPr>
          <w:rFonts w:asciiTheme="minorHAnsi" w:hAnsiTheme="minorHAnsi" w:cstheme="minorHAnsi"/>
          <w:lang w:val="en-US"/>
        </w:rPr>
      </w:pPr>
      <w:r w:rsidRPr="00B845AF">
        <w:rPr>
          <w:rFonts w:asciiTheme="minorHAnsi" w:eastAsia="MS Mincho" w:hAnsiTheme="minorHAnsi" w:cstheme="minorHAnsi"/>
          <w:lang w:val="en-US" w:eastAsia="ja-JP"/>
        </w:rPr>
        <w:t xml:space="preserve"> Mercury levels vary by species (skipjack &lt; yellowfin &lt; albacore &lt; bigeye) and region, driven by fish size, foraging depth, and biogeochemistry; in New Caledonia, over 92% of skipjack and yellowfin were below the strictest safety guideline (0.3 mg/kg), while 33% of the largest bigeye exceeded the predatory-fish guideline (1 mg/kg). POP contamination in skipjack and yellowfin was low and poses no known health risk, though 30% of tuna sampled contained plastic fragments, and tuna mercury levels have remained broadly stable since 1970 despite global emissions-reduction efforts. The presenter invited SC22 to note these findings and the uncertainties around mercury detoxification, and to support continued PMSB activities for long-term pollutant monitoring.</w:t>
      </w:r>
    </w:p>
    <w:p w14:paraId="3F3C3504" w14:textId="03CAC1B5" w:rsidR="00DB62EB" w:rsidRPr="00B845AF" w:rsidRDefault="00DB62EB" w:rsidP="00DB62EB">
      <w:pPr>
        <w:pStyle w:val="SCtext"/>
        <w:numPr>
          <w:ilvl w:val="0"/>
          <w:numId w:val="0"/>
        </w:numPr>
        <w:rPr>
          <w:rFonts w:asciiTheme="minorHAnsi" w:eastAsia="MS Mincho" w:hAnsiTheme="minorHAnsi" w:cstheme="minorHAnsi"/>
          <w:b/>
          <w:bCs/>
          <w:lang w:val="en-US" w:eastAsia="ja-JP"/>
        </w:rPr>
      </w:pPr>
    </w:p>
    <w:p w14:paraId="1475FBC6" w14:textId="71E6BAB0" w:rsidR="00DB62EB" w:rsidRPr="00B845AF" w:rsidRDefault="00DB62EB" w:rsidP="00DB62EB">
      <w:pPr>
        <w:pStyle w:val="SCDR"/>
        <w:rPr>
          <w:rFonts w:asciiTheme="minorHAnsi" w:hAnsiTheme="minorHAnsi" w:cstheme="minorHAnsi"/>
        </w:rPr>
      </w:pPr>
      <w:r w:rsidRPr="00B845AF">
        <w:rPr>
          <w:rFonts w:asciiTheme="minorHAnsi" w:hAnsiTheme="minorHAnsi" w:cstheme="minorHAnsi"/>
        </w:rPr>
        <w:t>Discussion</w:t>
      </w:r>
    </w:p>
    <w:p w14:paraId="7C365768" w14:textId="78BB2151" w:rsidR="00DB62EB" w:rsidRPr="00B845AF" w:rsidRDefault="00C41719">
      <w:pPr>
        <w:pStyle w:val="SCtext"/>
        <w:rPr>
          <w:rFonts w:asciiTheme="minorHAnsi" w:hAnsiTheme="minorHAnsi" w:cstheme="minorHAnsi"/>
          <w:lang w:val="en-US"/>
        </w:rPr>
      </w:pPr>
      <w:r w:rsidRPr="00B845AF">
        <w:rPr>
          <w:rFonts w:asciiTheme="minorHAnsi" w:eastAsia="MS Mincho" w:hAnsiTheme="minorHAnsi" w:cstheme="minorHAnsi"/>
          <w:lang w:val="en-US" w:eastAsia="ja-JP"/>
        </w:rPr>
        <w:t>Tonga, on behalf of the FFA members, thanked the author for the paper and presentation, and noted the presentation to SC22 follows endorsement of the work by SC21. The FFA members considered that the relationship of this work to the Ecosystem and Bycatch Mitigation theme and the Scientific Committee’s core priorities would benefit from clearer definition, given the Committee’s competing priorities and existing workload, and considered it appropriate for SC22 to note the findings without adding further work to the current SC work program at this stage. Tonga, on behalf of the FFA members, indicated that should further work be proposed, FFA members would welcome its consideration through the appropriate forum and prioritization process, supported by a clear mandate demonstrating relevance to WCPFC scientific and management needs, along with an assessment of associated resource implications.</w:t>
      </w:r>
    </w:p>
    <w:p w14:paraId="16EF2A49" w14:textId="77777777" w:rsidR="00AE69F6" w:rsidRPr="00B845AF" w:rsidRDefault="00AE69F6" w:rsidP="00AE69F6">
      <w:pPr>
        <w:pStyle w:val="SCtext"/>
        <w:numPr>
          <w:ilvl w:val="0"/>
          <w:numId w:val="0"/>
        </w:numPr>
        <w:rPr>
          <w:rFonts w:asciiTheme="minorHAnsi" w:hAnsiTheme="minorHAnsi" w:cstheme="minorHAnsi"/>
          <w:lang w:val="en-US"/>
        </w:rPr>
      </w:pPr>
    </w:p>
    <w:p w14:paraId="06A321B2" w14:textId="68C93E67" w:rsidR="00AE69F6" w:rsidRPr="00B845AF" w:rsidRDefault="00C41719">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New Caledonia thanked the co-authors for the paper and </w:t>
      </w:r>
      <w:r w:rsidR="00E96DBC" w:rsidRPr="00B845AF">
        <w:rPr>
          <w:rFonts w:asciiTheme="minorHAnsi" w:eastAsia="MS Mincho" w:hAnsiTheme="minorHAnsi" w:cstheme="minorHAnsi"/>
          <w:lang w:val="en-US" w:eastAsia="ja-JP"/>
        </w:rPr>
        <w:t>presentation and</w:t>
      </w:r>
      <w:r w:rsidRPr="00B845AF">
        <w:rPr>
          <w:rFonts w:asciiTheme="minorHAnsi" w:eastAsia="MS Mincho" w:hAnsiTheme="minorHAnsi" w:cstheme="minorHAnsi"/>
          <w:lang w:val="en-US" w:eastAsia="ja-JP"/>
        </w:rPr>
        <w:t xml:space="preserve"> noted that as a Pacific territory where longline-caught pelagic fish, particularly albacore and yellowfin, are central to local food security, health, and the economy, it was paying the utmost attention to the findings, including the geographical variations identified around New Caledonia and the species-specific methylmercury detoxification pathways linked to selenium. New Caledonia stated it is developing dedicated health and consumption projects involving a risk-benefit analysis of pelagic fish consumption, conducted in collaboration with its local fishing industry (which has been proactively collecting data on mercury concentrations in commercialized species for several years), comprising chemical analysis of mercury, methylmercury, selenium, and other trace and nutritional elements, and noted it is also considering an epidemiological study to obtain scientifically sound data on population impregnation levels. New Caledonia stated its full support for continued activities of the PMSB to support evidence-based public health policies balancing health risks and nutritional benefits.</w:t>
      </w:r>
    </w:p>
    <w:p w14:paraId="7453D0A7" w14:textId="4E788017" w:rsidR="00B41551" w:rsidRPr="00B845AF" w:rsidRDefault="00B41551" w:rsidP="00B41551">
      <w:pPr>
        <w:pStyle w:val="SCtext"/>
        <w:numPr>
          <w:ilvl w:val="0"/>
          <w:numId w:val="0"/>
        </w:numPr>
        <w:rPr>
          <w:rFonts w:asciiTheme="minorHAnsi" w:eastAsia="MS Mincho" w:hAnsiTheme="minorHAnsi" w:cstheme="minorHAnsi"/>
          <w:lang w:val="en-US" w:eastAsia="ja-JP"/>
        </w:rPr>
      </w:pPr>
    </w:p>
    <w:p w14:paraId="7FD6E212" w14:textId="6FE0F63C" w:rsidR="00B41551" w:rsidRPr="00B845AF" w:rsidRDefault="00B41551" w:rsidP="00B41551">
      <w:pPr>
        <w:pStyle w:val="SCDR"/>
        <w:rPr>
          <w:rFonts w:asciiTheme="minorHAnsi" w:hAnsiTheme="minorHAnsi" w:cstheme="minorHAnsi"/>
          <w:lang w:eastAsia="ko-KR"/>
        </w:rPr>
      </w:pPr>
      <w:r w:rsidRPr="00B845AF">
        <w:rPr>
          <w:rFonts w:asciiTheme="minorHAnsi" w:hAnsiTheme="minorHAnsi" w:cstheme="minorHAnsi"/>
          <w:lang w:eastAsia="ja-JP"/>
        </w:rPr>
        <w:t>Outcome</w:t>
      </w:r>
    </w:p>
    <w:p w14:paraId="650213B6" w14:textId="56A7911F" w:rsidR="00B41551" w:rsidRPr="00B845AF" w:rsidRDefault="0077547F">
      <w:pPr>
        <w:pStyle w:val="SCtext"/>
        <w:rPr>
          <w:rFonts w:asciiTheme="minorHAnsi" w:hAnsiTheme="minorHAnsi" w:cstheme="minorHAnsi"/>
          <w:lang w:val="en-US"/>
        </w:rPr>
      </w:pPr>
      <w:r w:rsidRPr="00B845AF">
        <w:rPr>
          <w:rFonts w:asciiTheme="minorHAnsi" w:hAnsiTheme="minorHAnsi" w:cstheme="minorHAnsi"/>
          <w:lang w:val="en-US"/>
        </w:rPr>
        <w:t xml:space="preserve">SC22 noted the findings in </w:t>
      </w:r>
      <w:hyperlink r:id="rId107" w:history="1">
        <w:r w:rsidRPr="00C45BA1">
          <w:rPr>
            <w:rStyle w:val="Hyperlink"/>
            <w:rFonts w:asciiTheme="minorHAnsi" w:hAnsiTheme="minorHAnsi" w:cstheme="minorHAnsi"/>
            <w:lang w:val="en-US"/>
          </w:rPr>
          <w:t>WCPFC-SC22-2026-RP-P35b03</w:t>
        </w:r>
      </w:hyperlink>
      <w:r w:rsidRPr="00B845AF">
        <w:rPr>
          <w:rFonts w:asciiTheme="minorHAnsi" w:hAnsiTheme="minorHAnsi" w:cstheme="minorHAnsi"/>
          <w:lang w:val="en-US"/>
        </w:rPr>
        <w:t>.</w:t>
      </w:r>
    </w:p>
    <w:p w14:paraId="2BBAF89E" w14:textId="4E154D33" w:rsidR="00FB367A" w:rsidRPr="00B845AF" w:rsidRDefault="00FB367A" w:rsidP="003A63BF">
      <w:pPr>
        <w:pStyle w:val="SCtext"/>
        <w:numPr>
          <w:ilvl w:val="0"/>
          <w:numId w:val="0"/>
        </w:numPr>
        <w:rPr>
          <w:rFonts w:asciiTheme="minorHAnsi" w:hAnsiTheme="minorHAnsi" w:cstheme="minorHAnsi"/>
          <w:lang w:val="en-US"/>
        </w:rPr>
      </w:pPr>
    </w:p>
    <w:p w14:paraId="48D54C02" w14:textId="77777777" w:rsidR="00CF7CF6" w:rsidRPr="00B845AF" w:rsidRDefault="00CF7CF6">
      <w:pPr>
        <w:pStyle w:val="SC2"/>
        <w:numPr>
          <w:ilvl w:val="1"/>
          <w:numId w:val="21"/>
        </w:numPr>
        <w:ind w:left="720" w:hanging="720"/>
        <w:jc w:val="left"/>
        <w:rPr>
          <w:rFonts w:asciiTheme="minorHAnsi" w:hAnsiTheme="minorHAnsi" w:cstheme="minorHAnsi"/>
        </w:rPr>
      </w:pPr>
      <w:bookmarkStart w:id="73" w:name="_Hlk164871707"/>
      <w:bookmarkEnd w:id="69"/>
      <w:bookmarkEnd w:id="70"/>
      <w:r w:rsidRPr="00B845AF">
        <w:rPr>
          <w:rFonts w:asciiTheme="minorHAnsi" w:hAnsiTheme="minorHAnsi" w:cstheme="minorHAnsi"/>
        </w:rPr>
        <w:t xml:space="preserve">Pacific Tuna Tagging Project (Project 42) </w:t>
      </w:r>
    </w:p>
    <w:p w14:paraId="3CE0B9F5" w14:textId="77777777" w:rsidR="003A63BF" w:rsidRPr="00B845AF" w:rsidRDefault="003A63BF">
      <w:pPr>
        <w:pStyle w:val="SCtext"/>
        <w:rPr>
          <w:rFonts w:asciiTheme="minorHAnsi" w:hAnsiTheme="minorHAnsi" w:cstheme="minorHAnsi"/>
          <w:lang w:val="en-US"/>
        </w:rPr>
      </w:pPr>
      <w:r w:rsidRPr="00B845AF">
        <w:rPr>
          <w:rFonts w:asciiTheme="minorHAnsi" w:hAnsiTheme="minorHAnsi" w:cstheme="minorHAnsi"/>
          <w:lang w:val="en-US"/>
        </w:rPr>
        <w:t xml:space="preserve">J. Scutt Phillips (SPC-OFP) presented on the Pacific Tuna Tagging Project. Field operations in 2025-26 included a Central Pacific cruise (June-August 2025) tagging 4,459 tuna over 45 days (65% bigeye, 33% yellowfin, 2% skipjack, mostly on industry-shared dFADs in the equatorial zone), and a Western Pacific series (February-July 2026) based in Solomon Islands tagging 28,674 tuna over 35 days (75% skipjack, 24% yellowfin, less than 1% bigeye), alongside biological sampling supporting ageing, genomics, and ecosystem indicators. </w:t>
      </w:r>
    </w:p>
    <w:p w14:paraId="1501D0B8" w14:textId="77777777" w:rsidR="003A63BF" w:rsidRPr="00B845AF" w:rsidRDefault="003A63BF" w:rsidP="003A63BF">
      <w:pPr>
        <w:pStyle w:val="SCtext"/>
        <w:numPr>
          <w:ilvl w:val="0"/>
          <w:numId w:val="0"/>
        </w:numPr>
        <w:rPr>
          <w:rFonts w:asciiTheme="minorHAnsi" w:hAnsiTheme="minorHAnsi" w:cstheme="minorHAnsi"/>
          <w:lang w:val="en-US"/>
        </w:rPr>
      </w:pPr>
    </w:p>
    <w:p w14:paraId="4C39E4C3" w14:textId="0F0D7610" w:rsidR="007E482B" w:rsidRPr="00B845AF" w:rsidRDefault="003A63BF" w:rsidP="003A63BF">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The 2026-27 workplan includes further pole-and-line cruises, testing the refurbished FV Solomon Searcher, and archival tagging of yellowfin. On recovery network and data, the presenter reported validation of over 4,000 tag recaptures ahead of the 2026 stock assessments, continued tag seeding, and regional recovery capacity of approximately 100 kits/year against an identified minimum of 34. On analysis, tagging data are informing the 2026 yellowfin and bigeye assessments (region structure, tag reporting rates, tagging-induced mortality, mixing rates), SEAPODYM movement parameter validation, and independent estimation of bigeye natural mortality. On budget, the Steering Committee met 2 July 2026; the 2027 indicative WCPFC contribution remains unchanged at 950,000 USD, with total project funding (WCPFC, Republic of Korea, and SSP contributions) rising from 2,110,000 USD in 2026 to 2,510,000 USD in 2027. The recommendations to SC22 were to: note the need for member participation in tag reporting; note the importance of tag seeding and support increased seeding through observer programs; note the revised Terms of Reference endorsed by the Steering Committee; and consider and endorse the PTTP workplan for 2026-2029 across field operations, recovery network and data, and analysis.</w:t>
      </w:r>
    </w:p>
    <w:p w14:paraId="226EE49F" w14:textId="77777777" w:rsidR="00356B40" w:rsidRPr="00B845AF" w:rsidRDefault="00356B40" w:rsidP="00356B40">
      <w:pPr>
        <w:pStyle w:val="SCtext"/>
        <w:numPr>
          <w:ilvl w:val="0"/>
          <w:numId w:val="0"/>
        </w:numPr>
        <w:rPr>
          <w:rFonts w:asciiTheme="minorHAnsi" w:hAnsiTheme="minorHAnsi" w:cstheme="minorHAnsi"/>
          <w:lang w:val="en-US"/>
        </w:rPr>
      </w:pPr>
    </w:p>
    <w:p w14:paraId="6253073C" w14:textId="6446E6B2" w:rsidR="00356B40" w:rsidRPr="00B845AF" w:rsidRDefault="00356B40" w:rsidP="00356B40">
      <w:pPr>
        <w:pStyle w:val="SCDR"/>
        <w:rPr>
          <w:rFonts w:asciiTheme="minorHAnsi" w:hAnsiTheme="minorHAnsi" w:cstheme="minorHAnsi"/>
        </w:rPr>
      </w:pPr>
      <w:r w:rsidRPr="00B845AF">
        <w:rPr>
          <w:rFonts w:asciiTheme="minorHAnsi" w:hAnsiTheme="minorHAnsi" w:cstheme="minorHAnsi"/>
        </w:rPr>
        <w:t>Discussion</w:t>
      </w:r>
    </w:p>
    <w:p w14:paraId="4B4B1B63" w14:textId="0B6BD840" w:rsidR="008656F1" w:rsidRPr="00B845AF" w:rsidRDefault="00742E7A">
      <w:pPr>
        <w:pStyle w:val="SCtext"/>
        <w:rPr>
          <w:rFonts w:asciiTheme="minorHAnsi" w:hAnsiTheme="minorHAnsi" w:cstheme="minorHAnsi"/>
          <w:lang w:val="en-US"/>
        </w:rPr>
      </w:pPr>
      <w:r w:rsidRPr="00B845AF">
        <w:rPr>
          <w:rFonts w:asciiTheme="minorHAnsi" w:hAnsiTheme="minorHAnsi" w:cstheme="minorHAnsi"/>
          <w:lang w:val="en-US"/>
        </w:rPr>
        <w:t xml:space="preserve">The SC Chair noted that, similarly to the PMSB, the Pacific Tuna Tagging Project is considered an essential project not subject to SC’s ranking </w:t>
      </w:r>
      <w:r w:rsidR="00E96DBC" w:rsidRPr="00B845AF">
        <w:rPr>
          <w:rFonts w:asciiTheme="minorHAnsi" w:hAnsiTheme="minorHAnsi" w:cstheme="minorHAnsi"/>
          <w:lang w:val="en-US"/>
        </w:rPr>
        <w:t>process and</w:t>
      </w:r>
      <w:r w:rsidRPr="00B845AF">
        <w:rPr>
          <w:rFonts w:asciiTheme="minorHAnsi" w:hAnsiTheme="minorHAnsi" w:cstheme="minorHAnsi"/>
          <w:lang w:val="en-US"/>
        </w:rPr>
        <w:t xml:space="preserve"> reiterated that it is considered an essential priority for the Scientific Committee and the Commission that SC22 would like to continue to fund.</w:t>
      </w:r>
    </w:p>
    <w:p w14:paraId="7C0FD95E" w14:textId="77777777" w:rsidR="00B50DAE" w:rsidRPr="00B845AF" w:rsidRDefault="00B50DAE" w:rsidP="00B50DAE">
      <w:pPr>
        <w:pStyle w:val="SCtext"/>
        <w:numPr>
          <w:ilvl w:val="0"/>
          <w:numId w:val="0"/>
        </w:numPr>
        <w:rPr>
          <w:rFonts w:asciiTheme="minorHAnsi" w:hAnsiTheme="minorHAnsi" w:cstheme="minorHAnsi"/>
          <w:lang w:val="en-US"/>
        </w:rPr>
      </w:pPr>
    </w:p>
    <w:p w14:paraId="1A54BF72" w14:textId="7416193D" w:rsidR="00B50DAE" w:rsidRPr="00B845AF" w:rsidRDefault="00742E7A">
      <w:pPr>
        <w:pStyle w:val="SCtext"/>
        <w:rPr>
          <w:rFonts w:asciiTheme="minorHAnsi" w:hAnsiTheme="minorHAnsi" w:cstheme="minorHAnsi"/>
          <w:lang w:val="en-US"/>
        </w:rPr>
      </w:pPr>
      <w:r w:rsidRPr="00B845AF">
        <w:rPr>
          <w:rFonts w:asciiTheme="minorHAnsi" w:eastAsia="MS Mincho" w:hAnsiTheme="minorHAnsi" w:cstheme="minorHAnsi"/>
          <w:lang w:val="en-US" w:eastAsia="ja-JP"/>
        </w:rPr>
        <w:t>Samoa, on behalf of the FFA members, thanked the SSP for the paper and presentation, and supported the proposed revision of the PTTP Terms of Reference, recognizing the program’s important contribution to WCPFC science and fisheries management. Samoa, on behalf of the FFA members, stated that the PTTP remains one of the Commission’s most significant and resource-intensive scientific programs, and considered that establishing a clear basis for long-term funding security should be a priority, consistent with the FFA members’ position under agenda item 4.2. The FFA members indicated that a stronger and more forward-looking justification would be welcomed before WP04 is forwarded, with clearer linkage of each project to a priority management issue, and explanation of its research direction, expected scientific outputs, relevance to management needs, and overall value for money, to provide FAC20 and WCPFC23 with a stronger basis for considering the PTTP’s long-term sustainability. In response to a clarifying question from the SC Chair as to whether this should be submitted this year in advance of the Commission meeting or considered at future SC meetings, Samoa, on behalf of the FFA members, confirmed that the paper should be forwarded to FAC20 before WCPFC23 this year.</w:t>
      </w:r>
    </w:p>
    <w:p w14:paraId="67D467E4" w14:textId="77777777" w:rsidR="00E3155B" w:rsidRPr="00B845AF" w:rsidRDefault="00E3155B" w:rsidP="00E3155B">
      <w:pPr>
        <w:pStyle w:val="SCtext"/>
        <w:numPr>
          <w:ilvl w:val="0"/>
          <w:numId w:val="0"/>
        </w:numPr>
        <w:rPr>
          <w:rFonts w:asciiTheme="minorHAnsi" w:hAnsiTheme="minorHAnsi" w:cstheme="minorHAnsi"/>
          <w:lang w:val="en-US" w:eastAsia="en-NZ"/>
        </w:rPr>
      </w:pPr>
    </w:p>
    <w:p w14:paraId="2F81D9D4" w14:textId="1CFF05D4" w:rsidR="00E3155B" w:rsidRPr="00B845AF" w:rsidRDefault="00E3155B" w:rsidP="00E3155B">
      <w:pPr>
        <w:pStyle w:val="SCDR"/>
        <w:rPr>
          <w:rFonts w:asciiTheme="minorHAnsi" w:hAnsiTheme="minorHAnsi" w:cstheme="minorHAnsi"/>
          <w:lang w:eastAsia="en-NZ"/>
        </w:rPr>
      </w:pPr>
      <w:r w:rsidRPr="00B845AF">
        <w:rPr>
          <w:rFonts w:asciiTheme="minorHAnsi" w:hAnsiTheme="minorHAnsi" w:cstheme="minorHAnsi"/>
        </w:rPr>
        <w:t>Outcomes</w:t>
      </w:r>
    </w:p>
    <w:p w14:paraId="1EA5AA9E" w14:textId="7BEC6D01" w:rsidR="009A194E" w:rsidRPr="00B845AF" w:rsidRDefault="00F14283">
      <w:pPr>
        <w:pStyle w:val="SCtext"/>
        <w:rPr>
          <w:rFonts w:asciiTheme="minorHAnsi" w:hAnsiTheme="minorHAnsi" w:cstheme="minorHAnsi"/>
          <w:lang w:val="en-US"/>
        </w:rPr>
      </w:pPr>
      <w:r w:rsidRPr="00B845AF">
        <w:rPr>
          <w:rFonts w:asciiTheme="minorHAnsi" w:hAnsiTheme="minorHAnsi" w:cstheme="minorHAnsi"/>
          <w:lang w:val="en-US"/>
        </w:rPr>
        <w:t>SC22 noted the critical importance of effective tag seeding for informing stock assessment and support</w:t>
      </w:r>
      <w:r w:rsidR="00E96DBC" w:rsidRPr="00B845AF">
        <w:rPr>
          <w:rFonts w:asciiTheme="minorHAnsi" w:hAnsiTheme="minorHAnsi" w:cstheme="minorHAnsi"/>
          <w:lang w:val="en-US"/>
        </w:rPr>
        <w:t>ing</w:t>
      </w:r>
      <w:r w:rsidRPr="00B845AF">
        <w:rPr>
          <w:rFonts w:asciiTheme="minorHAnsi" w:hAnsiTheme="minorHAnsi" w:cstheme="minorHAnsi"/>
          <w:lang w:val="en-US"/>
        </w:rPr>
        <w:t xml:space="preserve"> the increased deployment and fleet coverage of tag seeding experiments through regional and </w:t>
      </w:r>
      <w:r w:rsidRPr="00B845AF">
        <w:rPr>
          <w:rFonts w:asciiTheme="minorHAnsi" w:hAnsiTheme="minorHAnsi" w:cstheme="minorHAnsi"/>
          <w:lang w:val="en-US"/>
        </w:rPr>
        <w:lastRenderedPageBreak/>
        <w:t>national observer programmes, while also recognizing the need for member participation in tag reporting as both wild and seeded tags continue to be found throughout the fishery. SC22 also noted the revised Terms of Reference endorsed by the PTTP Steering Committee (WCPFC-SC22-2026-SA-WP04)</w:t>
      </w:r>
      <w:r w:rsidR="00BD53FE" w:rsidRPr="00B845AF">
        <w:rPr>
          <w:rFonts w:asciiTheme="minorHAnsi" w:hAnsiTheme="minorHAnsi" w:cstheme="minorHAnsi"/>
          <w:lang w:val="en-US"/>
        </w:rPr>
        <w:t>.</w:t>
      </w:r>
    </w:p>
    <w:p w14:paraId="2540DDAF" w14:textId="77777777" w:rsidR="00E3155B" w:rsidRPr="00B845AF" w:rsidRDefault="00E3155B" w:rsidP="00E3155B">
      <w:pPr>
        <w:pStyle w:val="SCtext"/>
        <w:numPr>
          <w:ilvl w:val="0"/>
          <w:numId w:val="0"/>
        </w:numPr>
        <w:rPr>
          <w:rFonts w:asciiTheme="minorHAnsi" w:hAnsiTheme="minorHAnsi" w:cstheme="minorHAnsi"/>
          <w:b/>
          <w:bCs/>
          <w:lang w:val="en-US"/>
        </w:rPr>
      </w:pPr>
    </w:p>
    <w:p w14:paraId="516D97AC" w14:textId="1571C1CB" w:rsidR="00CF7CF6" w:rsidRPr="00B845AF" w:rsidRDefault="00BD53FE">
      <w:pPr>
        <w:pStyle w:val="SCtext"/>
        <w:rPr>
          <w:rFonts w:asciiTheme="minorHAnsi" w:hAnsiTheme="minorHAnsi" w:cstheme="minorHAnsi"/>
          <w:b/>
          <w:bCs/>
          <w:lang w:val="en-US"/>
        </w:rPr>
      </w:pPr>
      <w:bookmarkStart w:id="74" w:name="_Hlk164871155"/>
      <w:bookmarkEnd w:id="73"/>
      <w:r w:rsidRPr="00B845AF">
        <w:rPr>
          <w:rFonts w:asciiTheme="minorHAnsi" w:hAnsiTheme="minorHAnsi" w:cstheme="minorHAnsi"/>
          <w:b/>
          <w:bCs/>
          <w:lang w:val="en-US"/>
        </w:rPr>
        <w:t>SC22 requested that the SSP strengthen the paper (</w:t>
      </w:r>
      <w:r w:rsidR="00496518" w:rsidRPr="00B845AF">
        <w:rPr>
          <w:rFonts w:asciiTheme="minorHAnsi" w:hAnsiTheme="minorHAnsi" w:cstheme="minorHAnsi"/>
          <w:b/>
          <w:bCs/>
          <w:lang w:val="en-US"/>
        </w:rPr>
        <w:t>WCPFC-SC22-2026-SA-WP04</w:t>
      </w:r>
      <w:r w:rsidRPr="00B845AF">
        <w:rPr>
          <w:rFonts w:asciiTheme="minorHAnsi" w:hAnsiTheme="minorHAnsi" w:cstheme="minorHAnsi"/>
          <w:b/>
          <w:bCs/>
          <w:lang w:val="en-US"/>
        </w:rPr>
        <w:t>) for consideration at FAC20 and WCPFC23</w:t>
      </w:r>
      <w:r w:rsidR="00E96DBC" w:rsidRPr="00B845AF">
        <w:rPr>
          <w:rFonts w:asciiTheme="minorHAnsi" w:hAnsiTheme="minorHAnsi" w:cstheme="minorHAnsi"/>
          <w:b/>
          <w:bCs/>
          <w:lang w:val="en-US"/>
        </w:rPr>
        <w:t>,</w:t>
      </w:r>
      <w:r w:rsidRPr="00B845AF">
        <w:rPr>
          <w:rFonts w:asciiTheme="minorHAnsi" w:hAnsiTheme="minorHAnsi" w:cstheme="minorHAnsi"/>
          <w:b/>
          <w:bCs/>
          <w:lang w:val="en-US"/>
        </w:rPr>
        <w:t xml:space="preserve"> clearly linking each project to a priority management issue and explaining its research direction, expected scientific outputs, relevance to management needs and overall value for money, to provide FAC20 and WCPFC23 with a stronger basis for considering the PTTP’s long-term sustainability.</w:t>
      </w:r>
    </w:p>
    <w:p w14:paraId="0ECFCB39" w14:textId="77777777" w:rsidR="005F0B31" w:rsidRPr="00B845AF" w:rsidRDefault="005F0B31" w:rsidP="005F0B31">
      <w:pPr>
        <w:pStyle w:val="SCtext"/>
        <w:numPr>
          <w:ilvl w:val="0"/>
          <w:numId w:val="0"/>
        </w:numPr>
        <w:rPr>
          <w:rFonts w:asciiTheme="minorHAnsi" w:hAnsiTheme="minorHAnsi" w:cstheme="minorHAnsi"/>
          <w:b/>
          <w:bCs/>
          <w:lang w:val="en-US"/>
        </w:rPr>
      </w:pPr>
    </w:p>
    <w:p w14:paraId="63B70024" w14:textId="5B7BA236" w:rsidR="005F0B31" w:rsidRPr="00B845AF" w:rsidRDefault="00BD53FE">
      <w:pPr>
        <w:pStyle w:val="SCtext"/>
        <w:rPr>
          <w:rFonts w:asciiTheme="minorHAnsi" w:hAnsiTheme="minorHAnsi" w:cstheme="minorHAnsi"/>
          <w:lang w:val="en-US"/>
        </w:rPr>
      </w:pPr>
      <w:r w:rsidRPr="00B845AF">
        <w:rPr>
          <w:rFonts w:asciiTheme="minorHAnsi" w:eastAsia="MS Mincho" w:hAnsiTheme="minorHAnsi" w:cstheme="minorHAnsi"/>
          <w:lang w:val="en-US" w:eastAsia="ja-JP"/>
        </w:rPr>
        <w:t>SC22 endorsed the PTTP work-plan for 2026-2029, and the indicative budget.</w:t>
      </w:r>
    </w:p>
    <w:p w14:paraId="3B24ACA8" w14:textId="77777777" w:rsidR="005F0B31" w:rsidRPr="00B845AF" w:rsidRDefault="005F0B31" w:rsidP="005F0B31">
      <w:pPr>
        <w:pStyle w:val="SCtext"/>
        <w:numPr>
          <w:ilvl w:val="0"/>
          <w:numId w:val="0"/>
        </w:numPr>
        <w:rPr>
          <w:rFonts w:asciiTheme="minorHAnsi" w:hAnsiTheme="minorHAnsi" w:cstheme="minorHAnsi"/>
          <w:b/>
          <w:bCs/>
          <w:lang w:val="en-US"/>
        </w:rPr>
      </w:pPr>
    </w:p>
    <w:p w14:paraId="74608882" w14:textId="77777777" w:rsidR="00CF7CF6" w:rsidRPr="00B845AF" w:rsidRDefault="00CF7CF6">
      <w:pPr>
        <w:pStyle w:val="SC2"/>
        <w:numPr>
          <w:ilvl w:val="1"/>
          <w:numId w:val="21"/>
        </w:numPr>
        <w:ind w:left="720" w:hanging="720"/>
        <w:jc w:val="left"/>
        <w:rPr>
          <w:rFonts w:asciiTheme="minorHAnsi" w:hAnsiTheme="minorHAnsi" w:cstheme="minorHAnsi"/>
        </w:rPr>
      </w:pPr>
      <w:r w:rsidRPr="00B845AF">
        <w:rPr>
          <w:rFonts w:asciiTheme="minorHAnsi" w:hAnsiTheme="minorHAnsi" w:cstheme="minorHAnsi"/>
        </w:rPr>
        <w:t xml:space="preserve">West Pacific East Asia Project </w:t>
      </w:r>
    </w:p>
    <w:bookmarkEnd w:id="74"/>
    <w:p w14:paraId="59680B79" w14:textId="77777777" w:rsidR="00F36BB7" w:rsidRPr="00B845AF" w:rsidRDefault="00F36BB7">
      <w:pPr>
        <w:pStyle w:val="SCtext"/>
        <w:rPr>
          <w:rFonts w:asciiTheme="minorHAnsi" w:hAnsiTheme="minorHAnsi" w:cstheme="minorHAnsi"/>
          <w:lang w:val="en-US"/>
        </w:rPr>
      </w:pPr>
      <w:r w:rsidRPr="00B845AF">
        <w:rPr>
          <w:rFonts w:asciiTheme="minorHAnsi" w:hAnsiTheme="minorHAnsi" w:cstheme="minorHAnsi"/>
          <w:lang w:val="en-US"/>
        </w:rPr>
        <w:t>L. Olsen (WPEA-SPF Project Manager) presented on the West Pacific East Asia Project (</w:t>
      </w:r>
      <w:hyperlink r:id="rId108" w:history="1">
        <w:r w:rsidRPr="00B845AF">
          <w:rPr>
            <w:rStyle w:val="Hyperlink"/>
            <w:rFonts w:asciiTheme="minorHAnsi" w:hAnsiTheme="minorHAnsi" w:cstheme="minorHAnsi"/>
            <w:lang w:val="en-US"/>
          </w:rPr>
          <w:t>WCPFC-SC22-2026-RP-WPEA01</w:t>
        </w:r>
      </w:hyperlink>
      <w:r w:rsidRPr="00B845AF">
        <w:rPr>
          <w:rFonts w:asciiTheme="minorHAnsi" w:hAnsiTheme="minorHAnsi" w:cstheme="minorHAnsi"/>
          <w:lang w:val="en-US"/>
        </w:rPr>
        <w:t xml:space="preserve">). </w:t>
      </w:r>
    </w:p>
    <w:p w14:paraId="48024452" w14:textId="77777777" w:rsidR="00F36BB7" w:rsidRPr="00B845AF" w:rsidRDefault="00F36BB7" w:rsidP="00F36BB7">
      <w:pPr>
        <w:pStyle w:val="SCtext"/>
        <w:numPr>
          <w:ilvl w:val="0"/>
          <w:numId w:val="0"/>
        </w:numPr>
        <w:rPr>
          <w:rFonts w:asciiTheme="minorHAnsi" w:hAnsiTheme="minorHAnsi" w:cstheme="minorHAnsi"/>
          <w:lang w:val="en-US"/>
        </w:rPr>
      </w:pPr>
    </w:p>
    <w:p w14:paraId="7050FC4F" w14:textId="0EFA56A3" w:rsidR="00EF2DC0" w:rsidRPr="00B845AF" w:rsidRDefault="00F36BB7" w:rsidP="00F36BB7">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WPEA fisheries (Indonesia, Philippines, Viet Nam) contributed 29.2% of average annual WCPO tuna catch (2021-2025), including 44.4% of yellowfin and 28.3% of bigeye. Shared activities included attendance at SC21, TCC21, and WCPFC22, a Data Gaps Workshop (Sydney, 2-6 March 2026), Indonesia and Philippines’ participation in SPC’s Climate Change Indicators and Pre-Assessment Workshops (Nouméa, March 2026</w:t>
      </w:r>
      <w:proofErr w:type="gramStart"/>
      <w:r w:rsidRPr="00B845AF">
        <w:rPr>
          <w:rFonts w:asciiTheme="minorHAnsi" w:hAnsiTheme="minorHAnsi" w:cstheme="minorHAnsi"/>
          <w:lang w:val="en-US"/>
        </w:rPr>
        <w:t>), and</w:t>
      </w:r>
      <w:proofErr w:type="gramEnd"/>
      <w:r w:rsidRPr="00B845AF">
        <w:rPr>
          <w:rFonts w:asciiTheme="minorHAnsi" w:hAnsiTheme="minorHAnsi" w:cstheme="minorHAnsi"/>
          <w:lang w:val="en-US"/>
        </w:rPr>
        <w:t xml:space="preserve"> piloting a stock assessment mentoring program. Country-specific activities included, for Indonesia, a “train the trainer” catch and effort workshop (Melbourne, February 2026) followed by in-country workshops and annual data workshops (</w:t>
      </w:r>
      <w:proofErr w:type="spellStart"/>
      <w:r w:rsidRPr="00B845AF">
        <w:rPr>
          <w:rFonts w:asciiTheme="minorHAnsi" w:hAnsiTheme="minorHAnsi" w:cstheme="minorHAnsi"/>
          <w:lang w:val="en-US"/>
        </w:rPr>
        <w:t>Bitung</w:t>
      </w:r>
      <w:proofErr w:type="spellEnd"/>
      <w:r w:rsidRPr="00B845AF">
        <w:rPr>
          <w:rFonts w:asciiTheme="minorHAnsi" w:hAnsiTheme="minorHAnsi" w:cstheme="minorHAnsi"/>
          <w:lang w:val="en-US"/>
        </w:rPr>
        <w:t xml:space="preserve">, Jakarta, Bogor, June 2026); for the Philippines, procurement of port sampling equipment and its 19th Annual Data Workshop (Palawan, May 2026); and for Viet Nam, signing of an Implementing Agreement with WCPFC (March 2026), enumerators deployed in 10 provinces, and an Annual Data Workshop (Quy Nhon, April 2026). Highlighted items included moving Annual Data Workshop deadlines earlier (30 April), a hands-on approach incorporating R training and data audits, ongoing challenges with stock assessment mentoring, and a one-year project extension to June 2028 funded by New Zealand. </w:t>
      </w:r>
      <w:r w:rsidR="0067504E" w:rsidRPr="00B845AF">
        <w:rPr>
          <w:rFonts w:asciiTheme="minorHAnsi" w:hAnsiTheme="minorHAnsi" w:cstheme="minorHAnsi"/>
          <w:lang w:val="en-US"/>
        </w:rPr>
        <w:t>S</w:t>
      </w:r>
      <w:r w:rsidRPr="00B845AF">
        <w:rPr>
          <w:rFonts w:asciiTheme="minorHAnsi" w:hAnsiTheme="minorHAnsi" w:cstheme="minorHAnsi"/>
          <w:lang w:val="en-US"/>
        </w:rPr>
        <w:t>ignificant improvements in data submission to WCPFC</w:t>
      </w:r>
      <w:r w:rsidR="0067504E" w:rsidRPr="00B845AF">
        <w:rPr>
          <w:rFonts w:asciiTheme="minorHAnsi" w:hAnsiTheme="minorHAnsi" w:cstheme="minorHAnsi"/>
          <w:lang w:val="en-US"/>
        </w:rPr>
        <w:t xml:space="preserve"> were noted</w:t>
      </w:r>
      <w:r w:rsidRPr="00B845AF">
        <w:rPr>
          <w:rFonts w:asciiTheme="minorHAnsi" w:hAnsiTheme="minorHAnsi" w:cstheme="minorHAnsi"/>
          <w:lang w:val="en-US"/>
        </w:rPr>
        <w:t>, illustrated by a data coverage chart (SC22-ST-WP01) showing strong coverage for ACE and size data across all three countries, but continued gaps in aggregate and operational-level data, and encouraged review of WCPFC-SC22-2026-ST-IP05 on data improvements in the WPEA region.</w:t>
      </w:r>
    </w:p>
    <w:p w14:paraId="10FD914F" w14:textId="77777777" w:rsidR="00EF2DC0" w:rsidRPr="00B845AF" w:rsidRDefault="00EF2DC0" w:rsidP="008518E3">
      <w:pPr>
        <w:pStyle w:val="SCtext"/>
        <w:numPr>
          <w:ilvl w:val="0"/>
          <w:numId w:val="0"/>
        </w:numPr>
        <w:rPr>
          <w:rFonts w:asciiTheme="minorHAnsi" w:hAnsiTheme="minorHAnsi" w:cstheme="minorHAnsi"/>
          <w:lang w:val="en-US"/>
        </w:rPr>
      </w:pPr>
    </w:p>
    <w:p w14:paraId="40BDE472" w14:textId="622C81D3" w:rsidR="00EF2DC0" w:rsidRPr="00B845AF" w:rsidRDefault="00EF2DC0" w:rsidP="00EF2DC0">
      <w:pPr>
        <w:pStyle w:val="SCDR"/>
        <w:rPr>
          <w:rFonts w:asciiTheme="minorHAnsi" w:hAnsiTheme="minorHAnsi" w:cstheme="minorHAnsi"/>
        </w:rPr>
      </w:pPr>
      <w:r w:rsidRPr="00B845AF">
        <w:rPr>
          <w:rFonts w:asciiTheme="minorHAnsi" w:hAnsiTheme="minorHAnsi" w:cstheme="minorHAnsi"/>
        </w:rPr>
        <w:t xml:space="preserve">Discussion </w:t>
      </w:r>
    </w:p>
    <w:p w14:paraId="50F395E9" w14:textId="5144C53E" w:rsidR="00B17D0C" w:rsidRPr="00B845AF" w:rsidRDefault="008F2482">
      <w:pPr>
        <w:pStyle w:val="SCtext"/>
        <w:rPr>
          <w:rFonts w:asciiTheme="minorHAnsi" w:hAnsiTheme="minorHAnsi" w:cstheme="minorHAnsi"/>
          <w:lang w:val="en-US"/>
        </w:rPr>
      </w:pPr>
      <w:r w:rsidRPr="00B845AF">
        <w:rPr>
          <w:rFonts w:asciiTheme="minorHAnsi" w:hAnsiTheme="minorHAnsi" w:cstheme="minorHAnsi"/>
          <w:lang w:val="en-US"/>
        </w:rPr>
        <w:t xml:space="preserve">Indonesia thanked the WPEA-SPF project team for the progress report, thanked the Government of New Zealand for its continued support and the one-year extension to June 2028, and thanked the SSP for its close collaboration. Indonesia noted that, for the first time, it was able to provide catch and effort aggregate data, resolving a long-standing issue, and that work was now underway on operational data, which Indonesia described as challenging given that its fleet is mainly composed of small vessels, with an outcome hoped for by next year. Indonesia noted the project’s value for capacity building, including improved understanding of the stock assessment process and harvest strategy framework, a one-on-one mentoring arrangement between young Indonesian personnel and SPC experts, and training in the R programming language. Indonesia further noted that Indonesian associations and NGOs are raising </w:t>
      </w:r>
      <w:r w:rsidRPr="00B845AF">
        <w:rPr>
          <w:rFonts w:asciiTheme="minorHAnsi" w:hAnsiTheme="minorHAnsi" w:cstheme="minorHAnsi"/>
          <w:lang w:val="en-US"/>
        </w:rPr>
        <w:lastRenderedPageBreak/>
        <w:t>awareness of data collection, including a purse seine association now working with the Fishery Improvement Project (FIP) program, which Indonesia saw as a further avenue to improve operational data.</w:t>
      </w:r>
    </w:p>
    <w:p w14:paraId="745BE73F" w14:textId="77777777" w:rsidR="0067504E" w:rsidRPr="00B845AF" w:rsidRDefault="0067504E" w:rsidP="0067504E">
      <w:pPr>
        <w:pStyle w:val="SCtext"/>
        <w:numPr>
          <w:ilvl w:val="0"/>
          <w:numId w:val="0"/>
        </w:numPr>
        <w:rPr>
          <w:rFonts w:asciiTheme="minorHAnsi" w:hAnsiTheme="minorHAnsi" w:cstheme="minorHAnsi"/>
          <w:lang w:val="en-US"/>
        </w:rPr>
      </w:pPr>
    </w:p>
    <w:p w14:paraId="55155FCF" w14:textId="02BDA494" w:rsidR="0067504E" w:rsidRPr="00B845AF" w:rsidRDefault="008F2482">
      <w:pPr>
        <w:pStyle w:val="SCtext"/>
        <w:rPr>
          <w:rFonts w:asciiTheme="minorHAnsi" w:hAnsiTheme="minorHAnsi" w:cstheme="minorHAnsi"/>
          <w:lang w:val="en-US"/>
        </w:rPr>
      </w:pPr>
      <w:r w:rsidRPr="00B845AF">
        <w:rPr>
          <w:rFonts w:asciiTheme="minorHAnsi" w:eastAsia="MS Mincho" w:hAnsiTheme="minorHAnsi" w:cstheme="minorHAnsi"/>
          <w:lang w:val="en-US" w:eastAsia="ja-JP"/>
        </w:rPr>
        <w:t xml:space="preserve">Vanuatu, on behalf of the FFA members, thanked the WPEA group for the report and presentation, acknowledged the project’s progress and achievements, and welcomed the signing of the implementing agreement between Viet Nam and WCPFC in March 2026. Vanuatu, on behalf of the FFA members, thanked New Zealand for its continued funding support, including additional funding and the extension of the project to June 2028, and supported the planned activities for July 2026 to June 2027. The FFA members noted that the paper describes 2024 aggregate catch and effort data for Indonesia as generated through disaggregation of annual catch estimates using modeling assumptions, whereas 2025 data were produced directly from national logbook and catch information, and that the 2024 data are therefore generally considered less reliable; Vanuatu, on behalf of the FFA members, asked the authors to clarify whether the 2024 data should be considered provisional or subject to future revision, and what implications this may have for stock assessment inputs and CPUE analysis. The FFA members also encouraged continued attention to closing remaining data gaps and to establishing the systems, capacity, and </w:t>
      </w:r>
      <w:r w:rsidR="00E96DBC" w:rsidRPr="00B845AF">
        <w:rPr>
          <w:rFonts w:asciiTheme="minorHAnsi" w:eastAsia="MS Mincho" w:hAnsiTheme="minorHAnsi" w:cstheme="minorHAnsi"/>
          <w:lang w:val="en-US" w:eastAsia="ja-JP"/>
        </w:rPr>
        <w:t>resources</w:t>
      </w:r>
      <w:r w:rsidRPr="00B845AF">
        <w:rPr>
          <w:rFonts w:asciiTheme="minorHAnsi" w:eastAsia="MS Mincho" w:hAnsiTheme="minorHAnsi" w:cstheme="minorHAnsi"/>
          <w:lang w:val="en-US" w:eastAsia="ja-JP"/>
        </w:rPr>
        <w:t xml:space="preserve"> needed to sustain the project’s improvements beyond its current </w:t>
      </w:r>
      <w:r w:rsidR="00E96DBC" w:rsidRPr="00B845AF">
        <w:rPr>
          <w:rFonts w:asciiTheme="minorHAnsi" w:eastAsia="MS Mincho" w:hAnsiTheme="minorHAnsi" w:cstheme="minorHAnsi"/>
          <w:lang w:val="en-US" w:eastAsia="ja-JP"/>
        </w:rPr>
        <w:t>period and</w:t>
      </w:r>
      <w:r w:rsidRPr="00B845AF">
        <w:rPr>
          <w:rFonts w:asciiTheme="minorHAnsi" w:eastAsia="MS Mincho" w:hAnsiTheme="minorHAnsi" w:cstheme="minorHAnsi"/>
          <w:lang w:val="en-US" w:eastAsia="ja-JP"/>
        </w:rPr>
        <w:t xml:space="preserve"> considered it important for relevant CCMs to consider how these improvements can be sustained beyond the life of the project.</w:t>
      </w:r>
    </w:p>
    <w:p w14:paraId="09CDE1D0" w14:textId="77777777" w:rsidR="004469A4" w:rsidRPr="00B845AF" w:rsidRDefault="004469A4" w:rsidP="004469A4">
      <w:pPr>
        <w:pStyle w:val="SCtext"/>
        <w:numPr>
          <w:ilvl w:val="0"/>
          <w:numId w:val="0"/>
        </w:numPr>
        <w:rPr>
          <w:rFonts w:asciiTheme="minorHAnsi" w:hAnsiTheme="minorHAnsi" w:cstheme="minorHAnsi"/>
          <w:lang w:val="en-US"/>
        </w:rPr>
      </w:pPr>
    </w:p>
    <w:p w14:paraId="11247293" w14:textId="466C1ACA" w:rsidR="004469A4" w:rsidRPr="00B845AF" w:rsidRDefault="004469A4">
      <w:pPr>
        <w:pStyle w:val="SCtext"/>
        <w:rPr>
          <w:rFonts w:asciiTheme="minorHAnsi" w:hAnsiTheme="minorHAnsi" w:cstheme="minorHAnsi"/>
          <w:lang w:val="en-US"/>
        </w:rPr>
      </w:pPr>
      <w:r w:rsidRPr="00B845AF">
        <w:rPr>
          <w:rFonts w:asciiTheme="minorHAnsi" w:hAnsiTheme="minorHAnsi" w:cstheme="minorHAnsi"/>
          <w:lang w:val="en-US"/>
        </w:rPr>
        <w:t>In response to Vanuatu’s question, the SSP explained that the aggregate data for the three countries had previously been developed by disaggregating annual catch estimates based on broad assumptions about where and when catch and effort occur, reflecting the best available estimate at the time; the SSP stated that recent advances in data collection and system maturity made this the right time to revisit the approach, and that meaningful progress had been made this year, with continued work planned to advance both local and aggregate data.</w:t>
      </w:r>
    </w:p>
    <w:p w14:paraId="68B601E7" w14:textId="018DD3FD" w:rsidR="0067504E" w:rsidRPr="00B845AF" w:rsidRDefault="0067504E" w:rsidP="0067504E">
      <w:pPr>
        <w:pStyle w:val="SCtext"/>
        <w:numPr>
          <w:ilvl w:val="0"/>
          <w:numId w:val="0"/>
        </w:numPr>
        <w:rPr>
          <w:rFonts w:asciiTheme="minorHAnsi" w:hAnsiTheme="minorHAnsi" w:cstheme="minorHAnsi"/>
          <w:lang w:val="en-US"/>
        </w:rPr>
      </w:pPr>
    </w:p>
    <w:p w14:paraId="1AF7E35F" w14:textId="132577ED" w:rsidR="0067504E" w:rsidRPr="00B845AF" w:rsidRDefault="008F2482">
      <w:pPr>
        <w:pStyle w:val="SCtext"/>
        <w:rPr>
          <w:rFonts w:asciiTheme="minorHAnsi" w:hAnsiTheme="minorHAnsi" w:cstheme="minorHAnsi"/>
          <w:lang w:val="en-US"/>
        </w:rPr>
      </w:pPr>
      <w:r w:rsidRPr="00B845AF">
        <w:rPr>
          <w:rFonts w:asciiTheme="minorHAnsi" w:eastAsia="MS Mincho" w:hAnsiTheme="minorHAnsi" w:cstheme="minorHAnsi"/>
          <w:lang w:val="en-US" w:eastAsia="ja-JP"/>
        </w:rPr>
        <w:t>The Philippines thanked the Government of New Zealand for its continued financial support and the WCPFC Secretariat for its coordination support. The Philippines reported continuing to strengthen national tuna data collection and reporting under the project, including enhancing enumerator capacity in electronic data recording, continuing its Annual Data Workshops to review and improve annual catch estimates and address data gaps, and receiving capacity-building support such as sampling tools and materials; the Philippines also reported initiating coordination on operational logsheet data to meet WCPFC data standards. The Philippines recommended continued technical and financial support beyond 2027, including sustained capacity building and assistance with electronic data collection and reporting systems, to maintain and further develop the gains achieved under the project.</w:t>
      </w:r>
    </w:p>
    <w:p w14:paraId="1F768C5A" w14:textId="77777777" w:rsidR="004A5CA4" w:rsidRPr="00B845AF" w:rsidRDefault="004A5CA4" w:rsidP="004A5CA4">
      <w:pPr>
        <w:pStyle w:val="SCtext"/>
        <w:numPr>
          <w:ilvl w:val="0"/>
          <w:numId w:val="0"/>
        </w:numPr>
        <w:rPr>
          <w:rFonts w:asciiTheme="minorHAnsi" w:hAnsiTheme="minorHAnsi" w:cstheme="minorHAnsi"/>
          <w:lang w:val="en-US"/>
        </w:rPr>
      </w:pPr>
    </w:p>
    <w:p w14:paraId="22085539" w14:textId="25D1470B" w:rsidR="00034BF7" w:rsidRPr="00B845AF" w:rsidRDefault="004A5CA4">
      <w:pPr>
        <w:pStyle w:val="SCtext"/>
        <w:rPr>
          <w:rFonts w:asciiTheme="minorHAnsi" w:hAnsiTheme="minorHAnsi" w:cstheme="minorHAnsi"/>
          <w:lang w:val="en-US"/>
        </w:rPr>
      </w:pPr>
      <w:r w:rsidRPr="00B845AF">
        <w:rPr>
          <w:rFonts w:asciiTheme="minorHAnsi" w:hAnsiTheme="minorHAnsi" w:cstheme="minorHAnsi"/>
          <w:lang w:val="en-US"/>
        </w:rPr>
        <w:t>Niue observed that the 2024 data may contain estimation error with implications for stock assessments, including the possibility that catch could be allocated to incorrect areas or over/underestimated, that fishing mortality estimates could be affected, and that this could in turn influence stock status, fishing mortality, biomass trend, and reference point estimates; Niue thanked the SSP for its ongoing efforts to improve data capture going forward.</w:t>
      </w:r>
    </w:p>
    <w:p w14:paraId="2D803CED" w14:textId="77777777" w:rsidR="00E85518" w:rsidRPr="00B845AF" w:rsidRDefault="00E85518" w:rsidP="00E85518">
      <w:pPr>
        <w:pStyle w:val="SCtext"/>
        <w:numPr>
          <w:ilvl w:val="0"/>
          <w:numId w:val="0"/>
        </w:numPr>
        <w:rPr>
          <w:rFonts w:asciiTheme="minorHAnsi" w:hAnsiTheme="minorHAnsi" w:cstheme="minorHAnsi"/>
          <w:b/>
          <w:bCs/>
          <w:lang w:val="en-US"/>
        </w:rPr>
      </w:pPr>
    </w:p>
    <w:p w14:paraId="4D80C1B9" w14:textId="70B5EA12" w:rsidR="00CF7CF6" w:rsidRPr="00B845AF" w:rsidRDefault="00CF7CF6">
      <w:pPr>
        <w:pStyle w:val="SC2"/>
        <w:numPr>
          <w:ilvl w:val="1"/>
          <w:numId w:val="21"/>
        </w:numPr>
        <w:ind w:left="720" w:hanging="720"/>
        <w:jc w:val="left"/>
        <w:rPr>
          <w:rFonts w:asciiTheme="minorHAnsi" w:hAnsiTheme="minorHAnsi" w:cstheme="minorHAnsi"/>
        </w:rPr>
      </w:pPr>
      <w:bookmarkStart w:id="75" w:name="_Hlk196318785"/>
      <w:r w:rsidRPr="00B845AF">
        <w:rPr>
          <w:rFonts w:asciiTheme="minorHAnsi" w:hAnsiTheme="minorHAnsi" w:cstheme="minorHAnsi"/>
        </w:rPr>
        <w:t>Japan Trust Fund activities</w:t>
      </w:r>
    </w:p>
    <w:bookmarkEnd w:id="75"/>
    <w:p w14:paraId="57E86892" w14:textId="026865B4" w:rsidR="00CF7CF6" w:rsidRPr="00B845AF" w:rsidRDefault="00DB2FFB">
      <w:pPr>
        <w:pStyle w:val="SCtext"/>
        <w:rPr>
          <w:rFonts w:asciiTheme="minorHAnsi" w:hAnsiTheme="minorHAnsi" w:cstheme="minorHAnsi"/>
          <w:lang w:val="en-US"/>
        </w:rPr>
      </w:pPr>
      <w:r w:rsidRPr="00B845AF">
        <w:rPr>
          <w:rFonts w:asciiTheme="minorHAnsi" w:hAnsiTheme="minorHAnsi" w:cstheme="minorHAnsi"/>
          <w:lang w:val="en-US"/>
        </w:rPr>
        <w:t xml:space="preserve">The WCPFC </w:t>
      </w:r>
      <w:r w:rsidR="001202EB" w:rsidRPr="00B845AF">
        <w:rPr>
          <w:rFonts w:asciiTheme="minorHAnsi" w:hAnsiTheme="minorHAnsi" w:cstheme="minorHAnsi"/>
          <w:lang w:val="en-US"/>
        </w:rPr>
        <w:t>Executive Director</w:t>
      </w:r>
      <w:r w:rsidR="004A5CA4" w:rsidRPr="00B845AF">
        <w:rPr>
          <w:rFonts w:asciiTheme="minorHAnsi" w:hAnsiTheme="minorHAnsi" w:cstheme="minorHAnsi"/>
          <w:lang w:val="en-US"/>
        </w:rPr>
        <w:t xml:space="preserve"> provided an update on </w:t>
      </w:r>
      <w:hyperlink r:id="rId109" w:history="1">
        <w:r w:rsidR="004A5CA4" w:rsidRPr="00B845AF">
          <w:rPr>
            <w:rStyle w:val="Hyperlink"/>
            <w:rFonts w:asciiTheme="minorHAnsi" w:hAnsiTheme="minorHAnsi" w:cstheme="minorHAnsi"/>
            <w:lang w:val="en-US"/>
          </w:rPr>
          <w:t>WCPFC-SC22-2026-RP-JTF02</w:t>
        </w:r>
      </w:hyperlink>
      <w:r w:rsidR="004A5CA4" w:rsidRPr="00B845AF">
        <w:rPr>
          <w:rFonts w:asciiTheme="minorHAnsi" w:hAnsiTheme="minorHAnsi" w:cstheme="minorHAnsi"/>
          <w:lang w:val="en-US"/>
        </w:rPr>
        <w:t xml:space="preserve">, noting that the Japan Trust Fund was established in 2007 to support Small Island Developing States with capacity building in fisheries management, focusing on strengthening data collection, regulatory systems, and enforcement of conservation and management measures. Project recipients in 2026 were FSM, Tonga, </w:t>
      </w:r>
      <w:r w:rsidR="004A5CA4" w:rsidRPr="00B845AF">
        <w:rPr>
          <w:rFonts w:asciiTheme="minorHAnsi" w:hAnsiTheme="minorHAnsi" w:cstheme="minorHAnsi"/>
          <w:lang w:val="en-US"/>
        </w:rPr>
        <w:lastRenderedPageBreak/>
        <w:t>and the South Pacific Group (three projects), which provided updates at the Steering Committee meeting the previous week; recipients with projects carried over from prior years, namely Fiji, Palau, Samoa, and the Philippines, also provided updates. Additional participants at the Steering Committee meeting included Solomon Islands, Niue, the FFA Secretariat, and Japan. The Executive Director noted that project recipients have committed to communicating with the Secretariat and Japan on project status no later than 30 November.</w:t>
      </w:r>
    </w:p>
    <w:p w14:paraId="7C4069F1" w14:textId="77777777" w:rsidR="003F4474" w:rsidRPr="00B845AF" w:rsidRDefault="003F4474" w:rsidP="003F4474">
      <w:pPr>
        <w:pStyle w:val="SCtext"/>
        <w:numPr>
          <w:ilvl w:val="0"/>
          <w:numId w:val="0"/>
        </w:numPr>
        <w:rPr>
          <w:rFonts w:asciiTheme="minorHAnsi" w:hAnsiTheme="minorHAnsi" w:cstheme="minorHAnsi"/>
          <w:lang w:val="en-US"/>
        </w:rPr>
      </w:pPr>
    </w:p>
    <w:p w14:paraId="41ACE494" w14:textId="12FEC7FD" w:rsidR="001202EB" w:rsidRPr="00B845AF" w:rsidRDefault="003F4474" w:rsidP="003F4474">
      <w:pPr>
        <w:pStyle w:val="SCDR"/>
        <w:rPr>
          <w:rFonts w:asciiTheme="minorHAnsi" w:hAnsiTheme="minorHAnsi" w:cstheme="minorHAnsi"/>
        </w:rPr>
      </w:pPr>
      <w:r w:rsidRPr="00B845AF">
        <w:rPr>
          <w:rFonts w:asciiTheme="minorHAnsi" w:hAnsiTheme="minorHAnsi" w:cstheme="minorHAnsi"/>
        </w:rPr>
        <w:t>Discussion</w:t>
      </w:r>
    </w:p>
    <w:p w14:paraId="40FD63F6" w14:textId="68641108" w:rsidR="007D293E" w:rsidRPr="00B845AF" w:rsidRDefault="004A5CA4">
      <w:pPr>
        <w:pStyle w:val="SCtext"/>
        <w:rPr>
          <w:rFonts w:asciiTheme="minorHAnsi" w:hAnsiTheme="minorHAnsi" w:cstheme="minorHAnsi"/>
          <w:lang w:val="en-US"/>
        </w:rPr>
      </w:pPr>
      <w:r w:rsidRPr="00B845AF">
        <w:rPr>
          <w:rFonts w:asciiTheme="minorHAnsi" w:hAnsiTheme="minorHAnsi" w:cstheme="minorHAnsi"/>
          <w:lang w:val="en-US"/>
        </w:rPr>
        <w:t>Tonga thanked the Secretariat for the update and thanked the Government of Japan for its generous support through the Japan Trust Fund, which has strengthened Tonga’s tuna fishery data collection for state measure implementation and its national observer program, and expressed gratitude for continued funding for another year to sustain these activities. On behalf of the SPG, Tonga thanked the Government of Japan for supporting the project, which contributes to the SPG’s goal of achieving 100% electronic reporting of fishing logbook data. The SPG reported that Japan Trust Fund-funded tablets for electronic reporting have been procured and delivered to participating countries, and that these are in the process of being registered.</w:t>
      </w:r>
    </w:p>
    <w:p w14:paraId="61EE4223" w14:textId="77777777" w:rsidR="004A5CA4" w:rsidRPr="00B845AF" w:rsidRDefault="004A5CA4" w:rsidP="004A5CA4">
      <w:pPr>
        <w:pStyle w:val="SCtext"/>
        <w:numPr>
          <w:ilvl w:val="0"/>
          <w:numId w:val="0"/>
        </w:numPr>
        <w:rPr>
          <w:rFonts w:asciiTheme="minorHAnsi" w:hAnsiTheme="minorHAnsi" w:cstheme="minorHAnsi"/>
          <w:lang w:val="en-US"/>
        </w:rPr>
      </w:pPr>
    </w:p>
    <w:p w14:paraId="6C392C44" w14:textId="63AB3887" w:rsidR="004A5CA4" w:rsidRPr="00B845AF" w:rsidRDefault="004A5CA4">
      <w:pPr>
        <w:pStyle w:val="SCtext"/>
        <w:rPr>
          <w:rFonts w:asciiTheme="minorHAnsi" w:hAnsiTheme="minorHAnsi" w:cstheme="minorHAnsi"/>
          <w:lang w:val="en-US"/>
        </w:rPr>
      </w:pPr>
      <w:r w:rsidRPr="00B845AF">
        <w:rPr>
          <w:rFonts w:asciiTheme="minorHAnsi" w:hAnsiTheme="minorHAnsi" w:cstheme="minorHAnsi"/>
          <w:lang w:val="en-US"/>
        </w:rPr>
        <w:t>Samoa echoed and supported Tonga</w:t>
      </w:r>
      <w:r w:rsidR="00580111" w:rsidRPr="00B845AF">
        <w:rPr>
          <w:rFonts w:asciiTheme="minorHAnsi" w:hAnsiTheme="minorHAnsi" w:cstheme="minorHAnsi"/>
          <w:lang w:val="en-US"/>
        </w:rPr>
        <w:t>’</w:t>
      </w:r>
      <w:r w:rsidRPr="00B845AF">
        <w:rPr>
          <w:rFonts w:asciiTheme="minorHAnsi" w:hAnsiTheme="minorHAnsi" w:cstheme="minorHAnsi"/>
          <w:lang w:val="en-US"/>
        </w:rPr>
        <w:t>s statement, and thanked Japan and the Commission for funding that has supported Samoa</w:t>
      </w:r>
      <w:r w:rsidR="00580111" w:rsidRPr="00B845AF">
        <w:rPr>
          <w:rFonts w:asciiTheme="minorHAnsi" w:hAnsiTheme="minorHAnsi" w:cstheme="minorHAnsi"/>
          <w:lang w:val="en-US"/>
        </w:rPr>
        <w:t>’</w:t>
      </w:r>
      <w:r w:rsidRPr="00B845AF">
        <w:rPr>
          <w:rFonts w:asciiTheme="minorHAnsi" w:hAnsiTheme="minorHAnsi" w:cstheme="minorHAnsi"/>
          <w:lang w:val="en-US"/>
        </w:rPr>
        <w:t>s work with its observer service. Samoa noted that it had this year been approved for ROP status, an outcome it had been pursuing for the past 20 years, and thanked Japan and the Commission for their support in this achievement.</w:t>
      </w:r>
    </w:p>
    <w:p w14:paraId="33237E18" w14:textId="77777777" w:rsidR="00AF1FB5" w:rsidRPr="00B845AF" w:rsidRDefault="00AF1FB5" w:rsidP="00956796">
      <w:pPr>
        <w:pStyle w:val="SCtext"/>
        <w:numPr>
          <w:ilvl w:val="0"/>
          <w:numId w:val="0"/>
        </w:numPr>
        <w:rPr>
          <w:rFonts w:asciiTheme="minorHAnsi" w:hAnsiTheme="minorHAnsi" w:cstheme="minorHAnsi"/>
          <w:lang w:val="en-US"/>
        </w:rPr>
      </w:pPr>
    </w:p>
    <w:p w14:paraId="0A009491" w14:textId="77777777" w:rsidR="00CF7CF6" w:rsidRPr="00B845AF" w:rsidRDefault="00CF7CF6">
      <w:pPr>
        <w:pStyle w:val="SC2"/>
        <w:numPr>
          <w:ilvl w:val="1"/>
          <w:numId w:val="21"/>
        </w:numPr>
        <w:ind w:left="720" w:hanging="720"/>
        <w:jc w:val="left"/>
        <w:rPr>
          <w:rFonts w:asciiTheme="minorHAnsi" w:hAnsiTheme="minorHAnsi" w:cstheme="minorHAnsi"/>
        </w:rPr>
      </w:pPr>
      <w:r w:rsidRPr="00B845AF">
        <w:rPr>
          <w:rFonts w:asciiTheme="minorHAnsi" w:hAnsiTheme="minorHAnsi" w:cstheme="minorHAnsi"/>
        </w:rPr>
        <w:t>Other Projects</w:t>
      </w:r>
    </w:p>
    <w:p w14:paraId="66D99EB0" w14:textId="560E59CF" w:rsidR="000F6085" w:rsidRPr="00B845AF" w:rsidRDefault="00E81894">
      <w:pPr>
        <w:pStyle w:val="SCtext"/>
        <w:rPr>
          <w:rFonts w:asciiTheme="minorHAnsi" w:hAnsiTheme="minorHAnsi" w:cstheme="minorHAnsi"/>
          <w:lang w:val="en-US"/>
        </w:rPr>
      </w:pPr>
      <w:r w:rsidRPr="00B845AF">
        <w:rPr>
          <w:rFonts w:asciiTheme="minorHAnsi" w:hAnsiTheme="minorHAnsi" w:cstheme="minorHAnsi"/>
          <w:lang w:val="en-US"/>
        </w:rPr>
        <w:t>The Secretariat noted, referencing intersessional activities paper IP02, that members and observers have voluntarily contributed funding to several projects, including the European Union providing approximately 280,000 euros for Project 110 (non-entangling and biodegradable FADs) and almost 200,000 euros for Project 120 (updated reproductive biology of tropical tunas). The Secretariat noted that the Republic of Korea continues to support the Pacific Tuna Tagging Project at approximately 170,000 USD annually, and that additional funding support for the Commission’s harvest strategy work, application of Close-Kin-Mark-Recapture methods, ecosystem and climate indicators, and other science projects has been provided by members and observers including the European Union, New Zealand, the United States, and IATTC.</w:t>
      </w:r>
    </w:p>
    <w:p w14:paraId="4B4B6635" w14:textId="77777777" w:rsidR="00594E06" w:rsidRPr="00B845AF" w:rsidRDefault="00594E06" w:rsidP="009A74D6">
      <w:pPr>
        <w:pStyle w:val="SCtext"/>
        <w:numPr>
          <w:ilvl w:val="0"/>
          <w:numId w:val="0"/>
        </w:numPr>
        <w:rPr>
          <w:rFonts w:asciiTheme="minorHAnsi" w:hAnsiTheme="minorHAnsi" w:cstheme="minorHAnsi"/>
          <w:lang w:val="en-US"/>
        </w:rPr>
      </w:pPr>
    </w:p>
    <w:p w14:paraId="1DD779A3" w14:textId="77777777" w:rsidR="002D074D" w:rsidRPr="00B845AF" w:rsidRDefault="002D074D" w:rsidP="001A23E2">
      <w:pPr>
        <w:autoSpaceDE w:val="0"/>
        <w:autoSpaceDN w:val="0"/>
        <w:adjustRightInd w:val="0"/>
        <w:snapToGrid w:val="0"/>
        <w:jc w:val="both"/>
        <w:rPr>
          <w:rFonts w:asciiTheme="minorHAnsi" w:eastAsiaTheme="minorEastAsia" w:hAnsiTheme="minorHAnsi" w:cstheme="minorHAnsi"/>
          <w:szCs w:val="22"/>
          <w:lang w:eastAsia="ko-KR"/>
        </w:rPr>
      </w:pPr>
    </w:p>
    <w:p w14:paraId="6E621ED4" w14:textId="3F711770" w:rsidR="00E41D57" w:rsidRPr="00B845AF" w:rsidRDefault="0035399F" w:rsidP="003F6119">
      <w:pPr>
        <w:pStyle w:val="Heading1"/>
        <w:numPr>
          <w:ilvl w:val="0"/>
          <w:numId w:val="0"/>
        </w:numPr>
        <w:adjustRightInd w:val="0"/>
        <w:snapToGrid w:val="0"/>
        <w:spacing w:after="0"/>
        <w:ind w:left="720"/>
        <w:rPr>
          <w:rFonts w:asciiTheme="minorHAnsi" w:hAnsiTheme="minorHAnsi" w:cstheme="minorHAnsi"/>
        </w:rPr>
      </w:pPr>
      <w:r w:rsidRPr="00B845AF">
        <w:rPr>
          <w:rFonts w:asciiTheme="minorHAnsi" w:hAnsiTheme="minorHAnsi" w:cstheme="minorHAnsi"/>
        </w:rPr>
        <w:t xml:space="preserve">AGENDA ITEM </w:t>
      </w:r>
      <w:r w:rsidR="000F6085" w:rsidRPr="00B845AF">
        <w:rPr>
          <w:rFonts w:asciiTheme="minorHAnsi" w:hAnsiTheme="minorHAnsi" w:cstheme="minorHAnsi"/>
        </w:rPr>
        <w:t>8</w:t>
      </w:r>
      <w:r w:rsidRPr="00B845AF">
        <w:rPr>
          <w:rFonts w:asciiTheme="minorHAnsi" w:hAnsiTheme="minorHAnsi" w:cstheme="minorHAnsi"/>
        </w:rPr>
        <w:t xml:space="preserve"> — </w:t>
      </w:r>
      <w:r w:rsidR="00CA38D7" w:rsidRPr="00B845AF">
        <w:rPr>
          <w:rFonts w:asciiTheme="minorHAnsi" w:hAnsiTheme="minorHAnsi" w:cstheme="minorHAnsi"/>
        </w:rPr>
        <w:t>COOPERATION WITH OTHER ORGANISATIONS</w:t>
      </w:r>
    </w:p>
    <w:p w14:paraId="3111AF1D" w14:textId="759EFAF8" w:rsidR="00CF6978" w:rsidRPr="00B845AF" w:rsidRDefault="00CF6978" w:rsidP="00B357A9">
      <w:pPr>
        <w:pStyle w:val="SC2"/>
        <w:numPr>
          <w:ilvl w:val="0"/>
          <w:numId w:val="0"/>
        </w:numPr>
        <w:spacing w:after="0"/>
        <w:rPr>
          <w:rFonts w:asciiTheme="minorHAnsi" w:hAnsiTheme="minorHAnsi" w:cstheme="minorHAnsi"/>
        </w:rPr>
      </w:pPr>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76" w:name="_Toc239261430"/>
      <w:r w:rsidRPr="00B845AF">
        <w:rPr>
          <w:rFonts w:asciiTheme="minorHAnsi" w:hAnsiTheme="minorHAnsi" w:cstheme="minorHAnsi"/>
        </w:rPr>
        <w:instrText>AGENDA ITEM 8— COOPERATION WITH OTHER ORGANISATIONS</w:instrText>
      </w:r>
      <w:bookmarkEnd w:id="76"/>
      <w:r w:rsidRPr="00B845AF">
        <w:rPr>
          <w:rFonts w:asciiTheme="minorHAnsi" w:hAnsiTheme="minorHAnsi" w:cstheme="minorHAnsi"/>
        </w:rPr>
        <w:instrText xml:space="preserve"> " \f C \l "1" </w:instrText>
      </w:r>
      <w:r w:rsidRPr="00B845AF">
        <w:rPr>
          <w:rFonts w:asciiTheme="minorHAnsi" w:hAnsiTheme="minorHAnsi" w:cstheme="minorHAnsi"/>
        </w:rPr>
        <w:fldChar w:fldCharType="end"/>
      </w:r>
    </w:p>
    <w:p w14:paraId="2A5FE684" w14:textId="4369A0E6" w:rsidR="00CA38D7" w:rsidRPr="00B845AF" w:rsidRDefault="00915E35">
      <w:pPr>
        <w:pStyle w:val="SCtext"/>
        <w:rPr>
          <w:rFonts w:asciiTheme="minorHAnsi" w:hAnsiTheme="minorHAnsi" w:cstheme="minorHAnsi"/>
          <w:lang w:val="en-US"/>
        </w:rPr>
      </w:pPr>
      <w:r w:rsidRPr="00B845AF">
        <w:rPr>
          <w:rFonts w:asciiTheme="minorHAnsi" w:hAnsiTheme="minorHAnsi" w:cstheme="minorHAnsi"/>
          <w:lang w:val="en-US"/>
        </w:rPr>
        <w:t xml:space="preserve">The Executive Director provided an update on </w:t>
      </w:r>
      <w:hyperlink r:id="rId110" w:history="1">
        <w:r w:rsidRPr="00B845AF">
          <w:rPr>
            <w:rStyle w:val="Hyperlink"/>
            <w:rFonts w:asciiTheme="minorHAnsi" w:hAnsiTheme="minorHAnsi" w:cstheme="minorHAnsi"/>
            <w:lang w:val="en-US"/>
          </w:rPr>
          <w:t>WCPFC-SC22-2026-GN-IP04</w:t>
        </w:r>
      </w:hyperlink>
      <w:r w:rsidRPr="00B845AF">
        <w:rPr>
          <w:rFonts w:asciiTheme="minorHAnsi" w:hAnsiTheme="minorHAnsi" w:cstheme="minorHAnsi"/>
          <w:lang w:val="en-US"/>
        </w:rPr>
        <w:t xml:space="preserve">, and drew members’ attention to a circular update sent at the end of July on WCPFC’s cooperation with other organizations. The Executive Director noted the signing of the FAO Partnership Agreement with the FAO Deputy Director for Fisheries in June, formalizing WCPFC as a partner alongside other tuna RFMOs; the Secretariat’s participation, by invitation, in a May workshop of the International Seabed Authority, where the Secretariat worked with SPC to provide fisheries data for the North Pacific regional environmental management plan under development by the ISA; and attendance at the third BBNJ </w:t>
      </w:r>
      <w:proofErr w:type="spellStart"/>
      <w:r w:rsidRPr="00B845AF">
        <w:rPr>
          <w:rFonts w:asciiTheme="minorHAnsi" w:hAnsiTheme="minorHAnsi" w:cstheme="minorHAnsi"/>
          <w:lang w:val="en-US"/>
        </w:rPr>
        <w:t>PrepCom</w:t>
      </w:r>
      <w:proofErr w:type="spellEnd"/>
      <w:r w:rsidRPr="00B845AF">
        <w:rPr>
          <w:rFonts w:asciiTheme="minorHAnsi" w:hAnsiTheme="minorHAnsi" w:cstheme="minorHAnsi"/>
          <w:lang w:val="en-US"/>
        </w:rPr>
        <w:t xml:space="preserve"> in April, at which the Secretariat provided a joint statement with two other RFMOs on the mechanism for cooperation between BBNJ and regional fisheries bodies, noting the first BBNJ Conference of the Parties will convene in January.</w:t>
      </w:r>
    </w:p>
    <w:p w14:paraId="464E6D7F" w14:textId="77777777" w:rsidR="00915E35" w:rsidRPr="00B845AF" w:rsidRDefault="00915E35" w:rsidP="00915E35">
      <w:pPr>
        <w:pStyle w:val="SCtext"/>
        <w:numPr>
          <w:ilvl w:val="0"/>
          <w:numId w:val="0"/>
        </w:numPr>
        <w:rPr>
          <w:rFonts w:asciiTheme="minorHAnsi" w:hAnsiTheme="minorHAnsi" w:cstheme="minorHAnsi"/>
          <w:lang w:val="en-US"/>
        </w:rPr>
      </w:pPr>
    </w:p>
    <w:p w14:paraId="5E281990" w14:textId="7297B11D" w:rsidR="00915E35" w:rsidRPr="00B845AF" w:rsidRDefault="00915E35">
      <w:pPr>
        <w:pStyle w:val="SCtext"/>
        <w:rPr>
          <w:rFonts w:asciiTheme="minorHAnsi" w:hAnsiTheme="minorHAnsi" w:cstheme="minorHAnsi"/>
          <w:lang w:val="en-US"/>
        </w:rPr>
      </w:pPr>
      <w:r w:rsidRPr="00B845AF">
        <w:rPr>
          <w:rFonts w:asciiTheme="minorHAnsi" w:hAnsiTheme="minorHAnsi" w:cstheme="minorHAnsi"/>
          <w:lang w:val="en-US"/>
        </w:rPr>
        <w:t>RMI, on behalf of the FFA members, thanked the Executive Director and Secretariat for the report, welcomed the formal FAO partnership, and considered it a valuable avenue to address the complexity of fisheries statistics reporting to FAO</w:t>
      </w:r>
      <w:r w:rsidR="004230E7" w:rsidRPr="00B845AF">
        <w:rPr>
          <w:rFonts w:asciiTheme="minorHAnsi" w:hAnsiTheme="minorHAnsi" w:cstheme="minorHAnsi"/>
          <w:lang w:val="en-US"/>
        </w:rPr>
        <w:t>’</w:t>
      </w:r>
      <w:r w:rsidRPr="00B845AF">
        <w:rPr>
          <w:rFonts w:asciiTheme="minorHAnsi" w:hAnsiTheme="minorHAnsi" w:cstheme="minorHAnsi"/>
          <w:lang w:val="en-US"/>
        </w:rPr>
        <w:t>s global fisheries annual reports. RMI suggested it would be particularly beneficial for SIDS if reporting could be streamlined from WCPFC to FAO on public domain data, reducing duplicative burden on small national administrations, and encouraged the Secretariat to explore how this could be operationalized. The SC Chair noted the suggestion.</w:t>
      </w:r>
    </w:p>
    <w:p w14:paraId="758FB3F3" w14:textId="77777777" w:rsidR="00594E06" w:rsidRPr="00B845AF" w:rsidRDefault="00594E06" w:rsidP="009A74D6">
      <w:pPr>
        <w:pStyle w:val="SCtext"/>
        <w:numPr>
          <w:ilvl w:val="0"/>
          <w:numId w:val="0"/>
        </w:numPr>
        <w:rPr>
          <w:rFonts w:asciiTheme="minorHAnsi" w:hAnsiTheme="minorHAnsi" w:cstheme="minorHAnsi"/>
          <w:lang w:val="en-US"/>
        </w:rPr>
      </w:pPr>
    </w:p>
    <w:p w14:paraId="3F6D6C6D" w14:textId="77777777" w:rsidR="003F6119" w:rsidRPr="00B845AF" w:rsidRDefault="003F6119" w:rsidP="00BD58EB">
      <w:pPr>
        <w:pStyle w:val="Heading1"/>
        <w:numPr>
          <w:ilvl w:val="0"/>
          <w:numId w:val="0"/>
        </w:numPr>
        <w:adjustRightInd w:val="0"/>
        <w:snapToGrid w:val="0"/>
        <w:spacing w:after="0"/>
        <w:jc w:val="both"/>
        <w:rPr>
          <w:rFonts w:asciiTheme="minorHAnsi" w:hAnsiTheme="minorHAnsi" w:cstheme="minorHAnsi"/>
        </w:rPr>
      </w:pPr>
    </w:p>
    <w:p w14:paraId="5FB6C619" w14:textId="3379926F" w:rsidR="000B42C4" w:rsidRPr="00B845AF" w:rsidRDefault="000B42C4" w:rsidP="000B42C4">
      <w:pPr>
        <w:pStyle w:val="Heading1"/>
        <w:numPr>
          <w:ilvl w:val="0"/>
          <w:numId w:val="0"/>
        </w:numPr>
        <w:adjustRightInd w:val="0"/>
        <w:snapToGrid w:val="0"/>
        <w:spacing w:after="0"/>
        <w:ind w:left="720"/>
        <w:rPr>
          <w:rFonts w:asciiTheme="minorHAnsi" w:hAnsiTheme="minorHAnsi" w:cstheme="minorHAnsi"/>
        </w:rPr>
      </w:pPr>
      <w:r w:rsidRPr="00B845AF">
        <w:rPr>
          <w:rFonts w:asciiTheme="minorHAnsi" w:hAnsiTheme="minorHAnsi" w:cstheme="minorHAnsi"/>
        </w:rPr>
        <w:t xml:space="preserve">AGENDA ITEM 9 — </w:t>
      </w:r>
      <w:r w:rsidR="00981493" w:rsidRPr="00B845AF">
        <w:rPr>
          <w:rFonts w:asciiTheme="minorHAnsi" w:hAnsiTheme="minorHAnsi" w:cstheme="minorHAnsi"/>
        </w:rPr>
        <w:t xml:space="preserve">SPECIAL REQUIREMENTS OF DEVELOPING STATES AND PARTICIPATING TERRITORIES </w:t>
      </w:r>
    </w:p>
    <w:p w14:paraId="3698CA88" w14:textId="713587EA" w:rsidR="000F6085" w:rsidRPr="00B845AF" w:rsidRDefault="00472973" w:rsidP="00981493">
      <w:pPr>
        <w:pStyle w:val="Heading1"/>
        <w:numPr>
          <w:ilvl w:val="0"/>
          <w:numId w:val="0"/>
        </w:numPr>
        <w:adjustRightInd w:val="0"/>
        <w:snapToGrid w:val="0"/>
        <w:spacing w:after="0"/>
        <w:ind w:left="720"/>
        <w:jc w:val="both"/>
        <w:rPr>
          <w:rFonts w:asciiTheme="minorHAnsi" w:hAnsiTheme="minorHAnsi" w:cstheme="minorHAnsi"/>
        </w:rPr>
      </w:pPr>
      <w:r w:rsidRPr="00B845AF">
        <w:rPr>
          <w:rFonts w:asciiTheme="minorHAnsi" w:hAnsiTheme="minorHAnsi" w:cstheme="minorHAnsi"/>
        </w:rPr>
        <w:fldChar w:fldCharType="begin"/>
      </w:r>
      <w:r w:rsidR="0035399F" w:rsidRPr="00B845AF">
        <w:rPr>
          <w:rFonts w:asciiTheme="minorHAnsi" w:hAnsiTheme="minorHAnsi" w:cstheme="minorHAnsi"/>
        </w:rPr>
        <w:instrText xml:space="preserve"> TC "</w:instrText>
      </w:r>
      <w:bookmarkStart w:id="77" w:name="_Toc522810373"/>
      <w:bookmarkStart w:id="78" w:name="_Toc239261431"/>
      <w:r w:rsidR="0035399F" w:rsidRPr="00B845AF">
        <w:rPr>
          <w:rFonts w:asciiTheme="minorHAnsi" w:hAnsiTheme="minorHAnsi" w:cstheme="minorHAnsi"/>
        </w:rPr>
        <w:instrText xml:space="preserve">AGENDA ITEM </w:instrText>
      </w:r>
      <w:r w:rsidR="00A94320" w:rsidRPr="00B845AF">
        <w:rPr>
          <w:rFonts w:asciiTheme="minorHAnsi" w:hAnsiTheme="minorHAnsi" w:cstheme="minorHAnsi"/>
        </w:rPr>
        <w:instrText>9</w:instrText>
      </w:r>
      <w:r w:rsidR="0035399F" w:rsidRPr="00B845AF">
        <w:rPr>
          <w:rFonts w:asciiTheme="minorHAnsi" w:hAnsiTheme="minorHAnsi" w:cstheme="minorHAnsi"/>
        </w:rPr>
        <w:instrText xml:space="preserve"> — </w:instrText>
      </w:r>
      <w:bookmarkEnd w:id="77"/>
      <w:r w:rsidR="00A94320" w:rsidRPr="00B845AF">
        <w:rPr>
          <w:rFonts w:asciiTheme="minorHAnsi" w:hAnsiTheme="minorHAnsi" w:cstheme="minorHAnsi"/>
        </w:rPr>
        <w:instrText>SPECIAL REQUIREMENTS OF DEVELOPING STATES AND PARTICIPATING TERRITORIES</w:instrText>
      </w:r>
      <w:bookmarkEnd w:id="78"/>
      <w:r w:rsidR="00A94320" w:rsidRPr="00B845AF">
        <w:rPr>
          <w:rFonts w:asciiTheme="minorHAnsi" w:hAnsiTheme="minorHAnsi" w:cstheme="minorHAnsi"/>
        </w:rPr>
        <w:instrText xml:space="preserve"> </w:instrText>
      </w:r>
      <w:r w:rsidR="0035399F" w:rsidRPr="00B845AF">
        <w:rPr>
          <w:rFonts w:asciiTheme="minorHAnsi" w:hAnsiTheme="minorHAnsi" w:cstheme="minorHAnsi"/>
        </w:rPr>
        <w:instrText xml:space="preserve">" \f C \l "1" </w:instrText>
      </w:r>
      <w:r w:rsidRPr="00B845AF">
        <w:rPr>
          <w:rFonts w:asciiTheme="minorHAnsi" w:hAnsiTheme="minorHAnsi" w:cstheme="minorHAnsi"/>
        </w:rPr>
        <w:fldChar w:fldCharType="end"/>
      </w:r>
    </w:p>
    <w:p w14:paraId="39117905" w14:textId="3852C60D" w:rsidR="00E56EE0" w:rsidRPr="00B845AF" w:rsidRDefault="00937B49">
      <w:pPr>
        <w:pStyle w:val="SCtext"/>
        <w:rPr>
          <w:rFonts w:asciiTheme="minorHAnsi" w:hAnsiTheme="minorHAnsi" w:cstheme="minorHAnsi"/>
          <w:lang w:val="en-US"/>
        </w:rPr>
      </w:pPr>
      <w:r w:rsidRPr="00B845AF">
        <w:rPr>
          <w:rFonts w:asciiTheme="minorHAnsi" w:hAnsiTheme="minorHAnsi" w:cstheme="minorHAnsi"/>
          <w:lang w:val="en-US"/>
        </w:rPr>
        <w:t>The SC Chair noted that SC21 had highlighted practical barriers facing SIDS and Participating Territories, such as increasing workload, compressed timelines, and increasing data obligations, which present challenges for small delegations with limited capacity. No papers were associated with this agenda item.</w:t>
      </w:r>
    </w:p>
    <w:p w14:paraId="5A84B757" w14:textId="77777777" w:rsidR="00CE2523" w:rsidRPr="00B845AF" w:rsidRDefault="00CE2523" w:rsidP="00CE2523">
      <w:pPr>
        <w:pStyle w:val="SCtext"/>
        <w:numPr>
          <w:ilvl w:val="0"/>
          <w:numId w:val="0"/>
        </w:numPr>
        <w:rPr>
          <w:rFonts w:asciiTheme="minorHAnsi" w:hAnsiTheme="minorHAnsi" w:cstheme="minorHAnsi"/>
          <w:lang w:val="en-US"/>
        </w:rPr>
      </w:pPr>
    </w:p>
    <w:p w14:paraId="0F1BCB4B" w14:textId="405F7039" w:rsidR="00CE2523" w:rsidRPr="00B845AF" w:rsidRDefault="00CE2523">
      <w:pPr>
        <w:pStyle w:val="SCtext"/>
        <w:rPr>
          <w:rFonts w:asciiTheme="minorHAnsi" w:hAnsiTheme="minorHAnsi" w:cstheme="minorHAnsi"/>
          <w:lang w:val="en-US"/>
        </w:rPr>
      </w:pPr>
      <w:r w:rsidRPr="00B845AF">
        <w:rPr>
          <w:rFonts w:asciiTheme="minorHAnsi" w:hAnsiTheme="minorHAnsi" w:cstheme="minorHAnsi"/>
          <w:lang w:val="en-US"/>
        </w:rPr>
        <w:t xml:space="preserve">RMI, on behalf of the FFA members, stated that SC’s work supports the Commission’s decision-making under Article 12 of the Convention, and that this work has expanded significantly in scope and complexity over time. RMI, on behalf of the FFA members, considered it timely to reflect on how SC can continue to effectively deliver its functions while ensuring its processes, workload, meeting arrangements, and reporting requirements remain consistent with the Commission's obligations under Article 30 on the special requirements of SIDS, noting that the WCPO is largely made up of SIDS EEZs, from which more than 50% of the catch is taken. The FFA members clarified that this consideration was not about limiting SC’s work or the quality of scientific advice, but about ensuring SC’s processes remain inclusive and practical given SIDS’ capacity </w:t>
      </w:r>
      <w:r w:rsidR="00E96DBC" w:rsidRPr="00B845AF">
        <w:rPr>
          <w:rFonts w:asciiTheme="minorHAnsi" w:hAnsiTheme="minorHAnsi" w:cstheme="minorHAnsi"/>
          <w:lang w:val="en-US"/>
        </w:rPr>
        <w:t>constraints and</w:t>
      </w:r>
      <w:r w:rsidRPr="00B845AF">
        <w:rPr>
          <w:rFonts w:asciiTheme="minorHAnsi" w:hAnsiTheme="minorHAnsi" w:cstheme="minorHAnsi"/>
          <w:lang w:val="en-US"/>
        </w:rPr>
        <w:t xml:space="preserve"> indicated that other CCMs would speak to specific challenges.</w:t>
      </w:r>
    </w:p>
    <w:p w14:paraId="6FF2DFB2" w14:textId="77777777" w:rsidR="00CE2523" w:rsidRPr="00B845AF" w:rsidRDefault="00CE2523" w:rsidP="00CE2523">
      <w:pPr>
        <w:pStyle w:val="SCtext"/>
        <w:numPr>
          <w:ilvl w:val="0"/>
          <w:numId w:val="0"/>
        </w:numPr>
        <w:rPr>
          <w:rFonts w:asciiTheme="minorHAnsi" w:hAnsiTheme="minorHAnsi" w:cstheme="minorHAnsi"/>
          <w:lang w:val="en-US"/>
        </w:rPr>
      </w:pPr>
    </w:p>
    <w:p w14:paraId="5EF345C6" w14:textId="286105DD" w:rsidR="00CE2523" w:rsidRPr="00B845AF" w:rsidRDefault="00CE2523">
      <w:pPr>
        <w:pStyle w:val="SCtext"/>
        <w:rPr>
          <w:rFonts w:asciiTheme="minorHAnsi" w:hAnsiTheme="minorHAnsi" w:cstheme="minorHAnsi"/>
          <w:lang w:val="en-US"/>
        </w:rPr>
      </w:pPr>
      <w:r w:rsidRPr="00B845AF">
        <w:rPr>
          <w:rFonts w:asciiTheme="minorHAnsi" w:hAnsiTheme="minorHAnsi" w:cstheme="minorHAnsi"/>
          <w:lang w:val="en-US"/>
        </w:rPr>
        <w:t xml:space="preserve">Cook Islands, on behalf of the FFA members, addressing participation and effective engagement, noted that the increasing volume of agenda items, papers, and technical discussions is placing additional pressure on SIDS capacity to participate effectively; citing the list of documents circulated on 2 August, it noted 122 working and information papers (excluding CCM annual reports) had been circulated before the meeting. Cook Islands stated that balancing this workload against limited technical capacity and competing national priorities is particularly challenging, especially where paper availability timing limits adequate review and </w:t>
      </w:r>
      <w:r w:rsidR="00E96DBC" w:rsidRPr="00B845AF">
        <w:rPr>
          <w:rFonts w:asciiTheme="minorHAnsi" w:hAnsiTheme="minorHAnsi" w:cstheme="minorHAnsi"/>
          <w:lang w:val="en-US"/>
        </w:rPr>
        <w:t>preparation and</w:t>
      </w:r>
      <w:r w:rsidRPr="00B845AF">
        <w:rPr>
          <w:rFonts w:asciiTheme="minorHAnsi" w:hAnsiTheme="minorHAnsi" w:cstheme="minorHAnsi"/>
          <w:lang w:val="en-US"/>
        </w:rPr>
        <w:t xml:space="preserve"> reiterated the importance of timely availability of meeting documents and ensuring working papers are appropriately targeted and warrant SC</w:t>
      </w:r>
      <w:r w:rsidR="00112DB1" w:rsidRPr="00B845AF">
        <w:rPr>
          <w:rFonts w:asciiTheme="minorHAnsi" w:hAnsiTheme="minorHAnsi" w:cstheme="minorHAnsi"/>
          <w:lang w:val="en-US"/>
        </w:rPr>
        <w:t>’</w:t>
      </w:r>
      <w:r w:rsidRPr="00B845AF">
        <w:rPr>
          <w:rFonts w:asciiTheme="minorHAnsi" w:hAnsiTheme="minorHAnsi" w:cstheme="minorHAnsi"/>
          <w:lang w:val="en-US"/>
        </w:rPr>
        <w:t>s time and resources.</w:t>
      </w:r>
    </w:p>
    <w:p w14:paraId="3DDCE046" w14:textId="77777777" w:rsidR="00112DB1" w:rsidRPr="00B845AF" w:rsidRDefault="00112DB1" w:rsidP="00112DB1">
      <w:pPr>
        <w:pStyle w:val="SCtext"/>
        <w:numPr>
          <w:ilvl w:val="0"/>
          <w:numId w:val="0"/>
        </w:numPr>
        <w:rPr>
          <w:rFonts w:asciiTheme="minorHAnsi" w:hAnsiTheme="minorHAnsi" w:cstheme="minorHAnsi"/>
          <w:lang w:val="en-US"/>
        </w:rPr>
      </w:pPr>
    </w:p>
    <w:p w14:paraId="179E4702" w14:textId="35463B2C" w:rsidR="00112DB1" w:rsidRPr="00B845AF" w:rsidRDefault="00112DB1">
      <w:pPr>
        <w:pStyle w:val="SCtext"/>
        <w:rPr>
          <w:rFonts w:asciiTheme="minorHAnsi" w:hAnsiTheme="minorHAnsi" w:cstheme="minorHAnsi"/>
          <w:lang w:val="en-US"/>
        </w:rPr>
      </w:pPr>
      <w:r w:rsidRPr="00B845AF">
        <w:rPr>
          <w:rFonts w:asciiTheme="minorHAnsi" w:hAnsiTheme="minorHAnsi" w:cstheme="minorHAnsi"/>
          <w:lang w:val="en-US"/>
        </w:rPr>
        <w:t>Tonga, on behalf of the FFA members, addressing data reporting and technical requirements, stated full support for improving the quality, availability, and consistency of scientific data, but noted that consideration must be given to the practical implications of new data, reporting, and technical requirements for SIDS with limited capacity, since changes to reporting templates, additional data fields, or new monitoring initiatives may require investment in national systems, technical expertise, and institutional capacity. Tonga noted proposals currently under consideration, including the draft marine pollution measure and electronic monitoring, and emphasized that any associated requirements should be developed and implemented consistent with Article 30.</w:t>
      </w:r>
    </w:p>
    <w:p w14:paraId="6258D7D5" w14:textId="77777777" w:rsidR="009F1A55" w:rsidRPr="00B845AF" w:rsidRDefault="009F1A55" w:rsidP="009F1A55">
      <w:pPr>
        <w:pStyle w:val="SCtext"/>
        <w:numPr>
          <w:ilvl w:val="0"/>
          <w:numId w:val="0"/>
        </w:numPr>
        <w:rPr>
          <w:rFonts w:asciiTheme="minorHAnsi" w:hAnsiTheme="minorHAnsi" w:cstheme="minorHAnsi"/>
          <w:lang w:val="en-US"/>
        </w:rPr>
      </w:pPr>
    </w:p>
    <w:p w14:paraId="7AFCF958" w14:textId="64A90A23" w:rsidR="009F1A55" w:rsidRPr="00B845AF" w:rsidRDefault="009F1A55">
      <w:pPr>
        <w:pStyle w:val="SCtext"/>
        <w:rPr>
          <w:rFonts w:asciiTheme="minorHAnsi" w:hAnsiTheme="minorHAnsi" w:cstheme="minorHAnsi"/>
          <w:lang w:val="en-US"/>
        </w:rPr>
      </w:pPr>
      <w:r w:rsidRPr="00B845AF">
        <w:rPr>
          <w:rFonts w:asciiTheme="minorHAnsi" w:hAnsiTheme="minorHAnsi" w:cstheme="minorHAnsi"/>
          <w:lang w:val="en-US"/>
        </w:rPr>
        <w:t xml:space="preserve">Tuvalu, on behalf of the FFA members, addressing resource and capacity considerations, noted that scientific initiatives and management processes, including complex processes such as harvest strategy work, require sustained investment in data systems, monitoring infrastructure, scientific </w:t>
      </w:r>
      <w:r w:rsidRPr="00B845AF">
        <w:rPr>
          <w:rFonts w:asciiTheme="minorHAnsi" w:hAnsiTheme="minorHAnsi" w:cstheme="minorHAnsi"/>
          <w:lang w:val="en-US"/>
        </w:rPr>
        <w:lastRenderedPageBreak/>
        <w:t>expertise, technology, and institutional capability. Tuvalu emphasized the importance of integrating capacity building, technical assistance, and implementation considerations into these initiatives, recognizing that effective implementation requires more than the adoption of scientific approaches alone.</w:t>
      </w:r>
    </w:p>
    <w:p w14:paraId="43F6D4EE" w14:textId="77777777" w:rsidR="009F1A55" w:rsidRPr="00B845AF" w:rsidRDefault="009F1A55" w:rsidP="009F1A55">
      <w:pPr>
        <w:pStyle w:val="SCtext"/>
        <w:numPr>
          <w:ilvl w:val="0"/>
          <w:numId w:val="0"/>
        </w:numPr>
        <w:rPr>
          <w:rFonts w:asciiTheme="minorHAnsi" w:hAnsiTheme="minorHAnsi" w:cstheme="minorHAnsi"/>
          <w:lang w:val="en-US"/>
        </w:rPr>
      </w:pPr>
    </w:p>
    <w:p w14:paraId="6B2AD137" w14:textId="443166C8" w:rsidR="009F1A55" w:rsidRPr="00B845AF" w:rsidRDefault="009F1A55">
      <w:pPr>
        <w:pStyle w:val="SCtext"/>
        <w:rPr>
          <w:rFonts w:asciiTheme="minorHAnsi" w:hAnsiTheme="minorHAnsi" w:cstheme="minorHAnsi"/>
          <w:lang w:val="en-US"/>
        </w:rPr>
      </w:pPr>
      <w:r w:rsidRPr="00B845AF">
        <w:rPr>
          <w:rFonts w:asciiTheme="minorHAnsi" w:hAnsiTheme="minorHAnsi" w:cstheme="minorHAnsi"/>
          <w:lang w:val="en-US"/>
        </w:rPr>
        <w:t>P</w:t>
      </w:r>
      <w:r w:rsidR="00745D3C" w:rsidRPr="00B845AF">
        <w:rPr>
          <w:rFonts w:asciiTheme="minorHAnsi" w:hAnsiTheme="minorHAnsi" w:cstheme="minorHAnsi"/>
          <w:lang w:val="en-US"/>
        </w:rPr>
        <w:t>NG</w:t>
      </w:r>
      <w:r w:rsidRPr="00B845AF">
        <w:rPr>
          <w:rFonts w:asciiTheme="minorHAnsi" w:hAnsiTheme="minorHAnsi" w:cstheme="minorHAnsi"/>
          <w:lang w:val="en-US"/>
        </w:rPr>
        <w:t>, on behalf of the FFA members, addressing SC workload and prioritization, acknowledged SC</w:t>
      </w:r>
      <w:r w:rsidR="00745D3C" w:rsidRPr="00B845AF">
        <w:rPr>
          <w:rFonts w:asciiTheme="minorHAnsi" w:hAnsiTheme="minorHAnsi" w:cstheme="minorHAnsi"/>
          <w:lang w:val="en-US"/>
        </w:rPr>
        <w:t>’</w:t>
      </w:r>
      <w:r w:rsidRPr="00B845AF">
        <w:rPr>
          <w:rFonts w:asciiTheme="minorHAnsi" w:hAnsiTheme="minorHAnsi" w:cstheme="minorHAnsi"/>
          <w:lang w:val="en-US"/>
        </w:rPr>
        <w:t>s expanding work program and considered there to be value in considering how priorities are identified, sequenced, and managed to ensure SC</w:t>
      </w:r>
      <w:r w:rsidR="00745D3C" w:rsidRPr="00B845AF">
        <w:rPr>
          <w:rFonts w:asciiTheme="minorHAnsi" w:hAnsiTheme="minorHAnsi" w:cstheme="minorHAnsi"/>
          <w:lang w:val="en-US"/>
        </w:rPr>
        <w:t>’</w:t>
      </w:r>
      <w:r w:rsidRPr="00B845AF">
        <w:rPr>
          <w:rFonts w:asciiTheme="minorHAnsi" w:hAnsiTheme="minorHAnsi" w:cstheme="minorHAnsi"/>
          <w:lang w:val="en-US"/>
        </w:rPr>
        <w:t>s effective function, including opportunities to improve efficiency and streamline processes where appropriate, consistent with SC</w:t>
      </w:r>
      <w:r w:rsidR="00745D3C" w:rsidRPr="00B845AF">
        <w:rPr>
          <w:rFonts w:asciiTheme="minorHAnsi" w:hAnsiTheme="minorHAnsi" w:cstheme="minorHAnsi"/>
          <w:lang w:val="en-US"/>
        </w:rPr>
        <w:t>’</w:t>
      </w:r>
      <w:r w:rsidRPr="00B845AF">
        <w:rPr>
          <w:rFonts w:asciiTheme="minorHAnsi" w:hAnsiTheme="minorHAnsi" w:cstheme="minorHAnsi"/>
          <w:lang w:val="en-US"/>
        </w:rPr>
        <w:t>s core functions. P</w:t>
      </w:r>
      <w:r w:rsidR="00745D3C" w:rsidRPr="00B845AF">
        <w:rPr>
          <w:rFonts w:asciiTheme="minorHAnsi" w:hAnsiTheme="minorHAnsi" w:cstheme="minorHAnsi"/>
          <w:lang w:val="en-US"/>
        </w:rPr>
        <w:t>NG</w:t>
      </w:r>
      <w:r w:rsidRPr="00B845AF">
        <w:rPr>
          <w:rFonts w:asciiTheme="minorHAnsi" w:hAnsiTheme="minorHAnsi" w:cstheme="minorHAnsi"/>
          <w:lang w:val="en-US"/>
        </w:rPr>
        <w:t xml:space="preserve"> noted this would be discussed further under Agenda Item 11, and, in summary, recommended that SC22 emphasize the importance of ensuring the SC work program, processes, and scientific requirements are prioritized and implemented consistent with Article 30, taking into account the constraints and special requirements of SIDS and territories.</w:t>
      </w:r>
    </w:p>
    <w:p w14:paraId="3640E717" w14:textId="72EE2E6D" w:rsidR="00EB5453" w:rsidRPr="00B845AF" w:rsidRDefault="00EB5453" w:rsidP="00EB5453">
      <w:pPr>
        <w:pStyle w:val="SCtext"/>
        <w:numPr>
          <w:ilvl w:val="0"/>
          <w:numId w:val="0"/>
        </w:numPr>
        <w:rPr>
          <w:rFonts w:asciiTheme="minorHAnsi" w:hAnsiTheme="minorHAnsi" w:cstheme="minorHAnsi"/>
          <w:lang w:val="en-US"/>
        </w:rPr>
      </w:pPr>
    </w:p>
    <w:p w14:paraId="3677F9F8" w14:textId="4B6F64AD" w:rsidR="00EB5453" w:rsidRPr="00B845AF" w:rsidRDefault="00EB5453" w:rsidP="00EB5453">
      <w:pPr>
        <w:pStyle w:val="SCDR"/>
        <w:rPr>
          <w:rFonts w:asciiTheme="minorHAnsi" w:hAnsiTheme="minorHAnsi" w:cstheme="minorHAnsi"/>
          <w:lang w:eastAsia="ja-JP"/>
        </w:rPr>
      </w:pPr>
      <w:r w:rsidRPr="00B845AF">
        <w:rPr>
          <w:rFonts w:asciiTheme="minorHAnsi" w:hAnsiTheme="minorHAnsi" w:cstheme="minorHAnsi"/>
          <w:lang w:eastAsia="ja-JP"/>
        </w:rPr>
        <w:t>Outcome</w:t>
      </w:r>
    </w:p>
    <w:p w14:paraId="7FBE578B" w14:textId="05A5FFC9" w:rsidR="00EB5453" w:rsidRPr="00B845AF" w:rsidRDefault="00181925">
      <w:pPr>
        <w:pStyle w:val="SCtext"/>
        <w:rPr>
          <w:rFonts w:asciiTheme="minorHAnsi" w:hAnsiTheme="minorHAnsi" w:cstheme="minorHAnsi"/>
          <w:lang w:val="en-US"/>
        </w:rPr>
      </w:pPr>
      <w:r w:rsidRPr="00B845AF">
        <w:rPr>
          <w:rFonts w:asciiTheme="minorHAnsi" w:hAnsiTheme="minorHAnsi" w:cstheme="minorHAnsi"/>
          <w:lang w:val="en-US"/>
        </w:rPr>
        <w:t xml:space="preserve">SC22 emphasised the importance of ensuring that the SC work programme, processes and scientific requirements be prioritised and implemented consistent with Article 30 of the WCPF Convention, </w:t>
      </w:r>
      <w:proofErr w:type="gramStart"/>
      <w:r w:rsidRPr="00B845AF">
        <w:rPr>
          <w:rFonts w:asciiTheme="minorHAnsi" w:hAnsiTheme="minorHAnsi" w:cstheme="minorHAnsi"/>
          <w:lang w:val="en-US"/>
        </w:rPr>
        <w:t>taking into account</w:t>
      </w:r>
      <w:proofErr w:type="gramEnd"/>
      <w:r w:rsidRPr="00B845AF">
        <w:rPr>
          <w:rFonts w:asciiTheme="minorHAnsi" w:hAnsiTheme="minorHAnsi" w:cstheme="minorHAnsi"/>
          <w:lang w:val="en-US"/>
        </w:rPr>
        <w:t xml:space="preserve"> the constraints and special requirements of Small Islands Developing States and Territories.</w:t>
      </w:r>
    </w:p>
    <w:p w14:paraId="6DCE6C3D" w14:textId="77777777" w:rsidR="00E56EE0" w:rsidRPr="00B845AF" w:rsidRDefault="00E56EE0" w:rsidP="003F6119">
      <w:pPr>
        <w:kinsoku w:val="0"/>
        <w:overflowPunct w:val="0"/>
        <w:autoSpaceDE w:val="0"/>
        <w:autoSpaceDN w:val="0"/>
        <w:jc w:val="center"/>
        <w:rPr>
          <w:rFonts w:asciiTheme="minorHAnsi" w:hAnsiTheme="minorHAnsi" w:cstheme="minorHAnsi"/>
          <w:b/>
          <w:szCs w:val="22"/>
        </w:rPr>
      </w:pPr>
    </w:p>
    <w:p w14:paraId="52978D77" w14:textId="77777777" w:rsidR="00B95E03" w:rsidRPr="00B845AF" w:rsidRDefault="00B95E03" w:rsidP="003F6119">
      <w:pPr>
        <w:kinsoku w:val="0"/>
        <w:overflowPunct w:val="0"/>
        <w:autoSpaceDE w:val="0"/>
        <w:autoSpaceDN w:val="0"/>
        <w:jc w:val="center"/>
        <w:rPr>
          <w:rFonts w:asciiTheme="minorHAnsi" w:hAnsiTheme="minorHAnsi" w:cstheme="minorHAnsi"/>
          <w:b/>
          <w:szCs w:val="22"/>
        </w:rPr>
      </w:pPr>
    </w:p>
    <w:p w14:paraId="54A1CF3D" w14:textId="2C2E588C" w:rsidR="008C4D87" w:rsidRPr="00B845AF" w:rsidRDefault="00645E8E" w:rsidP="009A74D6">
      <w:pPr>
        <w:pStyle w:val="Heading1"/>
        <w:numPr>
          <w:ilvl w:val="0"/>
          <w:numId w:val="0"/>
        </w:numPr>
        <w:adjustRightInd w:val="0"/>
        <w:snapToGrid w:val="0"/>
        <w:spacing w:after="0"/>
        <w:ind w:left="720" w:hanging="360"/>
        <w:rPr>
          <w:rFonts w:asciiTheme="minorHAnsi" w:hAnsiTheme="minorHAnsi" w:cstheme="minorHAnsi"/>
        </w:rPr>
      </w:pPr>
      <w:r w:rsidRPr="00B845AF">
        <w:rPr>
          <w:rFonts w:asciiTheme="minorHAnsi" w:hAnsiTheme="minorHAnsi" w:cstheme="minorHAnsi"/>
        </w:rPr>
        <w:t xml:space="preserve">AGENDA ITEM </w:t>
      </w:r>
      <w:r w:rsidR="00EE2F50" w:rsidRPr="00B845AF">
        <w:rPr>
          <w:rFonts w:asciiTheme="minorHAnsi" w:hAnsiTheme="minorHAnsi" w:cstheme="minorHAnsi"/>
        </w:rPr>
        <w:t xml:space="preserve">10 </w:t>
      </w:r>
      <w:r w:rsidRPr="00B845AF">
        <w:rPr>
          <w:rFonts w:asciiTheme="minorHAnsi" w:hAnsiTheme="minorHAnsi" w:cstheme="minorHAnsi"/>
        </w:rPr>
        <w:t xml:space="preserve">— </w:t>
      </w:r>
      <w:r w:rsidR="005F1BF3" w:rsidRPr="00B845AF">
        <w:rPr>
          <w:rFonts w:asciiTheme="minorHAnsi" w:hAnsiTheme="minorHAnsi" w:cstheme="minorHAnsi"/>
        </w:rPr>
        <w:t>FUTURE WORK</w:t>
      </w:r>
      <w:r w:rsidR="00D11035" w:rsidRPr="00B845AF">
        <w:rPr>
          <w:rFonts w:asciiTheme="minorHAnsi" w:hAnsiTheme="minorHAnsi" w:cstheme="minorHAnsi"/>
        </w:rPr>
        <w:t xml:space="preserve"> PROGRAM</w:t>
      </w:r>
      <w:r w:rsidR="005F1BF3" w:rsidRPr="00B845AF">
        <w:rPr>
          <w:rFonts w:asciiTheme="minorHAnsi" w:hAnsiTheme="minorHAnsi" w:cstheme="minorHAnsi"/>
        </w:rPr>
        <w:t xml:space="preserve"> AND BUDGET</w:t>
      </w:r>
      <w:r w:rsidR="008C4D87" w:rsidRPr="00B845AF">
        <w:rPr>
          <w:rFonts w:asciiTheme="minorHAnsi" w:hAnsiTheme="minorHAnsi" w:cstheme="minorHAnsi"/>
        </w:rPr>
        <w:fldChar w:fldCharType="begin"/>
      </w:r>
      <w:r w:rsidR="008C4D87" w:rsidRPr="00B845AF">
        <w:rPr>
          <w:rFonts w:asciiTheme="minorHAnsi" w:hAnsiTheme="minorHAnsi" w:cstheme="minorHAnsi"/>
        </w:rPr>
        <w:instrText>TC "</w:instrText>
      </w:r>
      <w:bookmarkStart w:id="79" w:name="_Toc239261432"/>
      <w:r w:rsidR="008C4D87" w:rsidRPr="00B845AF">
        <w:rPr>
          <w:rFonts w:asciiTheme="minorHAnsi" w:hAnsiTheme="minorHAnsi" w:cstheme="minorHAnsi"/>
        </w:rPr>
        <w:instrText xml:space="preserve">AGENDA ITEM 10 — </w:instrText>
      </w:r>
      <w:r w:rsidR="008C4D87" w:rsidRPr="00B845AF">
        <w:rPr>
          <w:rFonts w:asciiTheme="minorHAnsi" w:hAnsiTheme="minorHAnsi" w:cstheme="minorHAnsi"/>
          <w:bCs w:val="0"/>
        </w:rPr>
        <w:instrText>FUTURE WORKPLAN AND BUDGET</w:instrText>
      </w:r>
      <w:bookmarkEnd w:id="79"/>
      <w:r w:rsidR="008C4D87" w:rsidRPr="00B845AF">
        <w:rPr>
          <w:rFonts w:asciiTheme="minorHAnsi" w:hAnsiTheme="minorHAnsi" w:cstheme="minorHAnsi"/>
        </w:rPr>
        <w:instrText>" \f C \l "1"</w:instrText>
      </w:r>
      <w:r w:rsidR="008C4D87" w:rsidRPr="00B845AF">
        <w:rPr>
          <w:rFonts w:asciiTheme="minorHAnsi" w:hAnsiTheme="minorHAnsi" w:cstheme="minorHAnsi"/>
        </w:rPr>
        <w:fldChar w:fldCharType="end"/>
      </w:r>
    </w:p>
    <w:p w14:paraId="21327A29" w14:textId="5E98400F" w:rsidR="005B1AC4" w:rsidRPr="00B845AF" w:rsidRDefault="005B1AC4" w:rsidP="009A74D6">
      <w:pPr>
        <w:pStyle w:val="Heading1"/>
        <w:numPr>
          <w:ilvl w:val="0"/>
          <w:numId w:val="0"/>
        </w:numPr>
        <w:spacing w:after="0"/>
        <w:ind w:left="720"/>
        <w:jc w:val="left"/>
        <w:rPr>
          <w:rFonts w:asciiTheme="minorHAnsi" w:hAnsiTheme="minorHAnsi" w:cstheme="minorHAnsi"/>
        </w:rPr>
      </w:pPr>
    </w:p>
    <w:p w14:paraId="7F44CB9E" w14:textId="77777777" w:rsidR="00745F20" w:rsidRPr="00B845AF" w:rsidRDefault="00745F20">
      <w:pPr>
        <w:pStyle w:val="ListParagraph"/>
        <w:keepNext/>
        <w:numPr>
          <w:ilvl w:val="0"/>
          <w:numId w:val="7"/>
        </w:numPr>
        <w:suppressLineNumbers/>
        <w:adjustRightInd w:val="0"/>
        <w:snapToGrid w:val="0"/>
        <w:jc w:val="both"/>
        <w:outlineLvl w:val="1"/>
        <w:rPr>
          <w:rFonts w:asciiTheme="minorHAnsi" w:hAnsiTheme="minorHAnsi" w:cstheme="minorHAnsi"/>
          <w:b/>
          <w:vanish/>
          <w:szCs w:val="22"/>
        </w:rPr>
      </w:pPr>
    </w:p>
    <w:p w14:paraId="130778B7" w14:textId="77777777" w:rsidR="00745F20" w:rsidRPr="00B845AF" w:rsidRDefault="00745F20">
      <w:pPr>
        <w:pStyle w:val="ListParagraph"/>
        <w:keepNext/>
        <w:numPr>
          <w:ilvl w:val="0"/>
          <w:numId w:val="7"/>
        </w:numPr>
        <w:suppressLineNumbers/>
        <w:adjustRightInd w:val="0"/>
        <w:snapToGrid w:val="0"/>
        <w:jc w:val="both"/>
        <w:outlineLvl w:val="1"/>
        <w:rPr>
          <w:rFonts w:asciiTheme="minorHAnsi" w:hAnsiTheme="minorHAnsi" w:cstheme="minorHAnsi"/>
          <w:b/>
          <w:vanish/>
          <w:szCs w:val="22"/>
        </w:rPr>
      </w:pPr>
    </w:p>
    <w:p w14:paraId="6B805067" w14:textId="77777777" w:rsidR="00745F20" w:rsidRPr="00B845AF" w:rsidRDefault="00745F20">
      <w:pPr>
        <w:pStyle w:val="ListParagraph"/>
        <w:keepNext/>
        <w:numPr>
          <w:ilvl w:val="0"/>
          <w:numId w:val="7"/>
        </w:numPr>
        <w:suppressLineNumbers/>
        <w:adjustRightInd w:val="0"/>
        <w:snapToGrid w:val="0"/>
        <w:spacing w:after="220"/>
        <w:jc w:val="both"/>
        <w:outlineLvl w:val="1"/>
        <w:rPr>
          <w:rFonts w:asciiTheme="minorHAnsi" w:hAnsiTheme="minorHAnsi" w:cstheme="minorHAnsi"/>
          <w:b/>
          <w:vanish/>
          <w:szCs w:val="22"/>
        </w:rPr>
      </w:pPr>
    </w:p>
    <w:p w14:paraId="7FA7E9BE" w14:textId="77777777" w:rsidR="00745F20" w:rsidRPr="00B845AF" w:rsidRDefault="00745F20">
      <w:pPr>
        <w:pStyle w:val="ListParagraph"/>
        <w:keepNext/>
        <w:numPr>
          <w:ilvl w:val="0"/>
          <w:numId w:val="7"/>
        </w:numPr>
        <w:suppressLineNumbers/>
        <w:adjustRightInd w:val="0"/>
        <w:snapToGrid w:val="0"/>
        <w:spacing w:after="220"/>
        <w:jc w:val="both"/>
        <w:outlineLvl w:val="1"/>
        <w:rPr>
          <w:rFonts w:asciiTheme="minorHAnsi" w:hAnsiTheme="minorHAnsi" w:cstheme="minorHAnsi"/>
          <w:b/>
          <w:vanish/>
          <w:szCs w:val="22"/>
        </w:rPr>
      </w:pPr>
    </w:p>
    <w:p w14:paraId="58C418A8" w14:textId="5D438E9D" w:rsidR="00D73484" w:rsidRPr="00B845AF" w:rsidRDefault="00745F20">
      <w:pPr>
        <w:pStyle w:val="SC2"/>
        <w:rPr>
          <w:rFonts w:asciiTheme="minorHAnsi" w:hAnsiTheme="minorHAnsi" w:cstheme="minorHAnsi"/>
        </w:rPr>
      </w:pPr>
      <w:r w:rsidRPr="00B845AF">
        <w:rPr>
          <w:rFonts w:asciiTheme="minorHAnsi" w:hAnsiTheme="minorHAnsi" w:cstheme="minorHAnsi"/>
        </w:rPr>
        <w:t>Development</w:t>
      </w:r>
      <w:r w:rsidRPr="00B845AF">
        <w:rPr>
          <w:rFonts w:asciiTheme="minorHAnsi" w:eastAsiaTheme="minorEastAsia" w:hAnsiTheme="minorHAnsi" w:cstheme="minorHAnsi"/>
          <w:lang w:eastAsia="ko-KR"/>
        </w:rPr>
        <w:t xml:space="preserve"> of the 202</w:t>
      </w:r>
      <w:r w:rsidR="00D11035" w:rsidRPr="00B845AF">
        <w:rPr>
          <w:rFonts w:asciiTheme="minorHAnsi" w:eastAsiaTheme="minorEastAsia" w:hAnsiTheme="minorHAnsi" w:cstheme="minorHAnsi"/>
          <w:lang w:eastAsia="ko-KR"/>
        </w:rPr>
        <w:t>7</w:t>
      </w:r>
      <w:r w:rsidRPr="00B845AF">
        <w:rPr>
          <w:rFonts w:asciiTheme="minorHAnsi" w:eastAsiaTheme="minorEastAsia" w:hAnsiTheme="minorHAnsi" w:cstheme="minorHAnsi"/>
          <w:lang w:eastAsia="ko-KR"/>
        </w:rPr>
        <w:t xml:space="preserve"> work program and budget, and projection of 202</w:t>
      </w:r>
      <w:r w:rsidR="00D11035" w:rsidRPr="00B845AF">
        <w:rPr>
          <w:rFonts w:asciiTheme="minorHAnsi" w:eastAsiaTheme="minorEastAsia" w:hAnsiTheme="minorHAnsi" w:cstheme="minorHAnsi"/>
          <w:lang w:eastAsia="ko-KR"/>
        </w:rPr>
        <w:t>8</w:t>
      </w:r>
      <w:r w:rsidRPr="00B845AF">
        <w:rPr>
          <w:rFonts w:asciiTheme="minorHAnsi" w:eastAsiaTheme="minorEastAsia" w:hAnsiTheme="minorHAnsi" w:cstheme="minorHAnsi"/>
          <w:lang w:eastAsia="ko-KR"/>
        </w:rPr>
        <w:t>-202</w:t>
      </w:r>
      <w:r w:rsidR="00D11035" w:rsidRPr="00B845AF">
        <w:rPr>
          <w:rFonts w:asciiTheme="minorHAnsi" w:eastAsiaTheme="minorEastAsia" w:hAnsiTheme="minorHAnsi" w:cstheme="minorHAnsi"/>
          <w:lang w:eastAsia="ko-KR"/>
        </w:rPr>
        <w:t>9</w:t>
      </w:r>
      <w:r w:rsidRPr="00B845AF">
        <w:rPr>
          <w:rFonts w:asciiTheme="minorHAnsi" w:eastAsiaTheme="minorEastAsia" w:hAnsiTheme="minorHAnsi" w:cstheme="minorHAnsi"/>
          <w:lang w:eastAsia="ko-KR"/>
        </w:rPr>
        <w:t xml:space="preserve"> provisional work program and indicative budg</w:t>
      </w:r>
      <w:r w:rsidR="00B501DC" w:rsidRPr="00B845AF">
        <w:rPr>
          <w:rFonts w:asciiTheme="minorHAnsi" w:eastAsiaTheme="minorEastAsia" w:hAnsiTheme="minorHAnsi" w:cstheme="minorHAnsi"/>
          <w:lang w:eastAsia="ko-KR"/>
        </w:rPr>
        <w:t>et</w:t>
      </w:r>
    </w:p>
    <w:p w14:paraId="536436BD" w14:textId="1744972A" w:rsidR="00D73484" w:rsidRPr="00B845AF" w:rsidRDefault="00B501DC">
      <w:pPr>
        <w:pStyle w:val="SCtext"/>
        <w:rPr>
          <w:rFonts w:asciiTheme="minorHAnsi" w:hAnsiTheme="minorHAnsi" w:cstheme="minorHAnsi"/>
          <w:lang w:val="en-US"/>
        </w:rPr>
      </w:pPr>
      <w:r w:rsidRPr="00B845AF">
        <w:rPr>
          <w:rFonts w:asciiTheme="minorHAnsi" w:hAnsiTheme="minorHAnsi" w:cstheme="minorHAnsi"/>
          <w:lang w:val="en-US"/>
        </w:rPr>
        <w:t>The SPC-OFP provided the following specific list as 202</w:t>
      </w:r>
      <w:r w:rsidR="004B3E88" w:rsidRPr="00B845AF">
        <w:rPr>
          <w:rFonts w:asciiTheme="minorHAnsi" w:hAnsiTheme="minorHAnsi" w:cstheme="minorHAnsi"/>
          <w:lang w:val="en-US"/>
        </w:rPr>
        <w:t>7</w:t>
      </w:r>
      <w:r w:rsidRPr="00B845AF">
        <w:rPr>
          <w:rFonts w:asciiTheme="minorHAnsi" w:hAnsiTheme="minorHAnsi" w:cstheme="minorHAnsi"/>
          <w:lang w:val="en-US"/>
        </w:rPr>
        <w:t xml:space="preserve"> priority work</w:t>
      </w:r>
      <w:r w:rsidR="004B3E88" w:rsidRPr="00B845AF">
        <w:rPr>
          <w:rFonts w:asciiTheme="minorHAnsi" w:hAnsiTheme="minorHAnsi" w:cstheme="minorHAnsi"/>
          <w:lang w:val="en-US"/>
        </w:rPr>
        <w:t>:</w:t>
      </w:r>
    </w:p>
    <w:p w14:paraId="3D67DCE2" w14:textId="54918D89" w:rsidR="004B3E88" w:rsidRPr="00B845AF" w:rsidRDefault="004B3E88" w:rsidP="004B3E88">
      <w:pPr>
        <w:pStyle w:val="SCtext"/>
        <w:numPr>
          <w:ilvl w:val="0"/>
          <w:numId w:val="0"/>
        </w:numPr>
        <w:rPr>
          <w:rFonts w:asciiTheme="minorHAnsi" w:hAnsiTheme="minorHAnsi" w:cstheme="minorHAnsi"/>
          <w:lang w:val="en-US"/>
        </w:rPr>
      </w:pPr>
    </w:p>
    <w:p w14:paraId="6130FAE6"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South Pacific albacore tuna stock assessment;</w:t>
      </w:r>
    </w:p>
    <w:p w14:paraId="2F16251E"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Refinement of the 2026 yellowfin tuna stock assessment;</w:t>
      </w:r>
    </w:p>
    <w:p w14:paraId="7F9AC863"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Ongoing development work on WCPO tuna stock assessments;</w:t>
      </w:r>
    </w:p>
    <w:p w14:paraId="70066BA8"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Development, support, and consolidation work on MULTIFAN-CL and related software;</w:t>
      </w:r>
    </w:p>
    <w:p w14:paraId="415D093D"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Ongoing work on improving the workflow and systems for efficient repeatability of stock assessments and supporting analyses;</w:t>
      </w:r>
    </w:p>
    <w:p w14:paraId="293830B8"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Analytical support for management needs, such as TRPs and harvest strategies, CMM evaluations, that lie outside of existing externally funded work;</w:t>
      </w:r>
    </w:p>
    <w:p w14:paraId="6BB1C83A"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Improvements to standardized data submission templates and web-based submission process;</w:t>
      </w:r>
    </w:p>
    <w:p w14:paraId="1E5B3A8E"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Ongoing work to enhance CCM access to Commission-managed data assets;</w:t>
      </w:r>
    </w:p>
    <w:p w14:paraId="2CE21934"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 xml:space="preserve">Technical and analytical support to WCPFC meetings called in 2027, </w:t>
      </w:r>
      <w:proofErr w:type="gramStart"/>
      <w:r w:rsidRPr="00B845AF">
        <w:rPr>
          <w:rFonts w:asciiTheme="minorHAnsi" w:hAnsiTheme="minorHAnsi" w:cstheme="minorHAnsi"/>
          <w:lang w:val="en-US"/>
        </w:rPr>
        <w:t>in particular for</w:t>
      </w:r>
      <w:proofErr w:type="gramEnd"/>
      <w:r w:rsidRPr="00B845AF">
        <w:rPr>
          <w:rFonts w:asciiTheme="minorHAnsi" w:hAnsiTheme="minorHAnsi" w:cstheme="minorHAnsi"/>
          <w:lang w:val="en-US"/>
        </w:rPr>
        <w:t xml:space="preserve"> the tropical tuna CMM re-negotiation; </w:t>
      </w:r>
    </w:p>
    <w:p w14:paraId="78ED9B88"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Ongoing work on assessment diagnostics based on SC discussions;</w:t>
      </w:r>
    </w:p>
    <w:p w14:paraId="4E74A0B9"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 xml:space="preserve">Organisation, technical input and logistical support for the billfish and </w:t>
      </w:r>
      <w:proofErr w:type="gramStart"/>
      <w:r w:rsidRPr="00B845AF">
        <w:rPr>
          <w:rFonts w:asciiTheme="minorHAnsi" w:hAnsiTheme="minorHAnsi" w:cstheme="minorHAnsi"/>
          <w:lang w:val="en-US"/>
        </w:rPr>
        <w:t>sharks</w:t>
      </w:r>
      <w:proofErr w:type="gramEnd"/>
      <w:r w:rsidRPr="00B845AF">
        <w:rPr>
          <w:rFonts w:asciiTheme="minorHAnsi" w:hAnsiTheme="minorHAnsi" w:cstheme="minorHAnsi"/>
          <w:lang w:val="en-US"/>
        </w:rPr>
        <w:t xml:space="preserve"> assessment methods workshop, and other relevant workshops that are supported by WCPFC23 (e.g. tag modelling workshop, pending funding agreement);</w:t>
      </w:r>
    </w:p>
    <w:p w14:paraId="6B46BDD5" w14:textId="440CB18F" w:rsidR="004B3E88" w:rsidRPr="00B845AF" w:rsidRDefault="004B3E88" w:rsidP="00310EE1">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 xml:space="preserve">Delivery of 2027 </w:t>
      </w:r>
      <w:r w:rsidR="6E323B0B" w:rsidRPr="00B845AF">
        <w:rPr>
          <w:rFonts w:asciiTheme="minorHAnsi" w:hAnsiTheme="minorHAnsi" w:cstheme="minorHAnsi"/>
          <w:lang w:val="en-US"/>
        </w:rPr>
        <w:t>P</w:t>
      </w:r>
      <w:r w:rsidR="6FDD074B" w:rsidRPr="00B845AF">
        <w:rPr>
          <w:rFonts w:asciiTheme="minorHAnsi" w:hAnsiTheme="minorHAnsi" w:cstheme="minorHAnsi"/>
          <w:lang w:val="en-US"/>
        </w:rPr>
        <w:t>re</w:t>
      </w:r>
      <w:r w:rsidRPr="00B845AF">
        <w:rPr>
          <w:rFonts w:asciiTheme="minorHAnsi" w:hAnsiTheme="minorHAnsi" w:cstheme="minorHAnsi"/>
          <w:lang w:val="en-US"/>
        </w:rPr>
        <w:t>-assessment Workshop;</w:t>
      </w:r>
      <w:r w:rsidR="00310EE1" w:rsidRPr="00B845AF">
        <w:rPr>
          <w:rFonts w:asciiTheme="minorHAnsi" w:hAnsiTheme="minorHAnsi" w:cstheme="minorHAnsi"/>
          <w:lang w:val="en-US"/>
        </w:rPr>
        <w:t xml:space="preserve"> and</w:t>
      </w:r>
    </w:p>
    <w:p w14:paraId="13ED9269" w14:textId="77777777" w:rsidR="004B3E88" w:rsidRPr="00B845AF" w:rsidRDefault="004B3E88" w:rsidP="00D47778">
      <w:pPr>
        <w:pStyle w:val="SCtext"/>
        <w:numPr>
          <w:ilvl w:val="0"/>
          <w:numId w:val="31"/>
        </w:numPr>
        <w:rPr>
          <w:rFonts w:asciiTheme="minorHAnsi" w:hAnsiTheme="minorHAnsi" w:cstheme="minorHAnsi"/>
          <w:lang w:val="en-US"/>
        </w:rPr>
      </w:pPr>
      <w:r w:rsidRPr="00B845AF">
        <w:rPr>
          <w:rFonts w:asciiTheme="minorHAnsi" w:hAnsiTheme="minorHAnsi" w:cstheme="minorHAnsi"/>
          <w:lang w:val="en-US"/>
        </w:rPr>
        <w:t>Technical support and analysis for the FADMO-IWG.</w:t>
      </w:r>
    </w:p>
    <w:p w14:paraId="0694DB28" w14:textId="5CCC9E1D" w:rsidR="002169C0" w:rsidRPr="00B845AF" w:rsidRDefault="002169C0" w:rsidP="002169C0">
      <w:pPr>
        <w:rPr>
          <w:rFonts w:asciiTheme="minorHAnsi" w:eastAsiaTheme="minorEastAsia" w:hAnsiTheme="minorHAnsi" w:cstheme="minorHAnsi"/>
          <w:szCs w:val="22"/>
          <w:lang w:eastAsia="ko-KR"/>
        </w:rPr>
      </w:pPr>
    </w:p>
    <w:p w14:paraId="4EEEB735" w14:textId="77777777" w:rsidR="00B501DC" w:rsidRPr="00B845AF" w:rsidRDefault="00B501DC" w:rsidP="00B501DC">
      <w:pPr>
        <w:pStyle w:val="SCDR"/>
        <w:rPr>
          <w:rFonts w:asciiTheme="minorHAnsi" w:hAnsiTheme="minorHAnsi" w:cstheme="minorHAnsi"/>
        </w:rPr>
      </w:pPr>
      <w:r w:rsidRPr="00B845AF">
        <w:rPr>
          <w:rFonts w:asciiTheme="minorHAnsi" w:hAnsiTheme="minorHAnsi" w:cstheme="minorHAnsi"/>
        </w:rPr>
        <w:lastRenderedPageBreak/>
        <w:t>Outcome</w:t>
      </w:r>
    </w:p>
    <w:p w14:paraId="36F75036" w14:textId="786F3C71" w:rsidR="00B501DC" w:rsidRPr="00B845AF" w:rsidRDefault="003037E6">
      <w:pPr>
        <w:pStyle w:val="SCtext"/>
        <w:rPr>
          <w:rFonts w:asciiTheme="minorHAnsi" w:hAnsiTheme="minorHAnsi" w:cstheme="minorHAnsi"/>
          <w:b/>
          <w:bCs/>
          <w:lang w:val="en-US"/>
        </w:rPr>
      </w:pPr>
      <w:r w:rsidRPr="00B845AF">
        <w:rPr>
          <w:rFonts w:asciiTheme="minorHAnsi" w:hAnsiTheme="minorHAnsi" w:cstheme="minorHAnsi"/>
          <w:b/>
          <w:bCs/>
          <w:lang w:val="en-US"/>
        </w:rPr>
        <w:t>SC22 recommended that the proposed work program and budget for 2027–2029 in Table WP01, together with CCM’s priority scores for the budgeted projects, be forwarded to FAC20 and WCPFC23 for consideration</w:t>
      </w:r>
      <w:r w:rsidR="00B501DC" w:rsidRPr="00B845AF">
        <w:rPr>
          <w:rFonts w:asciiTheme="minorHAnsi" w:hAnsiTheme="minorHAnsi" w:cstheme="minorHAnsi"/>
          <w:b/>
          <w:bCs/>
          <w:lang w:val="en-US"/>
        </w:rPr>
        <w:t>.</w:t>
      </w:r>
    </w:p>
    <w:p w14:paraId="436FC4FB" w14:textId="77777777" w:rsidR="009E175B" w:rsidRDefault="009E175B" w:rsidP="00415956">
      <w:pPr>
        <w:rPr>
          <w:rFonts w:asciiTheme="minorHAnsi" w:eastAsiaTheme="minorEastAsia" w:hAnsiTheme="minorHAnsi" w:cstheme="minorHAnsi"/>
          <w:b/>
          <w:bCs/>
          <w:szCs w:val="22"/>
          <w:lang w:eastAsia="ko-KR"/>
        </w:rPr>
      </w:pPr>
    </w:p>
    <w:p w14:paraId="1A5B4686" w14:textId="77777777" w:rsidR="00922BCB" w:rsidRDefault="00922BCB">
      <w:pPr>
        <w:rPr>
          <w:rFonts w:asciiTheme="minorHAnsi" w:eastAsiaTheme="minorEastAsia" w:hAnsiTheme="minorHAnsi" w:cstheme="minorHAnsi"/>
          <w:b/>
          <w:bCs/>
          <w:szCs w:val="22"/>
          <w:lang w:eastAsia="ko-KR"/>
        </w:rPr>
      </w:pPr>
      <w:r>
        <w:rPr>
          <w:rFonts w:asciiTheme="minorHAnsi" w:eastAsiaTheme="minorEastAsia" w:hAnsiTheme="minorHAnsi" w:cstheme="minorHAnsi"/>
          <w:b/>
          <w:bCs/>
          <w:szCs w:val="22"/>
          <w:lang w:eastAsia="ko-KR"/>
        </w:rPr>
        <w:br w:type="page"/>
      </w:r>
    </w:p>
    <w:p w14:paraId="6E4B5A36" w14:textId="77777777" w:rsidR="00922BCB" w:rsidRDefault="00922BCB" w:rsidP="00415956">
      <w:pPr>
        <w:rPr>
          <w:rFonts w:asciiTheme="minorHAnsi" w:eastAsiaTheme="minorEastAsia" w:hAnsiTheme="minorHAnsi" w:cstheme="minorHAnsi"/>
          <w:b/>
          <w:bCs/>
          <w:szCs w:val="22"/>
          <w:lang w:eastAsia="ko-KR"/>
        </w:rPr>
        <w:sectPr w:rsidR="00922BCB" w:rsidSect="00F14811">
          <w:footerReference w:type="first" r:id="rId111"/>
          <w:pgSz w:w="12240" w:h="15840" w:code="1"/>
          <w:pgMar w:top="1440" w:right="1440" w:bottom="1440" w:left="1440" w:header="720" w:footer="720" w:gutter="0"/>
          <w:cols w:space="720"/>
          <w:docGrid w:linePitch="360"/>
        </w:sectPr>
      </w:pPr>
    </w:p>
    <w:p w14:paraId="5899CC62" w14:textId="0EC698C4" w:rsidR="00922BCB" w:rsidRPr="00922BCB" w:rsidRDefault="00415956" w:rsidP="00922BCB">
      <w:pPr>
        <w:jc w:val="both"/>
        <w:rPr>
          <w:rFonts w:asciiTheme="minorHAnsi" w:eastAsiaTheme="minorEastAsia" w:hAnsiTheme="minorHAnsi" w:cstheme="minorHAnsi"/>
          <w:szCs w:val="22"/>
        </w:rPr>
      </w:pPr>
      <w:r w:rsidRPr="00B845AF">
        <w:rPr>
          <w:rFonts w:asciiTheme="minorHAnsi" w:eastAsiaTheme="minorEastAsia" w:hAnsiTheme="minorHAnsi" w:cstheme="minorHAnsi"/>
          <w:b/>
          <w:bCs/>
          <w:szCs w:val="22"/>
          <w:lang w:eastAsia="ko-KR"/>
        </w:rPr>
        <w:lastRenderedPageBreak/>
        <w:t xml:space="preserve">Table WP-01. </w:t>
      </w:r>
      <w:r w:rsidR="00B56EBB" w:rsidRPr="00B845AF">
        <w:rPr>
          <w:rFonts w:asciiTheme="minorHAnsi" w:eastAsiaTheme="minorEastAsia" w:hAnsiTheme="minorHAnsi" w:cstheme="minorHAnsi"/>
          <w:b/>
          <w:bCs/>
          <w:szCs w:val="22"/>
          <w:lang w:eastAsia="ko-KR"/>
        </w:rPr>
        <w:t xml:space="preserve">Recommended </w:t>
      </w:r>
      <w:r w:rsidRPr="00B845AF">
        <w:rPr>
          <w:rFonts w:asciiTheme="minorHAnsi" w:eastAsiaTheme="minorEastAsia" w:hAnsiTheme="minorHAnsi" w:cstheme="minorHAnsi"/>
          <w:b/>
          <w:bCs/>
          <w:szCs w:val="22"/>
          <w:lang w:eastAsia="ko-KR"/>
        </w:rPr>
        <w:t>future work program and budget table for 202</w:t>
      </w:r>
      <w:r w:rsidR="00D11035" w:rsidRPr="00B845AF">
        <w:rPr>
          <w:rFonts w:asciiTheme="minorHAnsi" w:eastAsiaTheme="minorEastAsia" w:hAnsiTheme="minorHAnsi" w:cstheme="minorHAnsi"/>
          <w:b/>
          <w:bCs/>
          <w:szCs w:val="22"/>
          <w:lang w:eastAsia="ko-KR"/>
        </w:rPr>
        <w:t>7</w:t>
      </w:r>
      <w:r w:rsidRPr="00B845AF">
        <w:rPr>
          <w:rFonts w:asciiTheme="minorHAnsi" w:eastAsiaTheme="minorEastAsia" w:hAnsiTheme="minorHAnsi" w:cstheme="minorHAnsi"/>
          <w:b/>
          <w:bCs/>
          <w:szCs w:val="22"/>
          <w:lang w:eastAsia="ko-KR"/>
        </w:rPr>
        <w:t xml:space="preserve"> – 202</w:t>
      </w:r>
      <w:r w:rsidR="00D11035" w:rsidRPr="00B845AF">
        <w:rPr>
          <w:rFonts w:asciiTheme="minorHAnsi" w:eastAsiaTheme="minorEastAsia" w:hAnsiTheme="minorHAnsi" w:cstheme="minorHAnsi"/>
          <w:b/>
          <w:bCs/>
          <w:szCs w:val="22"/>
          <w:lang w:eastAsia="ko-KR"/>
        </w:rPr>
        <w:t>9</w:t>
      </w:r>
      <w:r w:rsidRPr="00B845AF">
        <w:rPr>
          <w:rFonts w:asciiTheme="minorHAnsi" w:eastAsiaTheme="minorEastAsia" w:hAnsiTheme="minorHAnsi" w:cstheme="minorHAnsi"/>
          <w:b/>
          <w:bCs/>
          <w:szCs w:val="22"/>
          <w:lang w:eastAsia="ko-KR"/>
        </w:rPr>
        <w:t xml:space="preserve"> with CCMs’ priority scores</w:t>
      </w:r>
      <w:r w:rsidRPr="00B845AF">
        <w:rPr>
          <w:rFonts w:asciiTheme="minorHAnsi" w:eastAsiaTheme="minorEastAsia" w:hAnsiTheme="minorHAnsi" w:cstheme="minorHAnsi"/>
          <w:szCs w:val="22"/>
          <w:lang w:eastAsia="ko-KR"/>
        </w:rPr>
        <w:t>.</w:t>
      </w:r>
      <w:r w:rsidR="00922BCB">
        <w:rPr>
          <w:rFonts w:asciiTheme="minorHAnsi" w:eastAsiaTheme="minorEastAsia" w:hAnsiTheme="minorHAnsi" w:cstheme="minorHAnsi"/>
          <w:szCs w:val="22"/>
          <w:lang w:eastAsia="ko-KR"/>
        </w:rPr>
        <w:t xml:space="preserve"> </w:t>
      </w:r>
      <w:r w:rsidR="00922BCB" w:rsidRPr="00922BCB">
        <w:rPr>
          <w:rFonts w:asciiTheme="minorHAnsi" w:eastAsiaTheme="minorEastAsia" w:hAnsiTheme="minorHAnsi" w:cstheme="minorHAnsi"/>
          <w:szCs w:val="22"/>
          <w:lang w:eastAsia="ko-KR"/>
        </w:rPr>
        <w:t xml:space="preserve">The new project ID </w:t>
      </w:r>
      <w:r w:rsidR="00922BCB">
        <w:rPr>
          <w:rFonts w:asciiTheme="minorHAnsi" w:eastAsiaTheme="minorEastAsia" w:hAnsiTheme="minorHAnsi" w:cstheme="minorHAnsi"/>
          <w:szCs w:val="22"/>
          <w:lang w:eastAsia="ko-KR"/>
        </w:rPr>
        <w:t>“</w:t>
      </w:r>
      <w:r w:rsidR="00922BCB" w:rsidRPr="00922BCB">
        <w:rPr>
          <w:rFonts w:asciiTheme="minorHAnsi" w:eastAsiaTheme="minorEastAsia" w:hAnsiTheme="minorHAnsi" w:cstheme="minorHAnsi"/>
          <w:szCs w:val="22"/>
          <w:lang w:eastAsia="ko-KR"/>
        </w:rPr>
        <w:t>P2</w:t>
      </w:r>
      <w:r w:rsidR="00922BCB">
        <w:rPr>
          <w:rFonts w:asciiTheme="minorHAnsi" w:eastAsiaTheme="minorEastAsia" w:hAnsiTheme="minorHAnsi" w:cstheme="minorHAnsi"/>
          <w:szCs w:val="22"/>
          <w:lang w:eastAsia="ko-KR"/>
        </w:rPr>
        <w:t>2</w:t>
      </w:r>
      <w:r w:rsidR="00922BCB" w:rsidRPr="00922BCB">
        <w:rPr>
          <w:rFonts w:asciiTheme="minorHAnsi" w:eastAsiaTheme="minorEastAsia" w:hAnsiTheme="minorHAnsi" w:cstheme="minorHAnsi"/>
          <w:szCs w:val="22"/>
          <w:lang w:eastAsia="ko-KR"/>
        </w:rPr>
        <w:t>Xi</w:t>
      </w:r>
      <w:r w:rsidR="00922BCB">
        <w:rPr>
          <w:rFonts w:asciiTheme="minorHAnsi" w:eastAsiaTheme="minorEastAsia" w:hAnsiTheme="minorHAnsi" w:cstheme="minorHAnsi"/>
          <w:szCs w:val="22"/>
          <w:lang w:eastAsia="ko-KR"/>
        </w:rPr>
        <w:t>”</w:t>
      </w:r>
      <w:r w:rsidR="00922BCB" w:rsidRPr="00922BCB">
        <w:rPr>
          <w:rFonts w:asciiTheme="minorHAnsi" w:eastAsiaTheme="minorEastAsia" w:hAnsiTheme="minorHAnsi" w:cstheme="minorHAnsi"/>
          <w:szCs w:val="22"/>
          <w:lang w:eastAsia="ko-KR"/>
        </w:rPr>
        <w:t xml:space="preserve"> denotes an arbitrary identifier (Xi) proposed by SC2</w:t>
      </w:r>
      <w:r w:rsidR="00922BCB">
        <w:rPr>
          <w:rFonts w:asciiTheme="minorHAnsi" w:eastAsiaTheme="minorEastAsia" w:hAnsiTheme="minorHAnsi" w:cstheme="minorHAnsi"/>
          <w:szCs w:val="22"/>
          <w:lang w:eastAsia="ko-KR"/>
        </w:rPr>
        <w:t>2</w:t>
      </w:r>
      <w:r w:rsidR="00922BCB" w:rsidRPr="00922BCB">
        <w:rPr>
          <w:rFonts w:asciiTheme="minorHAnsi" w:eastAsiaTheme="minorEastAsia" w:hAnsiTheme="minorHAnsi" w:cstheme="minorHAnsi"/>
          <w:szCs w:val="22"/>
          <w:lang w:eastAsia="ko-KR"/>
        </w:rPr>
        <w:t xml:space="preserve">. </w:t>
      </w:r>
      <w:r w:rsidR="00922BCB" w:rsidRPr="00922BCB">
        <w:rPr>
          <w:rFonts w:asciiTheme="minorHAnsi" w:eastAsiaTheme="minorEastAsia" w:hAnsiTheme="minorHAnsi" w:cstheme="minorHAnsi"/>
          <w:szCs w:val="22"/>
        </w:rPr>
        <w:t xml:space="preserve">“N/A” in the “Data needs” column indicates that no specific data requirements were described in the </w:t>
      </w:r>
      <w:hyperlink r:id="rId112" w:history="1">
        <w:r w:rsidR="00922BCB" w:rsidRPr="00922BCB">
          <w:rPr>
            <w:rStyle w:val="Hyperlink"/>
            <w:rFonts w:asciiTheme="minorHAnsi" w:eastAsiaTheme="minorEastAsia" w:hAnsiTheme="minorHAnsi" w:cstheme="minorHAnsi"/>
            <w:szCs w:val="22"/>
          </w:rPr>
          <w:t>Terms of Reference</w:t>
        </w:r>
      </w:hyperlink>
      <w:r w:rsidR="00922BCB" w:rsidRPr="00922BCB">
        <w:rPr>
          <w:rFonts w:asciiTheme="minorHAnsi" w:eastAsiaTheme="minorEastAsia" w:hAnsiTheme="minorHAnsi" w:cstheme="minorHAnsi"/>
          <w:szCs w:val="2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156"/>
        <w:gridCol w:w="4206"/>
        <w:gridCol w:w="1292"/>
        <w:gridCol w:w="1292"/>
        <w:gridCol w:w="1292"/>
        <w:gridCol w:w="1671"/>
        <w:gridCol w:w="1254"/>
        <w:gridCol w:w="787"/>
      </w:tblGrid>
      <w:tr w:rsidR="00922BCB" w:rsidRPr="00922BCB" w14:paraId="0A38D84E" w14:textId="77777777" w:rsidTr="00922BCB">
        <w:tc>
          <w:tcPr>
            <w:tcW w:w="446" w:type="pct"/>
            <w:shd w:val="clear" w:color="000000" w:fill="BFBFBF"/>
            <w:noWrap/>
            <w:vAlign w:val="center"/>
            <w:hideMark/>
          </w:tcPr>
          <w:p w14:paraId="68A0A45E"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No.</w:t>
            </w:r>
          </w:p>
        </w:tc>
        <w:tc>
          <w:tcPr>
            <w:tcW w:w="1624" w:type="pct"/>
            <w:shd w:val="clear" w:color="000000" w:fill="BFBFBF"/>
            <w:vAlign w:val="center"/>
            <w:hideMark/>
          </w:tcPr>
          <w:p w14:paraId="75CE9598"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Project Title</w:t>
            </w:r>
          </w:p>
        </w:tc>
        <w:tc>
          <w:tcPr>
            <w:tcW w:w="499" w:type="pct"/>
            <w:shd w:val="clear" w:color="000000" w:fill="BFBFBF"/>
            <w:vAlign w:val="center"/>
            <w:hideMark/>
          </w:tcPr>
          <w:p w14:paraId="71D22BE5"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2027</w:t>
            </w:r>
          </w:p>
        </w:tc>
        <w:tc>
          <w:tcPr>
            <w:tcW w:w="499" w:type="pct"/>
            <w:shd w:val="clear" w:color="000000" w:fill="BFBFBF"/>
            <w:vAlign w:val="center"/>
            <w:hideMark/>
          </w:tcPr>
          <w:p w14:paraId="26EAF710"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2028</w:t>
            </w:r>
          </w:p>
        </w:tc>
        <w:tc>
          <w:tcPr>
            <w:tcW w:w="499" w:type="pct"/>
            <w:shd w:val="clear" w:color="000000" w:fill="BFBFBF"/>
            <w:vAlign w:val="center"/>
            <w:hideMark/>
          </w:tcPr>
          <w:p w14:paraId="1F14F8DB"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2029</w:t>
            </w:r>
          </w:p>
        </w:tc>
        <w:tc>
          <w:tcPr>
            <w:tcW w:w="645" w:type="pct"/>
            <w:shd w:val="clear" w:color="000000" w:fill="BFBFBF"/>
            <w:vAlign w:val="center"/>
            <w:hideMark/>
          </w:tcPr>
          <w:p w14:paraId="029BAD73" w14:textId="77777777" w:rsidR="00922BCB" w:rsidRPr="00922BCB" w:rsidRDefault="00922BCB" w:rsidP="00835632">
            <w:pPr>
              <w:jc w:val="cente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Notes</w:t>
            </w:r>
          </w:p>
        </w:tc>
        <w:tc>
          <w:tcPr>
            <w:tcW w:w="484" w:type="pct"/>
            <w:shd w:val="clear" w:color="000000" w:fill="BFBFBF"/>
            <w:vAlign w:val="center"/>
            <w:hideMark/>
          </w:tcPr>
          <w:p w14:paraId="71E613FF"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Data </w:t>
            </w:r>
            <w:r w:rsidRPr="00922BCB">
              <w:rPr>
                <w:rFonts w:asciiTheme="minorHAnsi" w:eastAsia="Yu Gothic" w:hAnsiTheme="minorHAnsi" w:cstheme="minorHAnsi"/>
                <w:b/>
                <w:bCs/>
                <w:sz w:val="20"/>
                <w:szCs w:val="20"/>
                <w:lang w:eastAsia="ja-JP"/>
              </w:rPr>
              <w:br/>
              <w:t>needs</w:t>
            </w:r>
          </w:p>
        </w:tc>
        <w:tc>
          <w:tcPr>
            <w:tcW w:w="304" w:type="pct"/>
            <w:shd w:val="clear" w:color="000000" w:fill="D9E1F2"/>
            <w:vAlign w:val="center"/>
            <w:hideMark/>
          </w:tcPr>
          <w:p w14:paraId="229A0830" w14:textId="77777777" w:rsidR="00922BCB" w:rsidRPr="00922BCB" w:rsidRDefault="00922BCB" w:rsidP="00835632">
            <w:pPr>
              <w:ind w:left="-63" w:right="-65"/>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AVG. Score</w:t>
            </w:r>
          </w:p>
        </w:tc>
      </w:tr>
      <w:tr w:rsidR="00922BCB" w:rsidRPr="00922BCB" w14:paraId="7E597764" w14:textId="77777777" w:rsidTr="00922BCB">
        <w:tc>
          <w:tcPr>
            <w:tcW w:w="446" w:type="pct"/>
            <w:shd w:val="clear" w:color="000000" w:fill="FFF2CC"/>
            <w:noWrap/>
            <w:hideMark/>
          </w:tcPr>
          <w:p w14:paraId="41CEEB06"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1624" w:type="pct"/>
            <w:shd w:val="clear" w:color="000000" w:fill="FFF2CC"/>
            <w:vAlign w:val="center"/>
            <w:hideMark/>
          </w:tcPr>
          <w:p w14:paraId="3A1B11FB"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Sub-item 1. Scientific services</w:t>
            </w:r>
          </w:p>
        </w:tc>
        <w:tc>
          <w:tcPr>
            <w:tcW w:w="499" w:type="pct"/>
            <w:shd w:val="clear" w:color="000000" w:fill="FFF2CC"/>
            <w:vAlign w:val="center"/>
            <w:hideMark/>
          </w:tcPr>
          <w:p w14:paraId="44E59FD3"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shd w:val="clear" w:color="000000" w:fill="FFF2CC"/>
            <w:vAlign w:val="center"/>
            <w:hideMark/>
          </w:tcPr>
          <w:p w14:paraId="38313B6B"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shd w:val="clear" w:color="000000" w:fill="FFF2CC"/>
            <w:noWrap/>
            <w:vAlign w:val="bottom"/>
            <w:hideMark/>
          </w:tcPr>
          <w:p w14:paraId="53C14293"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FFF2CC"/>
            <w:vAlign w:val="center"/>
            <w:hideMark/>
          </w:tcPr>
          <w:p w14:paraId="3823DEEA"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84" w:type="pct"/>
            <w:shd w:val="clear" w:color="000000" w:fill="FFF2CC"/>
            <w:vAlign w:val="center"/>
            <w:hideMark/>
          </w:tcPr>
          <w:p w14:paraId="4794BB32"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304" w:type="pct"/>
            <w:shd w:val="clear" w:color="000000" w:fill="FFF2CC"/>
            <w:noWrap/>
            <w:vAlign w:val="bottom"/>
            <w:hideMark/>
          </w:tcPr>
          <w:p w14:paraId="2FDE4DB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922BCB" w:rsidRPr="00922BCB" w14:paraId="01080B89" w14:textId="77777777" w:rsidTr="00922BCB">
        <w:tc>
          <w:tcPr>
            <w:tcW w:w="446" w:type="pct"/>
            <w:noWrap/>
            <w:hideMark/>
          </w:tcPr>
          <w:p w14:paraId="494643D2"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vAlign w:val="center"/>
            <w:hideMark/>
          </w:tcPr>
          <w:p w14:paraId="27A498F2"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SPC-OFP scientific services</w:t>
            </w:r>
          </w:p>
        </w:tc>
        <w:tc>
          <w:tcPr>
            <w:tcW w:w="499" w:type="pct"/>
            <w:noWrap/>
            <w:vAlign w:val="center"/>
            <w:hideMark/>
          </w:tcPr>
          <w:p w14:paraId="50305C66"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1,061,987</w:t>
            </w:r>
          </w:p>
        </w:tc>
        <w:tc>
          <w:tcPr>
            <w:tcW w:w="499" w:type="pct"/>
            <w:noWrap/>
            <w:vAlign w:val="center"/>
            <w:hideMark/>
          </w:tcPr>
          <w:p w14:paraId="6A55A585"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1,083,227</w:t>
            </w:r>
          </w:p>
        </w:tc>
        <w:tc>
          <w:tcPr>
            <w:tcW w:w="499" w:type="pct"/>
            <w:noWrap/>
            <w:vAlign w:val="center"/>
            <w:hideMark/>
          </w:tcPr>
          <w:p w14:paraId="72BBD1CE"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1,104,892</w:t>
            </w:r>
          </w:p>
        </w:tc>
        <w:tc>
          <w:tcPr>
            <w:tcW w:w="645" w:type="pct"/>
            <w:vAlign w:val="center"/>
            <w:hideMark/>
          </w:tcPr>
          <w:p w14:paraId="2A6CBAA8"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p>
        </w:tc>
        <w:tc>
          <w:tcPr>
            <w:tcW w:w="484" w:type="pct"/>
            <w:vAlign w:val="center"/>
            <w:hideMark/>
          </w:tcPr>
          <w:p w14:paraId="758D0BF6"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vAlign w:val="center"/>
            <w:hideMark/>
          </w:tcPr>
          <w:p w14:paraId="3F10C2A5"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5A5F6572" w14:textId="77777777" w:rsidTr="00922BCB">
        <w:tc>
          <w:tcPr>
            <w:tcW w:w="446" w:type="pct"/>
            <w:shd w:val="clear" w:color="000000" w:fill="B4C6E7"/>
            <w:noWrap/>
            <w:hideMark/>
          </w:tcPr>
          <w:p w14:paraId="2CAF4736"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shd w:val="clear" w:color="000000" w:fill="B4C6E7"/>
            <w:vAlign w:val="center"/>
            <w:hideMark/>
          </w:tcPr>
          <w:p w14:paraId="5B4B9E2F" w14:textId="77777777" w:rsidR="00922BCB" w:rsidRPr="00922BCB" w:rsidRDefault="00922BCB" w:rsidP="00835632">
            <w:pP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Sub-item 2. Scientific research</w:t>
            </w:r>
          </w:p>
        </w:tc>
        <w:tc>
          <w:tcPr>
            <w:tcW w:w="499" w:type="pct"/>
            <w:shd w:val="clear" w:color="000000" w:fill="B4C6E7"/>
            <w:noWrap/>
            <w:vAlign w:val="center"/>
            <w:hideMark/>
          </w:tcPr>
          <w:p w14:paraId="4D530605"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c>
          <w:tcPr>
            <w:tcW w:w="499" w:type="pct"/>
            <w:shd w:val="clear" w:color="000000" w:fill="B4C6E7"/>
            <w:noWrap/>
            <w:vAlign w:val="center"/>
            <w:hideMark/>
          </w:tcPr>
          <w:p w14:paraId="051ACE41"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shd w:val="clear" w:color="000000" w:fill="B4C6E7"/>
            <w:noWrap/>
            <w:vAlign w:val="bottom"/>
            <w:hideMark/>
          </w:tcPr>
          <w:p w14:paraId="70673E52"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B4C6E7"/>
            <w:vAlign w:val="center"/>
            <w:hideMark/>
          </w:tcPr>
          <w:p w14:paraId="43CEBE29"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B4C6E7"/>
            <w:vAlign w:val="center"/>
            <w:hideMark/>
          </w:tcPr>
          <w:p w14:paraId="61D2CF32"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B4C6E7"/>
            <w:vAlign w:val="center"/>
            <w:hideMark/>
          </w:tcPr>
          <w:p w14:paraId="6F639531"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r>
      <w:tr w:rsidR="00922BCB" w:rsidRPr="00922BCB" w14:paraId="56E5DDB3" w14:textId="77777777" w:rsidTr="00922BCB">
        <w:tc>
          <w:tcPr>
            <w:tcW w:w="446" w:type="pct"/>
            <w:noWrap/>
            <w:hideMark/>
          </w:tcPr>
          <w:p w14:paraId="18C3AEF1"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vAlign w:val="center"/>
            <w:hideMark/>
          </w:tcPr>
          <w:p w14:paraId="261B15F0"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 Additional resourcing</w:t>
            </w:r>
          </w:p>
        </w:tc>
        <w:tc>
          <w:tcPr>
            <w:tcW w:w="499" w:type="pct"/>
            <w:noWrap/>
            <w:vAlign w:val="center"/>
            <w:hideMark/>
          </w:tcPr>
          <w:p w14:paraId="4F328C9C"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191,234</w:t>
            </w:r>
          </w:p>
        </w:tc>
        <w:tc>
          <w:tcPr>
            <w:tcW w:w="499" w:type="pct"/>
            <w:noWrap/>
            <w:vAlign w:val="center"/>
            <w:hideMark/>
          </w:tcPr>
          <w:p w14:paraId="61492F16"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195,058</w:t>
            </w:r>
          </w:p>
        </w:tc>
        <w:tc>
          <w:tcPr>
            <w:tcW w:w="499" w:type="pct"/>
            <w:noWrap/>
            <w:vAlign w:val="center"/>
            <w:hideMark/>
          </w:tcPr>
          <w:p w14:paraId="4FA046D8"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198,960</w:t>
            </w:r>
          </w:p>
        </w:tc>
        <w:tc>
          <w:tcPr>
            <w:tcW w:w="645" w:type="pct"/>
            <w:vAlign w:val="center"/>
            <w:hideMark/>
          </w:tcPr>
          <w:p w14:paraId="52CA9CDE"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r w:rsidRPr="00922BCB">
              <w:rPr>
                <w:rFonts w:asciiTheme="minorHAnsi" w:eastAsia="Yu Gothic" w:hAnsiTheme="minorHAnsi" w:cstheme="minorHAnsi"/>
                <w:sz w:val="20"/>
                <w:szCs w:val="20"/>
                <w:lang w:eastAsia="ja-JP"/>
              </w:rPr>
              <w:br/>
              <w:t>TOR: MFCL work</w:t>
            </w:r>
          </w:p>
        </w:tc>
        <w:tc>
          <w:tcPr>
            <w:tcW w:w="484" w:type="pct"/>
            <w:vAlign w:val="center"/>
            <w:hideMark/>
          </w:tcPr>
          <w:p w14:paraId="4D0255AD"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vAlign w:val="center"/>
            <w:hideMark/>
          </w:tcPr>
          <w:p w14:paraId="6D9DB998"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2E47B032" w14:textId="77777777" w:rsidTr="00922BCB">
        <w:tc>
          <w:tcPr>
            <w:tcW w:w="446" w:type="pct"/>
            <w:noWrap/>
            <w:hideMark/>
          </w:tcPr>
          <w:p w14:paraId="4B770201"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1624" w:type="pct"/>
            <w:vAlign w:val="center"/>
            <w:hideMark/>
          </w:tcPr>
          <w:p w14:paraId="2F94C25F"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SPC FIRST additional stock assessment scientist</w:t>
            </w:r>
          </w:p>
        </w:tc>
        <w:tc>
          <w:tcPr>
            <w:tcW w:w="499" w:type="pct"/>
            <w:noWrap/>
            <w:vAlign w:val="center"/>
            <w:hideMark/>
          </w:tcPr>
          <w:p w14:paraId="63DA39C8"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175,099</w:t>
            </w:r>
          </w:p>
        </w:tc>
        <w:tc>
          <w:tcPr>
            <w:tcW w:w="499" w:type="pct"/>
            <w:noWrap/>
            <w:vAlign w:val="center"/>
            <w:hideMark/>
          </w:tcPr>
          <w:p w14:paraId="45E7A4DE"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178,601</w:t>
            </w:r>
          </w:p>
        </w:tc>
        <w:tc>
          <w:tcPr>
            <w:tcW w:w="499" w:type="pct"/>
            <w:noWrap/>
            <w:vAlign w:val="center"/>
            <w:hideMark/>
          </w:tcPr>
          <w:p w14:paraId="62ACB21C"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182,173</w:t>
            </w:r>
          </w:p>
        </w:tc>
        <w:tc>
          <w:tcPr>
            <w:tcW w:w="645" w:type="pct"/>
            <w:vAlign w:val="center"/>
            <w:hideMark/>
          </w:tcPr>
          <w:p w14:paraId="1639D7BB"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Budget: 2% annual increase</w:t>
            </w:r>
          </w:p>
        </w:tc>
        <w:tc>
          <w:tcPr>
            <w:tcW w:w="484" w:type="pct"/>
            <w:vAlign w:val="center"/>
            <w:hideMark/>
          </w:tcPr>
          <w:p w14:paraId="1787CF08" w14:textId="77777777" w:rsidR="00922BCB" w:rsidRPr="00922BCB" w:rsidRDefault="00922BCB" w:rsidP="00835632">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304" w:type="pct"/>
            <w:vAlign w:val="center"/>
            <w:hideMark/>
          </w:tcPr>
          <w:p w14:paraId="501E1CE7"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2CF2526E" w14:textId="77777777" w:rsidTr="00922BCB">
        <w:trPr>
          <w:trHeight w:val="64"/>
        </w:trPr>
        <w:tc>
          <w:tcPr>
            <w:tcW w:w="2070" w:type="pct"/>
            <w:gridSpan w:val="2"/>
            <w:shd w:val="clear" w:color="000000" w:fill="A9D08E"/>
            <w:noWrap/>
            <w:hideMark/>
          </w:tcPr>
          <w:p w14:paraId="0F3F45AF" w14:textId="77777777" w:rsidR="00922BCB" w:rsidRPr="00922BCB" w:rsidRDefault="00922BCB" w:rsidP="00835632">
            <w:pPr>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33CC"/>
                <w:sz w:val="20"/>
                <w:szCs w:val="20"/>
                <w:lang w:eastAsia="ja-JP"/>
              </w:rPr>
              <w:t xml:space="preserve">   I. PROJECT PRIORITY RANKING - NOT REQUIRED</w:t>
            </w:r>
            <w:r w:rsidRPr="00922BCB">
              <w:rPr>
                <w:rFonts w:asciiTheme="minorHAnsi" w:eastAsia="Yu Gothic" w:hAnsiTheme="minorHAnsi" w:cstheme="minorHAnsi"/>
                <w:b/>
                <w:bCs/>
                <w:color w:val="0000FF"/>
                <w:sz w:val="20"/>
                <w:szCs w:val="20"/>
                <w:lang w:eastAsia="ja-JP"/>
              </w:rPr>
              <w:t xml:space="preserve">　</w:t>
            </w:r>
          </w:p>
        </w:tc>
        <w:tc>
          <w:tcPr>
            <w:tcW w:w="499" w:type="pct"/>
            <w:shd w:val="clear" w:color="000000" w:fill="A9D08E"/>
            <w:noWrap/>
            <w:vAlign w:val="center"/>
            <w:hideMark/>
          </w:tcPr>
          <w:p w14:paraId="69E5000C" w14:textId="77777777" w:rsidR="00922BCB" w:rsidRPr="00922BCB" w:rsidRDefault="00922BCB" w:rsidP="00835632">
            <w:pPr>
              <w:jc w:val="right"/>
              <w:rPr>
                <w:rFonts w:asciiTheme="minorHAnsi" w:eastAsia="Yu Gothic" w:hAnsiTheme="minorHAnsi" w:cstheme="minorHAnsi"/>
                <w:b/>
                <w:bCs/>
                <w:color w:val="0000FF"/>
                <w:sz w:val="20"/>
                <w:szCs w:val="20"/>
                <w:lang w:eastAsia="ja-JP"/>
              </w:rPr>
            </w:pPr>
            <w:r w:rsidRPr="00922BCB">
              <w:rPr>
                <w:rFonts w:asciiTheme="minorHAnsi" w:eastAsia="Yu Gothic" w:hAnsiTheme="minorHAnsi" w:cstheme="minorHAnsi"/>
                <w:b/>
                <w:bCs/>
                <w:color w:val="0000FF"/>
                <w:sz w:val="20"/>
                <w:szCs w:val="20"/>
                <w:lang w:eastAsia="ja-JP"/>
              </w:rPr>
              <w:t xml:space="preserve">　</w:t>
            </w:r>
          </w:p>
        </w:tc>
        <w:tc>
          <w:tcPr>
            <w:tcW w:w="499" w:type="pct"/>
            <w:shd w:val="clear" w:color="000000" w:fill="A9D08E"/>
            <w:noWrap/>
            <w:vAlign w:val="center"/>
            <w:hideMark/>
          </w:tcPr>
          <w:p w14:paraId="113FB556" w14:textId="77777777" w:rsidR="00922BCB" w:rsidRPr="00922BCB" w:rsidRDefault="00922BCB" w:rsidP="00835632">
            <w:pPr>
              <w:jc w:val="right"/>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499" w:type="pct"/>
            <w:shd w:val="clear" w:color="000000" w:fill="A9D08E"/>
            <w:noWrap/>
            <w:vAlign w:val="bottom"/>
            <w:hideMark/>
          </w:tcPr>
          <w:p w14:paraId="541C6A13"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A9D08E"/>
            <w:vAlign w:val="center"/>
            <w:hideMark/>
          </w:tcPr>
          <w:p w14:paraId="611E3FD4" w14:textId="77777777" w:rsidR="00922BCB" w:rsidRPr="00922BCB" w:rsidRDefault="00922BCB" w:rsidP="00835632">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484" w:type="pct"/>
            <w:shd w:val="clear" w:color="000000" w:fill="A9D08E"/>
            <w:vAlign w:val="center"/>
            <w:hideMark/>
          </w:tcPr>
          <w:p w14:paraId="33F373DF" w14:textId="77777777" w:rsidR="00922BCB" w:rsidRPr="00922BCB" w:rsidRDefault="00922BCB" w:rsidP="00835632">
            <w:pPr>
              <w:rPr>
                <w:rFonts w:asciiTheme="minorHAnsi" w:eastAsia="Yu Gothic" w:hAnsiTheme="minorHAnsi" w:cstheme="minorHAnsi"/>
                <w:color w:val="0000FF"/>
                <w:sz w:val="20"/>
                <w:szCs w:val="20"/>
                <w:lang w:eastAsia="ja-JP"/>
              </w:rPr>
            </w:pPr>
            <w:r w:rsidRPr="00922BCB">
              <w:rPr>
                <w:rFonts w:asciiTheme="minorHAnsi" w:eastAsia="Yu Gothic" w:hAnsiTheme="minorHAnsi" w:cstheme="minorHAnsi"/>
                <w:color w:val="0000FF"/>
                <w:sz w:val="20"/>
                <w:szCs w:val="20"/>
                <w:lang w:eastAsia="ja-JP"/>
              </w:rPr>
              <w:t xml:space="preserve">　</w:t>
            </w:r>
          </w:p>
        </w:tc>
        <w:tc>
          <w:tcPr>
            <w:tcW w:w="304" w:type="pct"/>
            <w:shd w:val="clear" w:color="000000" w:fill="A9D08E"/>
            <w:noWrap/>
            <w:vAlign w:val="bottom"/>
            <w:hideMark/>
          </w:tcPr>
          <w:p w14:paraId="1DB11153"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922BCB" w:rsidRPr="00922BCB" w14:paraId="3F3CECF0" w14:textId="77777777" w:rsidTr="00922BCB">
        <w:tc>
          <w:tcPr>
            <w:tcW w:w="446" w:type="pct"/>
            <w:noWrap/>
            <w:hideMark/>
          </w:tcPr>
          <w:p w14:paraId="6750FF0E"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w:t>
            </w:r>
          </w:p>
        </w:tc>
        <w:tc>
          <w:tcPr>
            <w:tcW w:w="1624" w:type="pct"/>
            <w:vAlign w:val="center"/>
            <w:hideMark/>
          </w:tcPr>
          <w:p w14:paraId="2955A5A9"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P35b</w:t>
            </w:r>
            <w:r w:rsidRPr="00922BCB">
              <w:rPr>
                <w:rFonts w:asciiTheme="minorHAnsi" w:eastAsia="Yu Gothic" w:hAnsiTheme="minorHAnsi" w:cstheme="minorHAnsi"/>
                <w:sz w:val="20"/>
                <w:szCs w:val="20"/>
                <w:lang w:eastAsia="ja-JP"/>
              </w:rPr>
              <w:t>. WCPFC Pacific Marine Specimen Bank</w:t>
            </w:r>
          </w:p>
        </w:tc>
        <w:tc>
          <w:tcPr>
            <w:tcW w:w="499" w:type="pct"/>
            <w:noWrap/>
            <w:vAlign w:val="center"/>
            <w:hideMark/>
          </w:tcPr>
          <w:p w14:paraId="6C4D19FE"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113,945</w:t>
            </w:r>
          </w:p>
        </w:tc>
        <w:tc>
          <w:tcPr>
            <w:tcW w:w="499" w:type="pct"/>
            <w:noWrap/>
            <w:vAlign w:val="center"/>
            <w:hideMark/>
          </w:tcPr>
          <w:p w14:paraId="64EB1BCF"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116,224</w:t>
            </w:r>
          </w:p>
        </w:tc>
        <w:tc>
          <w:tcPr>
            <w:tcW w:w="499" w:type="pct"/>
            <w:noWrap/>
            <w:vAlign w:val="center"/>
            <w:hideMark/>
          </w:tcPr>
          <w:p w14:paraId="2A96BBD4"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118,549</w:t>
            </w:r>
          </w:p>
        </w:tc>
        <w:tc>
          <w:tcPr>
            <w:tcW w:w="645" w:type="pct"/>
            <w:vAlign w:val="center"/>
            <w:hideMark/>
          </w:tcPr>
          <w:p w14:paraId="73B06F82" w14:textId="77777777" w:rsidR="00922BCB" w:rsidRPr="00922BCB" w:rsidRDefault="00922BCB" w:rsidP="00835632">
            <w:pPr>
              <w:ind w:left="-26" w:right="-46"/>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w:t>
            </w:r>
            <w:r w:rsidRPr="00922BCB">
              <w:rPr>
                <w:rFonts w:asciiTheme="minorHAnsi" w:eastAsia="Yu Gothic" w:hAnsiTheme="minorHAnsi" w:cstheme="minorHAnsi"/>
                <w:sz w:val="20"/>
                <w:szCs w:val="20"/>
                <w:lang w:eastAsia="ja-JP"/>
              </w:rPr>
              <w:br/>
              <w:t>Budget: 2% annual increase</w:t>
            </w:r>
          </w:p>
        </w:tc>
        <w:tc>
          <w:tcPr>
            <w:tcW w:w="484" w:type="pct"/>
            <w:vAlign w:val="bottom"/>
            <w:hideMark/>
          </w:tcPr>
          <w:p w14:paraId="2C2E172E"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vAlign w:val="center"/>
            <w:hideMark/>
          </w:tcPr>
          <w:p w14:paraId="7F3C16A0"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51E91D37" w14:textId="77777777" w:rsidTr="00922BCB">
        <w:tc>
          <w:tcPr>
            <w:tcW w:w="446" w:type="pct"/>
            <w:noWrap/>
            <w:hideMark/>
          </w:tcPr>
          <w:p w14:paraId="1F5A93EC"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2</w:t>
            </w:r>
          </w:p>
        </w:tc>
        <w:tc>
          <w:tcPr>
            <w:tcW w:w="1624" w:type="pct"/>
            <w:vAlign w:val="center"/>
            <w:hideMark/>
          </w:tcPr>
          <w:p w14:paraId="70E98B50"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P42.</w:t>
            </w:r>
            <w:r w:rsidRPr="00922BCB">
              <w:rPr>
                <w:rFonts w:asciiTheme="minorHAnsi" w:eastAsia="Yu Gothic" w:hAnsiTheme="minorHAnsi" w:cstheme="minorHAnsi"/>
                <w:sz w:val="20"/>
                <w:szCs w:val="20"/>
                <w:lang w:eastAsia="ja-JP"/>
              </w:rPr>
              <w:t xml:space="preserve"> Pacific Tuna Tagging Program</w:t>
            </w:r>
          </w:p>
        </w:tc>
        <w:tc>
          <w:tcPr>
            <w:tcW w:w="499" w:type="pct"/>
            <w:noWrap/>
            <w:vAlign w:val="center"/>
            <w:hideMark/>
          </w:tcPr>
          <w:p w14:paraId="71514777"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950,000</w:t>
            </w:r>
          </w:p>
        </w:tc>
        <w:tc>
          <w:tcPr>
            <w:tcW w:w="499" w:type="pct"/>
            <w:noWrap/>
            <w:vAlign w:val="center"/>
            <w:hideMark/>
          </w:tcPr>
          <w:p w14:paraId="562F883B"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950,000</w:t>
            </w:r>
          </w:p>
        </w:tc>
        <w:tc>
          <w:tcPr>
            <w:tcW w:w="499" w:type="pct"/>
            <w:noWrap/>
            <w:vAlign w:val="center"/>
            <w:hideMark/>
          </w:tcPr>
          <w:p w14:paraId="788A1DC4"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950,000</w:t>
            </w:r>
          </w:p>
        </w:tc>
        <w:tc>
          <w:tcPr>
            <w:tcW w:w="645" w:type="pct"/>
            <w:vAlign w:val="center"/>
            <w:hideMark/>
          </w:tcPr>
          <w:p w14:paraId="65A4DC57"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w:t>
            </w:r>
          </w:p>
        </w:tc>
        <w:tc>
          <w:tcPr>
            <w:tcW w:w="484" w:type="pct"/>
            <w:vAlign w:val="bottom"/>
            <w:hideMark/>
          </w:tcPr>
          <w:p w14:paraId="7738F5D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vAlign w:val="center"/>
            <w:hideMark/>
          </w:tcPr>
          <w:p w14:paraId="5F3D68C4"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2A9B702F" w14:textId="77777777" w:rsidTr="00922BCB">
        <w:tc>
          <w:tcPr>
            <w:tcW w:w="446" w:type="pct"/>
            <w:noWrap/>
            <w:hideMark/>
          </w:tcPr>
          <w:p w14:paraId="7712A40A"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3</w:t>
            </w:r>
          </w:p>
        </w:tc>
        <w:tc>
          <w:tcPr>
            <w:tcW w:w="1624" w:type="pct"/>
            <w:vAlign w:val="center"/>
            <w:hideMark/>
          </w:tcPr>
          <w:p w14:paraId="212C0467"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b/>
                <w:bCs/>
                <w:color w:val="000000"/>
                <w:sz w:val="20"/>
                <w:szCs w:val="20"/>
                <w:lang w:eastAsia="ja-JP"/>
              </w:rPr>
              <w:t>P22X01.</w:t>
            </w:r>
            <w:r w:rsidRPr="00922BCB">
              <w:rPr>
                <w:rFonts w:asciiTheme="minorHAnsi" w:eastAsia="Yu Gothic" w:hAnsiTheme="minorHAnsi" w:cstheme="minorHAnsi"/>
                <w:color w:val="000000"/>
                <w:sz w:val="20"/>
                <w:szCs w:val="20"/>
                <w:lang w:eastAsia="ja-JP"/>
              </w:rPr>
              <w:t xml:space="preserve"> Stock assessment of southwest Pacific blue shark</w:t>
            </w:r>
          </w:p>
        </w:tc>
        <w:tc>
          <w:tcPr>
            <w:tcW w:w="499" w:type="pct"/>
            <w:noWrap/>
            <w:vAlign w:val="center"/>
            <w:hideMark/>
          </w:tcPr>
          <w:p w14:paraId="2A18C84B"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85,000</w:t>
            </w:r>
          </w:p>
        </w:tc>
        <w:tc>
          <w:tcPr>
            <w:tcW w:w="499" w:type="pct"/>
            <w:noWrap/>
            <w:vAlign w:val="center"/>
            <w:hideMark/>
          </w:tcPr>
          <w:p w14:paraId="13C8AEE7"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14EA9C9A"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07867AC5"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(New project) </w:t>
            </w:r>
          </w:p>
        </w:tc>
        <w:tc>
          <w:tcPr>
            <w:tcW w:w="484" w:type="pct"/>
            <w:vAlign w:val="center"/>
            <w:hideMark/>
          </w:tcPr>
          <w:p w14:paraId="722471F4"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7B349094"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r>
      <w:tr w:rsidR="00922BCB" w:rsidRPr="00922BCB" w14:paraId="48D0D6D3" w14:textId="77777777" w:rsidTr="00922BCB">
        <w:tc>
          <w:tcPr>
            <w:tcW w:w="446" w:type="pct"/>
            <w:noWrap/>
            <w:hideMark/>
          </w:tcPr>
          <w:p w14:paraId="282B7CA3" w14:textId="77777777" w:rsidR="00922BCB" w:rsidRPr="00922BCB" w:rsidRDefault="00922BCB" w:rsidP="00835632">
            <w:pPr>
              <w:jc w:val="center"/>
              <w:rPr>
                <w:rFonts w:asciiTheme="minorHAnsi" w:eastAsia="Yu Gothic" w:hAnsiTheme="minorHAnsi" w:cstheme="minorHAnsi"/>
                <w:sz w:val="20"/>
                <w:szCs w:val="20"/>
                <w:lang w:eastAsia="ja-JP"/>
              </w:rPr>
            </w:pPr>
          </w:p>
        </w:tc>
        <w:tc>
          <w:tcPr>
            <w:tcW w:w="1624" w:type="pct"/>
            <w:noWrap/>
            <w:vAlign w:val="bottom"/>
            <w:hideMark/>
          </w:tcPr>
          <w:p w14:paraId="27595095" w14:textId="77777777" w:rsidR="00922BCB" w:rsidRPr="00922BCB" w:rsidRDefault="00922BCB" w:rsidP="00835632">
            <w:pPr>
              <w:jc w:val="center"/>
              <w:rPr>
                <w:rFonts w:asciiTheme="minorHAnsi" w:hAnsiTheme="minorHAnsi" w:cstheme="minorHAnsi"/>
                <w:sz w:val="20"/>
                <w:szCs w:val="20"/>
                <w:lang w:eastAsia="ja-JP"/>
              </w:rPr>
            </w:pPr>
          </w:p>
        </w:tc>
        <w:tc>
          <w:tcPr>
            <w:tcW w:w="499" w:type="pct"/>
            <w:noWrap/>
            <w:vAlign w:val="bottom"/>
            <w:hideMark/>
          </w:tcPr>
          <w:p w14:paraId="33A6727A"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　</w:t>
            </w:r>
          </w:p>
        </w:tc>
        <w:tc>
          <w:tcPr>
            <w:tcW w:w="499" w:type="pct"/>
            <w:noWrap/>
            <w:vAlign w:val="bottom"/>
            <w:hideMark/>
          </w:tcPr>
          <w:p w14:paraId="1382742F" w14:textId="77777777" w:rsidR="00922BCB" w:rsidRPr="00922BCB" w:rsidRDefault="00922BCB" w:rsidP="00835632">
            <w:pPr>
              <w:rPr>
                <w:rFonts w:asciiTheme="minorHAnsi" w:eastAsia="Yu Gothic" w:hAnsiTheme="minorHAnsi" w:cstheme="minorHAnsi"/>
                <w:b/>
                <w:bCs/>
                <w:color w:val="000000"/>
                <w:sz w:val="20"/>
                <w:szCs w:val="20"/>
                <w:lang w:eastAsia="ja-JP"/>
              </w:rPr>
            </w:pPr>
          </w:p>
        </w:tc>
        <w:tc>
          <w:tcPr>
            <w:tcW w:w="499" w:type="pct"/>
            <w:noWrap/>
            <w:vAlign w:val="bottom"/>
            <w:hideMark/>
          </w:tcPr>
          <w:p w14:paraId="0EAFFBF4"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bottom"/>
            <w:hideMark/>
          </w:tcPr>
          <w:p w14:paraId="1061810E" w14:textId="77777777" w:rsidR="00922BCB" w:rsidRPr="00922BCB" w:rsidRDefault="00922BCB" w:rsidP="00835632">
            <w:pPr>
              <w:rPr>
                <w:rFonts w:asciiTheme="minorHAnsi" w:eastAsia="Yu Gothic" w:hAnsiTheme="minorHAnsi" w:cstheme="minorHAnsi"/>
                <w:color w:val="000000"/>
                <w:sz w:val="20"/>
                <w:szCs w:val="20"/>
                <w:lang w:eastAsia="ja-JP"/>
              </w:rPr>
            </w:pPr>
          </w:p>
        </w:tc>
        <w:tc>
          <w:tcPr>
            <w:tcW w:w="484" w:type="pct"/>
            <w:vAlign w:val="bottom"/>
            <w:hideMark/>
          </w:tcPr>
          <w:p w14:paraId="3CE00518" w14:textId="77777777" w:rsidR="00922BCB" w:rsidRPr="00922BCB" w:rsidRDefault="00922BCB" w:rsidP="00835632">
            <w:pPr>
              <w:rPr>
                <w:rFonts w:asciiTheme="minorHAnsi" w:hAnsiTheme="minorHAnsi" w:cstheme="minorHAnsi"/>
                <w:sz w:val="20"/>
                <w:szCs w:val="20"/>
                <w:lang w:eastAsia="ja-JP"/>
              </w:rPr>
            </w:pPr>
          </w:p>
        </w:tc>
        <w:tc>
          <w:tcPr>
            <w:tcW w:w="304" w:type="pct"/>
            <w:noWrap/>
            <w:vAlign w:val="bottom"/>
            <w:hideMark/>
          </w:tcPr>
          <w:p w14:paraId="793030E6" w14:textId="77777777" w:rsidR="00922BCB" w:rsidRPr="00922BCB" w:rsidRDefault="00922BCB" w:rsidP="00835632">
            <w:pPr>
              <w:rPr>
                <w:rFonts w:asciiTheme="minorHAnsi" w:hAnsiTheme="minorHAnsi" w:cstheme="minorHAnsi"/>
                <w:sz w:val="20"/>
                <w:szCs w:val="20"/>
                <w:lang w:eastAsia="ja-JP"/>
              </w:rPr>
            </w:pPr>
          </w:p>
        </w:tc>
      </w:tr>
      <w:tr w:rsidR="00922BCB" w:rsidRPr="00922BCB" w14:paraId="580C783C" w14:textId="77777777" w:rsidTr="00922BCB">
        <w:tc>
          <w:tcPr>
            <w:tcW w:w="2070" w:type="pct"/>
            <w:gridSpan w:val="2"/>
            <w:shd w:val="clear" w:color="000000" w:fill="A9D08E"/>
            <w:noWrap/>
            <w:hideMark/>
          </w:tcPr>
          <w:p w14:paraId="0ECE2C74"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b/>
                <w:bCs/>
                <w:color w:val="0033CC"/>
                <w:sz w:val="20"/>
                <w:szCs w:val="20"/>
                <w:lang w:eastAsia="ja-JP"/>
              </w:rPr>
              <w:t xml:space="preserve">   II. PRIORITY RANKING - REQUIRED</w:t>
            </w:r>
          </w:p>
        </w:tc>
        <w:tc>
          <w:tcPr>
            <w:tcW w:w="499" w:type="pct"/>
            <w:shd w:val="clear" w:color="000000" w:fill="A9D08E"/>
            <w:vAlign w:val="center"/>
            <w:hideMark/>
          </w:tcPr>
          <w:p w14:paraId="191EEE75"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 xml:space="preserve">　</w:t>
            </w:r>
          </w:p>
        </w:tc>
        <w:tc>
          <w:tcPr>
            <w:tcW w:w="499" w:type="pct"/>
            <w:shd w:val="clear" w:color="000000" w:fill="A9D08E"/>
            <w:vAlign w:val="center"/>
            <w:hideMark/>
          </w:tcPr>
          <w:p w14:paraId="52AEC0E4"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shd w:val="clear" w:color="000000" w:fill="A9D08E"/>
            <w:noWrap/>
            <w:vAlign w:val="bottom"/>
            <w:hideMark/>
          </w:tcPr>
          <w:p w14:paraId="152AC21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shd w:val="clear" w:color="000000" w:fill="A9D08E"/>
            <w:vAlign w:val="center"/>
            <w:hideMark/>
          </w:tcPr>
          <w:p w14:paraId="2465EA31"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A9D08E"/>
            <w:vAlign w:val="center"/>
            <w:hideMark/>
          </w:tcPr>
          <w:p w14:paraId="5677040B"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A9D08E"/>
            <w:vAlign w:val="center"/>
            <w:hideMark/>
          </w:tcPr>
          <w:p w14:paraId="2EE310E9"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922BCB" w:rsidRPr="00922BCB" w14:paraId="42F6BCAA" w14:textId="77777777" w:rsidTr="00922BCB">
        <w:tc>
          <w:tcPr>
            <w:tcW w:w="446" w:type="pct"/>
            <w:noWrap/>
            <w:hideMark/>
          </w:tcPr>
          <w:p w14:paraId="716D7B79"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w:t>
            </w:r>
          </w:p>
        </w:tc>
        <w:tc>
          <w:tcPr>
            <w:tcW w:w="1624" w:type="pct"/>
            <w:hideMark/>
          </w:tcPr>
          <w:p w14:paraId="1026BD75"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P22X04.</w:t>
            </w:r>
            <w:r w:rsidRPr="00922BCB">
              <w:rPr>
                <w:rFonts w:asciiTheme="minorHAnsi" w:eastAsia="Yu Gothic" w:hAnsiTheme="minorHAnsi" w:cstheme="minorHAnsi"/>
                <w:color w:val="000000"/>
                <w:sz w:val="20"/>
                <w:szCs w:val="20"/>
                <w:lang w:eastAsia="ja-JP"/>
              </w:rPr>
              <w:t xml:space="preserve"> Technical workshop on approaches to utilising tagging data within regional stock assessments to support best available science </w:t>
            </w:r>
          </w:p>
        </w:tc>
        <w:tc>
          <w:tcPr>
            <w:tcW w:w="499" w:type="pct"/>
            <w:noWrap/>
            <w:vAlign w:val="center"/>
            <w:hideMark/>
          </w:tcPr>
          <w:p w14:paraId="3CFA41D2"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135,000</w:t>
            </w:r>
          </w:p>
        </w:tc>
        <w:tc>
          <w:tcPr>
            <w:tcW w:w="499" w:type="pct"/>
            <w:noWrap/>
            <w:vAlign w:val="center"/>
            <w:hideMark/>
          </w:tcPr>
          <w:p w14:paraId="67BBF412"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308F4E20"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04B4F792"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301055FF"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7DBFD261"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7.4</w:t>
            </w:r>
          </w:p>
        </w:tc>
      </w:tr>
      <w:tr w:rsidR="00922BCB" w:rsidRPr="00922BCB" w14:paraId="44B0C125" w14:textId="77777777" w:rsidTr="00922BCB">
        <w:tc>
          <w:tcPr>
            <w:tcW w:w="446" w:type="pct"/>
            <w:noWrap/>
            <w:hideMark/>
          </w:tcPr>
          <w:p w14:paraId="0EB08F1E"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2</w:t>
            </w:r>
          </w:p>
        </w:tc>
        <w:tc>
          <w:tcPr>
            <w:tcW w:w="1624" w:type="pct"/>
            <w:hideMark/>
          </w:tcPr>
          <w:p w14:paraId="266F1EB5"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P129. </w:t>
            </w:r>
            <w:r w:rsidRPr="00922BCB">
              <w:rPr>
                <w:rFonts w:asciiTheme="minorHAnsi" w:eastAsia="Yu Gothic" w:hAnsiTheme="minorHAnsi" w:cstheme="minorHAnsi"/>
                <w:color w:val="000000"/>
                <w:sz w:val="20"/>
                <w:szCs w:val="20"/>
                <w:lang w:eastAsia="ja-JP"/>
              </w:rPr>
              <w:t>Building an age-length data stream for tuna assessments</w:t>
            </w:r>
          </w:p>
        </w:tc>
        <w:tc>
          <w:tcPr>
            <w:tcW w:w="499" w:type="pct"/>
            <w:noWrap/>
            <w:vAlign w:val="center"/>
            <w:hideMark/>
          </w:tcPr>
          <w:p w14:paraId="7DD5F4FA"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90,000</w:t>
            </w:r>
          </w:p>
        </w:tc>
        <w:tc>
          <w:tcPr>
            <w:tcW w:w="499" w:type="pct"/>
            <w:noWrap/>
            <w:vAlign w:val="center"/>
            <w:hideMark/>
          </w:tcPr>
          <w:p w14:paraId="1424146F"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60,000</w:t>
            </w:r>
          </w:p>
        </w:tc>
        <w:tc>
          <w:tcPr>
            <w:tcW w:w="499" w:type="pct"/>
            <w:noWrap/>
            <w:vAlign w:val="center"/>
            <w:hideMark/>
          </w:tcPr>
          <w:p w14:paraId="4730924F"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60,000</w:t>
            </w:r>
          </w:p>
        </w:tc>
        <w:tc>
          <w:tcPr>
            <w:tcW w:w="645" w:type="pct"/>
            <w:vAlign w:val="center"/>
            <w:hideMark/>
          </w:tcPr>
          <w:p w14:paraId="2D69AC14"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 xml:space="preserve">(Ongoing) </w:t>
            </w:r>
          </w:p>
        </w:tc>
        <w:tc>
          <w:tcPr>
            <w:tcW w:w="484" w:type="pct"/>
            <w:vAlign w:val="center"/>
            <w:hideMark/>
          </w:tcPr>
          <w:p w14:paraId="48701054"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Additional data from CCMs</w:t>
            </w:r>
          </w:p>
        </w:tc>
        <w:tc>
          <w:tcPr>
            <w:tcW w:w="304" w:type="pct"/>
            <w:noWrap/>
            <w:vAlign w:val="center"/>
            <w:hideMark/>
          </w:tcPr>
          <w:p w14:paraId="0E2F392A"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7.3</w:t>
            </w:r>
          </w:p>
        </w:tc>
      </w:tr>
      <w:tr w:rsidR="00922BCB" w:rsidRPr="00922BCB" w14:paraId="44EE1D9F" w14:textId="77777777" w:rsidTr="00922BCB">
        <w:tc>
          <w:tcPr>
            <w:tcW w:w="446" w:type="pct"/>
            <w:noWrap/>
            <w:hideMark/>
          </w:tcPr>
          <w:p w14:paraId="4BEE8DD2"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3</w:t>
            </w:r>
          </w:p>
        </w:tc>
        <w:tc>
          <w:tcPr>
            <w:tcW w:w="1624" w:type="pct"/>
            <w:vAlign w:val="center"/>
            <w:hideMark/>
          </w:tcPr>
          <w:p w14:paraId="19C381EA"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P100d.</w:t>
            </w:r>
            <w:r w:rsidRPr="00922BCB">
              <w:rPr>
                <w:rFonts w:asciiTheme="minorHAnsi" w:eastAsia="Yu Gothic" w:hAnsiTheme="minorHAnsi" w:cstheme="minorHAnsi"/>
                <w:sz w:val="20"/>
                <w:szCs w:val="20"/>
                <w:lang w:eastAsia="ja-JP"/>
              </w:rPr>
              <w:t xml:space="preserve"> Application of CKMR methods to SP albacore and cost-benefit evaluation and prioritisation of CKMR to WCPFC stocks (tuna, billfish, sharks)</w:t>
            </w:r>
          </w:p>
        </w:tc>
        <w:tc>
          <w:tcPr>
            <w:tcW w:w="499" w:type="pct"/>
            <w:vAlign w:val="center"/>
            <w:hideMark/>
          </w:tcPr>
          <w:p w14:paraId="64DE463B"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115,000</w:t>
            </w:r>
          </w:p>
        </w:tc>
        <w:tc>
          <w:tcPr>
            <w:tcW w:w="499" w:type="pct"/>
            <w:vAlign w:val="center"/>
            <w:hideMark/>
          </w:tcPr>
          <w:p w14:paraId="3E393274"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335170F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5668ACD8"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25235F50"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590C38DB"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6.8</w:t>
            </w:r>
          </w:p>
        </w:tc>
      </w:tr>
      <w:tr w:rsidR="00922BCB" w:rsidRPr="00922BCB" w14:paraId="1B30C2DC" w14:textId="77777777" w:rsidTr="00922BCB">
        <w:tc>
          <w:tcPr>
            <w:tcW w:w="446" w:type="pct"/>
            <w:noWrap/>
            <w:hideMark/>
          </w:tcPr>
          <w:p w14:paraId="7DF34476"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lastRenderedPageBreak/>
              <w:t>4</w:t>
            </w:r>
          </w:p>
        </w:tc>
        <w:tc>
          <w:tcPr>
            <w:tcW w:w="1624" w:type="pct"/>
            <w:hideMark/>
          </w:tcPr>
          <w:p w14:paraId="78964BB0"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P22X11. </w:t>
            </w:r>
            <w:r w:rsidRPr="00922BCB">
              <w:rPr>
                <w:rFonts w:asciiTheme="minorHAnsi" w:eastAsia="Yu Gothic" w:hAnsiTheme="minorHAnsi" w:cstheme="minorHAnsi"/>
                <w:color w:val="000000"/>
                <w:sz w:val="20"/>
                <w:szCs w:val="20"/>
                <w:lang w:eastAsia="ja-JP"/>
              </w:rPr>
              <w:t>WCPO skipjack external tagging analysis: phases 2 and 3 analyses for abundance indices and biomass estimation</w:t>
            </w:r>
          </w:p>
        </w:tc>
        <w:tc>
          <w:tcPr>
            <w:tcW w:w="499" w:type="pct"/>
            <w:noWrap/>
            <w:vAlign w:val="center"/>
            <w:hideMark/>
          </w:tcPr>
          <w:p w14:paraId="69AC7210"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110,000</w:t>
            </w:r>
          </w:p>
        </w:tc>
        <w:tc>
          <w:tcPr>
            <w:tcW w:w="499" w:type="pct"/>
            <w:noWrap/>
            <w:vAlign w:val="center"/>
            <w:hideMark/>
          </w:tcPr>
          <w:p w14:paraId="17A0C574"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110,000</w:t>
            </w:r>
          </w:p>
        </w:tc>
        <w:tc>
          <w:tcPr>
            <w:tcW w:w="499" w:type="pct"/>
            <w:noWrap/>
            <w:vAlign w:val="center"/>
            <w:hideMark/>
          </w:tcPr>
          <w:p w14:paraId="0DC3AD5D"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26DE816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5A391EEF"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5C649EE6"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6.4</w:t>
            </w:r>
          </w:p>
        </w:tc>
      </w:tr>
      <w:tr w:rsidR="00922BCB" w:rsidRPr="00922BCB" w14:paraId="0AB7A067" w14:textId="77777777" w:rsidTr="00922BCB">
        <w:tc>
          <w:tcPr>
            <w:tcW w:w="446" w:type="pct"/>
            <w:noWrap/>
            <w:hideMark/>
          </w:tcPr>
          <w:p w14:paraId="38B03B94"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5</w:t>
            </w:r>
          </w:p>
        </w:tc>
        <w:tc>
          <w:tcPr>
            <w:tcW w:w="1624" w:type="pct"/>
            <w:vAlign w:val="center"/>
            <w:hideMark/>
          </w:tcPr>
          <w:p w14:paraId="5BEA6572"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b/>
                <w:bCs/>
                <w:sz w:val="20"/>
                <w:szCs w:val="20"/>
                <w:lang w:eastAsia="ja-JP"/>
              </w:rPr>
              <w:t>P120.</w:t>
            </w:r>
            <w:r w:rsidRPr="00922BCB">
              <w:rPr>
                <w:rFonts w:asciiTheme="minorHAnsi" w:eastAsia="Yu Gothic" w:hAnsiTheme="minorHAnsi" w:cstheme="minorHAnsi"/>
                <w:sz w:val="20"/>
                <w:szCs w:val="20"/>
                <w:lang w:eastAsia="ja-JP"/>
              </w:rPr>
              <w:t xml:space="preserve"> Updated reproductive biology of tropical tunas</w:t>
            </w:r>
          </w:p>
        </w:tc>
        <w:tc>
          <w:tcPr>
            <w:tcW w:w="499" w:type="pct"/>
            <w:vAlign w:val="center"/>
            <w:hideMark/>
          </w:tcPr>
          <w:p w14:paraId="7A24629C"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70,000</w:t>
            </w:r>
          </w:p>
        </w:tc>
        <w:tc>
          <w:tcPr>
            <w:tcW w:w="499" w:type="pct"/>
            <w:vAlign w:val="center"/>
            <w:hideMark/>
          </w:tcPr>
          <w:p w14:paraId="60E7E631"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3B76D8D1"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59689CCC"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3D8C5DEF"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4CFC6B92"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5.9</w:t>
            </w:r>
          </w:p>
        </w:tc>
      </w:tr>
      <w:tr w:rsidR="00922BCB" w:rsidRPr="00922BCB" w14:paraId="39F6324A" w14:textId="77777777" w:rsidTr="00922BCB">
        <w:tc>
          <w:tcPr>
            <w:tcW w:w="446" w:type="pct"/>
            <w:noWrap/>
            <w:hideMark/>
          </w:tcPr>
          <w:p w14:paraId="41913329"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6</w:t>
            </w:r>
          </w:p>
        </w:tc>
        <w:tc>
          <w:tcPr>
            <w:tcW w:w="1624" w:type="pct"/>
            <w:hideMark/>
          </w:tcPr>
          <w:p w14:paraId="7A647805"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P22X02. </w:t>
            </w:r>
            <w:r w:rsidRPr="00922BCB">
              <w:rPr>
                <w:rFonts w:asciiTheme="minorHAnsi" w:eastAsia="Yu Gothic" w:hAnsiTheme="minorHAnsi" w:cstheme="minorHAnsi"/>
                <w:color w:val="000000"/>
                <w:sz w:val="20"/>
                <w:szCs w:val="20"/>
                <w:lang w:eastAsia="ja-JP"/>
              </w:rPr>
              <w:t xml:space="preserve">Data characterisation of low information sharks and mobulids </w:t>
            </w:r>
          </w:p>
        </w:tc>
        <w:tc>
          <w:tcPr>
            <w:tcW w:w="499" w:type="pct"/>
            <w:noWrap/>
            <w:vAlign w:val="center"/>
            <w:hideMark/>
          </w:tcPr>
          <w:p w14:paraId="446BA791"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40,000</w:t>
            </w:r>
          </w:p>
        </w:tc>
        <w:tc>
          <w:tcPr>
            <w:tcW w:w="499" w:type="pct"/>
            <w:noWrap/>
            <w:vAlign w:val="center"/>
            <w:hideMark/>
          </w:tcPr>
          <w:p w14:paraId="7108431C"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6503766A"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50E2BA6A"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SRP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66D37AF4"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vAlign w:val="center"/>
            <w:hideMark/>
          </w:tcPr>
          <w:p w14:paraId="5A20DE1F"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5.6</w:t>
            </w:r>
          </w:p>
        </w:tc>
      </w:tr>
      <w:tr w:rsidR="00922BCB" w:rsidRPr="00922BCB" w14:paraId="42E56606" w14:textId="77777777" w:rsidTr="00922BCB">
        <w:tc>
          <w:tcPr>
            <w:tcW w:w="446" w:type="pct"/>
            <w:noWrap/>
            <w:hideMark/>
          </w:tcPr>
          <w:p w14:paraId="34F4115B"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7</w:t>
            </w:r>
          </w:p>
        </w:tc>
        <w:tc>
          <w:tcPr>
            <w:tcW w:w="1624" w:type="pct"/>
            <w:vAlign w:val="center"/>
            <w:hideMark/>
          </w:tcPr>
          <w:p w14:paraId="124AAD0C"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b/>
                <w:bCs/>
                <w:color w:val="000000"/>
                <w:sz w:val="20"/>
                <w:szCs w:val="20"/>
                <w:lang w:eastAsia="ja-JP"/>
              </w:rPr>
              <w:t>P128a</w:t>
            </w:r>
            <w:r w:rsidRPr="00922BCB">
              <w:rPr>
                <w:rFonts w:asciiTheme="minorHAnsi" w:eastAsia="Yu Gothic" w:hAnsiTheme="minorHAnsi" w:cstheme="minorHAnsi"/>
                <w:color w:val="000000"/>
                <w:sz w:val="20"/>
                <w:szCs w:val="20"/>
                <w:lang w:eastAsia="ja-JP"/>
              </w:rPr>
              <w:t>. Initial analyses to support investigations of the connectivity of key tuna species between the Western Pacific and East Asia (WPEA) region and the broader WCPFC-CA</w:t>
            </w:r>
          </w:p>
        </w:tc>
        <w:tc>
          <w:tcPr>
            <w:tcW w:w="499" w:type="pct"/>
            <w:noWrap/>
            <w:vAlign w:val="center"/>
            <w:hideMark/>
          </w:tcPr>
          <w:p w14:paraId="2A0A1FDF"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125,000</w:t>
            </w:r>
          </w:p>
        </w:tc>
        <w:tc>
          <w:tcPr>
            <w:tcW w:w="499" w:type="pct"/>
            <w:noWrap/>
            <w:vAlign w:val="center"/>
            <w:hideMark/>
          </w:tcPr>
          <w:p w14:paraId="6175659B"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6FC7E2F7"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625B2101"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CSIRO, Indonesia, Philippines, Vietnam, SPC</w:t>
            </w:r>
            <w:r w:rsidRPr="00922BCB">
              <w:rPr>
                <w:rFonts w:asciiTheme="minorHAnsi" w:eastAsia="Yu Gothic" w:hAnsiTheme="minorHAnsi" w:cstheme="minorHAnsi"/>
                <w:color w:val="000000"/>
                <w:sz w:val="20"/>
                <w:szCs w:val="20"/>
                <w:lang w:eastAsia="ja-JP"/>
              </w:rPr>
              <w:br/>
              <w:t>(Ongoing)</w:t>
            </w:r>
          </w:p>
        </w:tc>
        <w:tc>
          <w:tcPr>
            <w:tcW w:w="484" w:type="pct"/>
            <w:vAlign w:val="center"/>
            <w:hideMark/>
          </w:tcPr>
          <w:p w14:paraId="7E10760A"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Existing data and samples (refer to TOR for details)</w:t>
            </w:r>
          </w:p>
        </w:tc>
        <w:tc>
          <w:tcPr>
            <w:tcW w:w="304" w:type="pct"/>
            <w:vAlign w:val="center"/>
            <w:hideMark/>
          </w:tcPr>
          <w:p w14:paraId="588D6195"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5.5</w:t>
            </w:r>
          </w:p>
        </w:tc>
      </w:tr>
      <w:tr w:rsidR="00922BCB" w:rsidRPr="00922BCB" w14:paraId="0E6DD2CB" w14:textId="77777777" w:rsidTr="00922BCB">
        <w:tc>
          <w:tcPr>
            <w:tcW w:w="446" w:type="pct"/>
            <w:noWrap/>
            <w:hideMark/>
          </w:tcPr>
          <w:p w14:paraId="7587C64C"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8</w:t>
            </w:r>
          </w:p>
        </w:tc>
        <w:tc>
          <w:tcPr>
            <w:tcW w:w="1624" w:type="pct"/>
            <w:vAlign w:val="center"/>
            <w:hideMark/>
          </w:tcPr>
          <w:p w14:paraId="74CF54CE"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r w:rsidRPr="00922BCB">
              <w:rPr>
                <w:rFonts w:asciiTheme="minorHAnsi" w:eastAsia="Yu Gothic" w:hAnsiTheme="minorHAnsi" w:cstheme="minorHAnsi"/>
                <w:b/>
                <w:bCs/>
                <w:sz w:val="20"/>
                <w:szCs w:val="20"/>
                <w:lang w:eastAsia="ja-JP"/>
              </w:rPr>
              <w:t>P121.</w:t>
            </w:r>
            <w:r w:rsidRPr="00922BCB">
              <w:rPr>
                <w:rFonts w:asciiTheme="minorHAnsi" w:eastAsia="Yu Gothic" w:hAnsiTheme="minorHAnsi" w:cstheme="minorHAnsi"/>
                <w:sz w:val="20"/>
                <w:szCs w:val="20"/>
                <w:lang w:eastAsia="ja-JP"/>
              </w:rPr>
              <w:t xml:space="preserve"> Ecosystem and Climate Indicators </w:t>
            </w:r>
          </w:p>
        </w:tc>
        <w:tc>
          <w:tcPr>
            <w:tcW w:w="499" w:type="pct"/>
            <w:noWrap/>
            <w:vAlign w:val="center"/>
            <w:hideMark/>
          </w:tcPr>
          <w:p w14:paraId="7135C4C1"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15,000</w:t>
            </w:r>
          </w:p>
        </w:tc>
        <w:tc>
          <w:tcPr>
            <w:tcW w:w="499" w:type="pct"/>
            <w:noWrap/>
            <w:vAlign w:val="center"/>
            <w:hideMark/>
          </w:tcPr>
          <w:p w14:paraId="36CA2689" w14:textId="77777777" w:rsidR="00922BCB" w:rsidRPr="00922BCB" w:rsidRDefault="00922BCB" w:rsidP="00835632">
            <w:pPr>
              <w:jc w:val="right"/>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99" w:type="pct"/>
            <w:noWrap/>
            <w:vAlign w:val="bottom"/>
            <w:hideMark/>
          </w:tcPr>
          <w:p w14:paraId="04352A84"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06ACCE24"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Responsibility: SPC-OFP</w:t>
            </w:r>
            <w:r w:rsidRPr="00922BCB">
              <w:rPr>
                <w:rFonts w:asciiTheme="minorHAnsi" w:eastAsia="Yu Gothic" w:hAnsiTheme="minorHAnsi" w:cstheme="minorHAnsi"/>
                <w:sz w:val="20"/>
                <w:szCs w:val="20"/>
                <w:lang w:eastAsia="ja-JP"/>
              </w:rPr>
              <w:br/>
              <w:t xml:space="preserve">(Ongoing) </w:t>
            </w:r>
          </w:p>
        </w:tc>
        <w:tc>
          <w:tcPr>
            <w:tcW w:w="484" w:type="pct"/>
            <w:vAlign w:val="center"/>
            <w:hideMark/>
          </w:tcPr>
          <w:p w14:paraId="25B7BBDC"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vAlign w:val="center"/>
            <w:hideMark/>
          </w:tcPr>
          <w:p w14:paraId="14AEBBF8"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5.4</w:t>
            </w:r>
          </w:p>
        </w:tc>
      </w:tr>
      <w:tr w:rsidR="00922BCB" w:rsidRPr="00922BCB" w14:paraId="377F539A" w14:textId="77777777" w:rsidTr="00922BCB">
        <w:tc>
          <w:tcPr>
            <w:tcW w:w="446" w:type="pct"/>
            <w:noWrap/>
            <w:hideMark/>
          </w:tcPr>
          <w:p w14:paraId="263C63FB"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9</w:t>
            </w:r>
          </w:p>
        </w:tc>
        <w:tc>
          <w:tcPr>
            <w:tcW w:w="1624" w:type="pct"/>
            <w:hideMark/>
          </w:tcPr>
          <w:p w14:paraId="75D44A6E"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P22X07. </w:t>
            </w:r>
            <w:r w:rsidRPr="00922BCB">
              <w:rPr>
                <w:rFonts w:asciiTheme="minorHAnsi" w:eastAsia="Yu Gothic" w:hAnsiTheme="minorHAnsi" w:cstheme="minorHAnsi"/>
                <w:color w:val="000000"/>
                <w:sz w:val="20"/>
                <w:szCs w:val="20"/>
                <w:lang w:eastAsia="ja-JP"/>
              </w:rPr>
              <w:t xml:space="preserve">Monitoring of the dFAD fishery to guide management </w:t>
            </w:r>
          </w:p>
        </w:tc>
        <w:tc>
          <w:tcPr>
            <w:tcW w:w="499" w:type="pct"/>
            <w:noWrap/>
            <w:vAlign w:val="center"/>
            <w:hideMark/>
          </w:tcPr>
          <w:p w14:paraId="46ACE398"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86,000</w:t>
            </w:r>
          </w:p>
        </w:tc>
        <w:tc>
          <w:tcPr>
            <w:tcW w:w="499" w:type="pct"/>
            <w:noWrap/>
            <w:vAlign w:val="center"/>
            <w:hideMark/>
          </w:tcPr>
          <w:p w14:paraId="71A42159"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40A03916"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5DBACE3E"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70CF217A"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554447B2"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5.4</w:t>
            </w:r>
          </w:p>
        </w:tc>
      </w:tr>
      <w:tr w:rsidR="00922BCB" w:rsidRPr="00922BCB" w14:paraId="003F05F2" w14:textId="77777777" w:rsidTr="00922BCB">
        <w:tc>
          <w:tcPr>
            <w:tcW w:w="446" w:type="pct"/>
            <w:noWrap/>
            <w:hideMark/>
          </w:tcPr>
          <w:p w14:paraId="2AB70FEA"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10</w:t>
            </w:r>
          </w:p>
        </w:tc>
        <w:tc>
          <w:tcPr>
            <w:tcW w:w="1624" w:type="pct"/>
            <w:hideMark/>
          </w:tcPr>
          <w:p w14:paraId="4BEA5D19"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P22X06. </w:t>
            </w:r>
            <w:r w:rsidRPr="00922BCB">
              <w:rPr>
                <w:rFonts w:asciiTheme="minorHAnsi" w:eastAsia="Yu Gothic" w:hAnsiTheme="minorHAnsi" w:cstheme="minorHAnsi"/>
                <w:color w:val="000000"/>
                <w:sz w:val="20"/>
                <w:szCs w:val="20"/>
                <w:lang w:eastAsia="ja-JP"/>
              </w:rPr>
              <w:t xml:space="preserve">Mitigation of the adverse environmental effects of FADs in the WCPO </w:t>
            </w:r>
          </w:p>
        </w:tc>
        <w:tc>
          <w:tcPr>
            <w:tcW w:w="499" w:type="pct"/>
            <w:noWrap/>
            <w:vAlign w:val="center"/>
            <w:hideMark/>
          </w:tcPr>
          <w:p w14:paraId="6B484E58"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133,000</w:t>
            </w:r>
          </w:p>
        </w:tc>
        <w:tc>
          <w:tcPr>
            <w:tcW w:w="499" w:type="pct"/>
            <w:noWrap/>
            <w:vAlign w:val="center"/>
            <w:hideMark/>
          </w:tcPr>
          <w:p w14:paraId="4FF276E3"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133,000</w:t>
            </w:r>
          </w:p>
        </w:tc>
        <w:tc>
          <w:tcPr>
            <w:tcW w:w="499" w:type="pct"/>
            <w:noWrap/>
            <w:vAlign w:val="center"/>
            <w:hideMark/>
          </w:tcPr>
          <w:p w14:paraId="23C7B21E"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133,000</w:t>
            </w:r>
          </w:p>
        </w:tc>
        <w:tc>
          <w:tcPr>
            <w:tcW w:w="645" w:type="pct"/>
            <w:vAlign w:val="center"/>
            <w:hideMark/>
          </w:tcPr>
          <w:p w14:paraId="3F08DF99"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2FF03D8C"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2E760232"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5.2</w:t>
            </w:r>
          </w:p>
        </w:tc>
      </w:tr>
      <w:tr w:rsidR="00922BCB" w:rsidRPr="00922BCB" w14:paraId="1DC9DEB9" w14:textId="77777777" w:rsidTr="00922BCB">
        <w:tc>
          <w:tcPr>
            <w:tcW w:w="446" w:type="pct"/>
            <w:noWrap/>
            <w:hideMark/>
          </w:tcPr>
          <w:p w14:paraId="0CD3B6DC"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11</w:t>
            </w:r>
          </w:p>
        </w:tc>
        <w:tc>
          <w:tcPr>
            <w:tcW w:w="1624" w:type="pct"/>
            <w:hideMark/>
          </w:tcPr>
          <w:p w14:paraId="311AD444"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P22X08. </w:t>
            </w:r>
            <w:r w:rsidRPr="00922BCB">
              <w:rPr>
                <w:rFonts w:asciiTheme="minorHAnsi" w:eastAsia="Yu Gothic" w:hAnsiTheme="minorHAnsi" w:cstheme="minorHAnsi"/>
                <w:color w:val="000000"/>
                <w:sz w:val="20"/>
                <w:szCs w:val="20"/>
                <w:lang w:eastAsia="ja-JP"/>
              </w:rPr>
              <w:t xml:space="preserve">Mitigating the environmental impacts of industrial </w:t>
            </w:r>
            <w:proofErr w:type="spellStart"/>
            <w:r w:rsidRPr="00922BCB">
              <w:rPr>
                <w:rFonts w:asciiTheme="minorHAnsi" w:eastAsia="Yu Gothic" w:hAnsiTheme="minorHAnsi" w:cstheme="minorHAnsi"/>
                <w:color w:val="000000"/>
                <w:sz w:val="20"/>
                <w:szCs w:val="20"/>
                <w:lang w:eastAsia="ja-JP"/>
              </w:rPr>
              <w:t>aFAD</w:t>
            </w:r>
            <w:proofErr w:type="spellEnd"/>
            <w:r w:rsidRPr="00922BCB">
              <w:rPr>
                <w:rFonts w:asciiTheme="minorHAnsi" w:eastAsia="Yu Gothic" w:hAnsiTheme="minorHAnsi" w:cstheme="minorHAnsi"/>
                <w:color w:val="000000"/>
                <w:sz w:val="20"/>
                <w:szCs w:val="20"/>
                <w:lang w:eastAsia="ja-JP"/>
              </w:rPr>
              <w:t xml:space="preserve"> loss </w:t>
            </w:r>
          </w:p>
        </w:tc>
        <w:tc>
          <w:tcPr>
            <w:tcW w:w="499" w:type="pct"/>
            <w:noWrap/>
            <w:vAlign w:val="center"/>
            <w:hideMark/>
          </w:tcPr>
          <w:p w14:paraId="63B0814D"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47,000</w:t>
            </w:r>
          </w:p>
        </w:tc>
        <w:tc>
          <w:tcPr>
            <w:tcW w:w="499" w:type="pct"/>
            <w:noWrap/>
            <w:vAlign w:val="center"/>
            <w:hideMark/>
          </w:tcPr>
          <w:p w14:paraId="055D41DD"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47,000</w:t>
            </w:r>
          </w:p>
        </w:tc>
        <w:tc>
          <w:tcPr>
            <w:tcW w:w="499" w:type="pct"/>
            <w:noWrap/>
            <w:vAlign w:val="center"/>
            <w:hideMark/>
          </w:tcPr>
          <w:p w14:paraId="65B47B6C"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47,000</w:t>
            </w:r>
          </w:p>
        </w:tc>
        <w:tc>
          <w:tcPr>
            <w:tcW w:w="645" w:type="pct"/>
            <w:vAlign w:val="center"/>
            <w:hideMark/>
          </w:tcPr>
          <w:p w14:paraId="57EFCAA8"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6555AFAD"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N/A</w:t>
            </w:r>
          </w:p>
        </w:tc>
        <w:tc>
          <w:tcPr>
            <w:tcW w:w="304" w:type="pct"/>
            <w:noWrap/>
            <w:vAlign w:val="center"/>
            <w:hideMark/>
          </w:tcPr>
          <w:p w14:paraId="23415E42"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4.5</w:t>
            </w:r>
          </w:p>
        </w:tc>
      </w:tr>
      <w:tr w:rsidR="00922BCB" w:rsidRPr="00922BCB" w14:paraId="2DCB99FC" w14:textId="77777777" w:rsidTr="00922BCB">
        <w:tc>
          <w:tcPr>
            <w:tcW w:w="446" w:type="pct"/>
            <w:noWrap/>
            <w:hideMark/>
          </w:tcPr>
          <w:p w14:paraId="64722364"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12</w:t>
            </w:r>
          </w:p>
        </w:tc>
        <w:tc>
          <w:tcPr>
            <w:tcW w:w="1624" w:type="pct"/>
            <w:hideMark/>
          </w:tcPr>
          <w:p w14:paraId="09C49869"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P22X05. </w:t>
            </w:r>
            <w:r w:rsidRPr="00922BCB">
              <w:rPr>
                <w:rFonts w:asciiTheme="minorHAnsi" w:eastAsia="Yu Gothic" w:hAnsiTheme="minorHAnsi" w:cstheme="minorHAnsi"/>
                <w:color w:val="000000"/>
                <w:sz w:val="20"/>
                <w:szCs w:val="20"/>
                <w:lang w:eastAsia="ja-JP"/>
              </w:rPr>
              <w:t xml:space="preserve">Data characterisation of black marlin, sailfish and shortbilled spearfish </w:t>
            </w:r>
          </w:p>
        </w:tc>
        <w:tc>
          <w:tcPr>
            <w:tcW w:w="499" w:type="pct"/>
            <w:noWrap/>
            <w:vAlign w:val="center"/>
            <w:hideMark/>
          </w:tcPr>
          <w:p w14:paraId="64B72E3C"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40,000</w:t>
            </w:r>
          </w:p>
        </w:tc>
        <w:tc>
          <w:tcPr>
            <w:tcW w:w="499" w:type="pct"/>
            <w:noWrap/>
            <w:vAlign w:val="center"/>
            <w:hideMark/>
          </w:tcPr>
          <w:p w14:paraId="627593DA"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53B60D27"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0A236DC8"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BRP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424F5966"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79257A23"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4.4</w:t>
            </w:r>
          </w:p>
        </w:tc>
      </w:tr>
      <w:tr w:rsidR="00922BCB" w:rsidRPr="00922BCB" w14:paraId="740EF052" w14:textId="77777777" w:rsidTr="00922BCB">
        <w:tc>
          <w:tcPr>
            <w:tcW w:w="446" w:type="pct"/>
            <w:noWrap/>
            <w:hideMark/>
          </w:tcPr>
          <w:p w14:paraId="76DF2964" w14:textId="77777777" w:rsidR="00922BCB" w:rsidRPr="00922BCB" w:rsidRDefault="00922BCB" w:rsidP="00835632">
            <w:pPr>
              <w:jc w:val="center"/>
              <w:rPr>
                <w:rFonts w:asciiTheme="minorHAnsi" w:eastAsiaTheme="minorEastAsia" w:hAnsiTheme="minorHAnsi" w:cstheme="minorHAnsi"/>
                <w:color w:val="000000"/>
                <w:sz w:val="20"/>
                <w:szCs w:val="20"/>
                <w:lang w:eastAsia="ko-KR"/>
              </w:rPr>
            </w:pPr>
            <w:r w:rsidRPr="00922BCB">
              <w:rPr>
                <w:rFonts w:asciiTheme="minorHAnsi" w:eastAsiaTheme="minorEastAsia" w:hAnsiTheme="minorHAnsi" w:cstheme="minorHAnsi"/>
                <w:color w:val="000000"/>
                <w:sz w:val="20"/>
                <w:szCs w:val="20"/>
                <w:lang w:eastAsia="ko-KR"/>
              </w:rPr>
              <w:t>13</w:t>
            </w:r>
          </w:p>
        </w:tc>
        <w:tc>
          <w:tcPr>
            <w:tcW w:w="1624" w:type="pct"/>
            <w:hideMark/>
          </w:tcPr>
          <w:p w14:paraId="6A43E127" w14:textId="77777777" w:rsidR="00922BCB" w:rsidRPr="00922BCB" w:rsidRDefault="00922BCB" w:rsidP="00835632">
            <w:pP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 xml:space="preserve">P22X03. </w:t>
            </w:r>
            <w:r w:rsidRPr="00922BCB">
              <w:rPr>
                <w:rFonts w:asciiTheme="minorHAnsi" w:eastAsia="Yu Gothic" w:hAnsiTheme="minorHAnsi" w:cstheme="minorHAnsi"/>
                <w:color w:val="000000"/>
                <w:sz w:val="20"/>
                <w:szCs w:val="20"/>
                <w:lang w:eastAsia="ja-JP"/>
              </w:rPr>
              <w:t xml:space="preserve">Bycatch Mitigation Information System </w:t>
            </w:r>
          </w:p>
        </w:tc>
        <w:tc>
          <w:tcPr>
            <w:tcW w:w="499" w:type="pct"/>
            <w:noWrap/>
            <w:vAlign w:val="center"/>
            <w:hideMark/>
          </w:tcPr>
          <w:p w14:paraId="27BFB6F2" w14:textId="77777777" w:rsidR="00922BCB" w:rsidRPr="00922BCB" w:rsidRDefault="00922BCB" w:rsidP="00835632">
            <w:pPr>
              <w:jc w:val="right"/>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32,000</w:t>
            </w:r>
          </w:p>
        </w:tc>
        <w:tc>
          <w:tcPr>
            <w:tcW w:w="499" w:type="pct"/>
            <w:noWrap/>
            <w:vAlign w:val="center"/>
            <w:hideMark/>
          </w:tcPr>
          <w:p w14:paraId="00DA2607" w14:textId="77777777" w:rsidR="00922BCB" w:rsidRPr="00922BCB" w:rsidRDefault="00922BCB" w:rsidP="00835632">
            <w:pPr>
              <w:jc w:val="right"/>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99" w:type="pct"/>
            <w:noWrap/>
            <w:vAlign w:val="bottom"/>
            <w:hideMark/>
          </w:tcPr>
          <w:p w14:paraId="4BF1924A"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645" w:type="pct"/>
            <w:vAlign w:val="center"/>
            <w:hideMark/>
          </w:tcPr>
          <w:p w14:paraId="0D86001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Responsibility: SPC-OFP</w:t>
            </w:r>
            <w:r w:rsidRPr="00922BCB">
              <w:rPr>
                <w:rFonts w:asciiTheme="minorHAnsi" w:eastAsia="Yu Gothic" w:hAnsiTheme="minorHAnsi" w:cstheme="minorHAnsi"/>
                <w:color w:val="000000"/>
                <w:sz w:val="20"/>
                <w:szCs w:val="20"/>
                <w:lang w:eastAsia="ja-JP"/>
              </w:rPr>
              <w:br/>
              <w:t>(New project)</w:t>
            </w:r>
          </w:p>
        </w:tc>
        <w:tc>
          <w:tcPr>
            <w:tcW w:w="484" w:type="pct"/>
            <w:vAlign w:val="center"/>
            <w:hideMark/>
          </w:tcPr>
          <w:p w14:paraId="10AD9179"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SPC data</w:t>
            </w:r>
          </w:p>
        </w:tc>
        <w:tc>
          <w:tcPr>
            <w:tcW w:w="304" w:type="pct"/>
            <w:noWrap/>
            <w:vAlign w:val="center"/>
            <w:hideMark/>
          </w:tcPr>
          <w:p w14:paraId="6DB28115"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3.3</w:t>
            </w:r>
          </w:p>
        </w:tc>
      </w:tr>
      <w:tr w:rsidR="00922BCB" w:rsidRPr="00922BCB" w14:paraId="6EA56717" w14:textId="77777777" w:rsidTr="00922BCB">
        <w:tc>
          <w:tcPr>
            <w:tcW w:w="446" w:type="pct"/>
            <w:shd w:val="clear" w:color="000000" w:fill="D9D9D9"/>
            <w:noWrap/>
            <w:hideMark/>
          </w:tcPr>
          <w:p w14:paraId="7C2676FE" w14:textId="77777777" w:rsidR="00922BCB" w:rsidRPr="00922BCB" w:rsidRDefault="00922BCB" w:rsidP="00835632">
            <w:pPr>
              <w:jc w:val="cente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1624" w:type="pct"/>
            <w:shd w:val="clear" w:color="000000" w:fill="D9D9D9"/>
            <w:vAlign w:val="center"/>
            <w:hideMark/>
          </w:tcPr>
          <w:p w14:paraId="6AAFDC31" w14:textId="77777777" w:rsidR="00922BCB" w:rsidRPr="00922BCB" w:rsidRDefault="00922BCB" w:rsidP="00835632">
            <w:pPr>
              <w:jc w:val="center"/>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Total Sub-item 2.</w:t>
            </w:r>
          </w:p>
        </w:tc>
        <w:tc>
          <w:tcPr>
            <w:tcW w:w="499" w:type="pct"/>
            <w:shd w:val="clear" w:color="000000" w:fill="FFF2CC"/>
            <w:noWrap/>
            <w:vAlign w:val="center"/>
            <w:hideMark/>
          </w:tcPr>
          <w:p w14:paraId="30F2CF37"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2,553,278</w:t>
            </w:r>
          </w:p>
        </w:tc>
        <w:tc>
          <w:tcPr>
            <w:tcW w:w="499" w:type="pct"/>
            <w:shd w:val="clear" w:color="000000" w:fill="FFF2CC"/>
            <w:noWrap/>
            <w:vAlign w:val="center"/>
            <w:hideMark/>
          </w:tcPr>
          <w:p w14:paraId="6E042C8C"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1,789,884</w:t>
            </w:r>
          </w:p>
        </w:tc>
        <w:tc>
          <w:tcPr>
            <w:tcW w:w="499" w:type="pct"/>
            <w:shd w:val="clear" w:color="000000" w:fill="FFF2CC"/>
            <w:noWrap/>
            <w:vAlign w:val="center"/>
            <w:hideMark/>
          </w:tcPr>
          <w:p w14:paraId="312DE036"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1,689,681</w:t>
            </w:r>
          </w:p>
        </w:tc>
        <w:tc>
          <w:tcPr>
            <w:tcW w:w="645" w:type="pct"/>
            <w:shd w:val="clear" w:color="000000" w:fill="D9D9D9"/>
            <w:vAlign w:val="center"/>
            <w:hideMark/>
          </w:tcPr>
          <w:p w14:paraId="47FF3A14"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484" w:type="pct"/>
            <w:shd w:val="clear" w:color="000000" w:fill="D9D9D9"/>
            <w:vAlign w:val="center"/>
            <w:hideMark/>
          </w:tcPr>
          <w:p w14:paraId="05E8D4DB" w14:textId="77777777" w:rsidR="00922BCB" w:rsidRPr="00922BCB" w:rsidRDefault="00922BCB" w:rsidP="00835632">
            <w:pPr>
              <w:rPr>
                <w:rFonts w:asciiTheme="minorHAnsi" w:eastAsia="Yu Gothic" w:hAnsiTheme="minorHAnsi" w:cstheme="minorHAnsi"/>
                <w:sz w:val="20"/>
                <w:szCs w:val="20"/>
                <w:lang w:eastAsia="ja-JP"/>
              </w:rPr>
            </w:pPr>
            <w:r w:rsidRPr="00922BCB">
              <w:rPr>
                <w:rFonts w:asciiTheme="minorHAnsi" w:eastAsia="Yu Gothic" w:hAnsiTheme="minorHAnsi" w:cstheme="minorHAnsi"/>
                <w:sz w:val="20"/>
                <w:szCs w:val="20"/>
                <w:lang w:eastAsia="ja-JP"/>
              </w:rPr>
              <w:t xml:space="preserve">　</w:t>
            </w:r>
          </w:p>
        </w:tc>
        <w:tc>
          <w:tcPr>
            <w:tcW w:w="304" w:type="pct"/>
            <w:shd w:val="clear" w:color="000000" w:fill="D9D9D9"/>
            <w:noWrap/>
            <w:vAlign w:val="bottom"/>
            <w:hideMark/>
          </w:tcPr>
          <w:p w14:paraId="503A7B9F"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r w:rsidR="00922BCB" w:rsidRPr="00922BCB" w14:paraId="3D6E14FA" w14:textId="77777777" w:rsidTr="00922BCB">
        <w:tc>
          <w:tcPr>
            <w:tcW w:w="446" w:type="pct"/>
            <w:shd w:val="clear" w:color="000000" w:fill="D9D9D9"/>
            <w:noWrap/>
            <w:hideMark/>
          </w:tcPr>
          <w:p w14:paraId="5A70BF83" w14:textId="77777777" w:rsidR="00922BCB" w:rsidRPr="00922BCB" w:rsidRDefault="00922BCB" w:rsidP="00835632">
            <w:pPr>
              <w:jc w:val="cente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1624" w:type="pct"/>
            <w:shd w:val="clear" w:color="000000" w:fill="D9D9D9"/>
            <w:vAlign w:val="center"/>
            <w:hideMark/>
          </w:tcPr>
          <w:p w14:paraId="326FDCA2" w14:textId="77777777" w:rsidR="00922BCB" w:rsidRPr="00922BCB" w:rsidRDefault="00922BCB" w:rsidP="00835632">
            <w:pPr>
              <w:jc w:val="center"/>
              <w:rPr>
                <w:rFonts w:asciiTheme="minorHAnsi" w:eastAsia="Yu Gothic" w:hAnsiTheme="minorHAnsi" w:cstheme="minorHAnsi"/>
                <w:b/>
                <w:bCs/>
                <w:color w:val="000000"/>
                <w:sz w:val="20"/>
                <w:szCs w:val="20"/>
                <w:lang w:eastAsia="ja-JP"/>
              </w:rPr>
            </w:pPr>
            <w:r w:rsidRPr="00922BCB">
              <w:rPr>
                <w:rFonts w:asciiTheme="minorHAnsi" w:eastAsia="Yu Gothic" w:hAnsiTheme="minorHAnsi" w:cstheme="minorHAnsi"/>
                <w:b/>
                <w:bCs/>
                <w:color w:val="000000"/>
                <w:sz w:val="20"/>
                <w:szCs w:val="20"/>
                <w:lang w:eastAsia="ja-JP"/>
              </w:rPr>
              <w:t>Total SC budget (Sub-items 1+2)</w:t>
            </w:r>
          </w:p>
        </w:tc>
        <w:tc>
          <w:tcPr>
            <w:tcW w:w="499" w:type="pct"/>
            <w:shd w:val="clear" w:color="000000" w:fill="FFF2CC"/>
            <w:noWrap/>
            <w:vAlign w:val="center"/>
            <w:hideMark/>
          </w:tcPr>
          <w:p w14:paraId="4A5979DD"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3,615,266</w:t>
            </w:r>
          </w:p>
        </w:tc>
        <w:tc>
          <w:tcPr>
            <w:tcW w:w="499" w:type="pct"/>
            <w:shd w:val="clear" w:color="000000" w:fill="FFF2CC"/>
            <w:noWrap/>
            <w:vAlign w:val="center"/>
            <w:hideMark/>
          </w:tcPr>
          <w:p w14:paraId="65A4FEE1"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2,873,111</w:t>
            </w:r>
          </w:p>
        </w:tc>
        <w:tc>
          <w:tcPr>
            <w:tcW w:w="499" w:type="pct"/>
            <w:shd w:val="clear" w:color="000000" w:fill="FFF2CC"/>
            <w:noWrap/>
            <w:vAlign w:val="center"/>
            <w:hideMark/>
          </w:tcPr>
          <w:p w14:paraId="05D2F7A7" w14:textId="77777777" w:rsidR="00922BCB" w:rsidRPr="00922BCB" w:rsidRDefault="00922BCB" w:rsidP="00835632">
            <w:pPr>
              <w:jc w:val="right"/>
              <w:rPr>
                <w:rFonts w:asciiTheme="minorHAnsi" w:eastAsia="Yu Gothic" w:hAnsiTheme="minorHAnsi" w:cstheme="minorHAnsi"/>
                <w:b/>
                <w:bCs/>
                <w:sz w:val="20"/>
                <w:szCs w:val="20"/>
                <w:lang w:eastAsia="ja-JP"/>
              </w:rPr>
            </w:pPr>
            <w:r w:rsidRPr="00922BCB">
              <w:rPr>
                <w:rFonts w:asciiTheme="minorHAnsi" w:eastAsia="Yu Gothic" w:hAnsiTheme="minorHAnsi" w:cstheme="minorHAnsi"/>
                <w:b/>
                <w:bCs/>
                <w:sz w:val="20"/>
                <w:szCs w:val="20"/>
                <w:lang w:eastAsia="ja-JP"/>
              </w:rPr>
              <w:t>2,794,573</w:t>
            </w:r>
          </w:p>
        </w:tc>
        <w:tc>
          <w:tcPr>
            <w:tcW w:w="645" w:type="pct"/>
            <w:shd w:val="clear" w:color="000000" w:fill="D9D9D9"/>
            <w:vAlign w:val="center"/>
            <w:hideMark/>
          </w:tcPr>
          <w:p w14:paraId="09736317"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484" w:type="pct"/>
            <w:shd w:val="clear" w:color="000000" w:fill="D9D9D9"/>
            <w:vAlign w:val="center"/>
            <w:hideMark/>
          </w:tcPr>
          <w:p w14:paraId="4E492846"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c>
          <w:tcPr>
            <w:tcW w:w="304" w:type="pct"/>
            <w:shd w:val="clear" w:color="000000" w:fill="D9D9D9"/>
            <w:noWrap/>
            <w:vAlign w:val="bottom"/>
            <w:hideMark/>
          </w:tcPr>
          <w:p w14:paraId="679AEC74" w14:textId="77777777" w:rsidR="00922BCB" w:rsidRPr="00922BCB" w:rsidRDefault="00922BCB" w:rsidP="00835632">
            <w:pPr>
              <w:rPr>
                <w:rFonts w:asciiTheme="minorHAnsi" w:eastAsia="Yu Gothic" w:hAnsiTheme="minorHAnsi" w:cstheme="minorHAnsi"/>
                <w:color w:val="000000"/>
                <w:sz w:val="20"/>
                <w:szCs w:val="20"/>
                <w:lang w:eastAsia="ja-JP"/>
              </w:rPr>
            </w:pPr>
            <w:r w:rsidRPr="00922BCB">
              <w:rPr>
                <w:rFonts w:asciiTheme="minorHAnsi" w:eastAsia="Yu Gothic" w:hAnsiTheme="minorHAnsi" w:cstheme="minorHAnsi"/>
                <w:color w:val="000000"/>
                <w:sz w:val="20"/>
                <w:szCs w:val="20"/>
                <w:lang w:eastAsia="ja-JP"/>
              </w:rPr>
              <w:t xml:space="preserve">　</w:t>
            </w:r>
          </w:p>
        </w:tc>
      </w:tr>
    </w:tbl>
    <w:p w14:paraId="5BD0B224" w14:textId="77777777" w:rsidR="00922BCB" w:rsidRDefault="00922BCB" w:rsidP="00BB29B0">
      <w:pPr>
        <w:autoSpaceDE w:val="0"/>
        <w:autoSpaceDN w:val="0"/>
        <w:adjustRightInd w:val="0"/>
        <w:snapToGrid w:val="0"/>
        <w:jc w:val="both"/>
        <w:rPr>
          <w:rFonts w:asciiTheme="minorHAnsi" w:eastAsiaTheme="minorEastAsia" w:hAnsiTheme="minorHAnsi" w:cstheme="minorHAnsi"/>
          <w:szCs w:val="22"/>
          <w:lang w:eastAsia="ko-KR"/>
        </w:rPr>
        <w:sectPr w:rsidR="00922BCB" w:rsidSect="00922BCB">
          <w:pgSz w:w="15840" w:h="12240" w:orient="landscape" w:code="1"/>
          <w:pgMar w:top="1440" w:right="1440" w:bottom="1440" w:left="1440" w:header="720" w:footer="720" w:gutter="0"/>
          <w:cols w:space="720"/>
          <w:docGrid w:linePitch="360"/>
        </w:sectPr>
      </w:pPr>
    </w:p>
    <w:p w14:paraId="4B9C2820" w14:textId="1E11ED20" w:rsidR="005B1AC4" w:rsidRPr="00B845AF" w:rsidRDefault="001C3FF6" w:rsidP="003F6119">
      <w:pPr>
        <w:kinsoku w:val="0"/>
        <w:overflowPunct w:val="0"/>
        <w:autoSpaceDE w:val="0"/>
        <w:autoSpaceDN w:val="0"/>
        <w:jc w:val="center"/>
        <w:rPr>
          <w:rFonts w:asciiTheme="minorHAnsi" w:hAnsiTheme="minorHAnsi" w:cstheme="minorHAnsi"/>
          <w:b/>
          <w:bCs/>
          <w:szCs w:val="22"/>
        </w:rPr>
      </w:pPr>
      <w:r w:rsidRPr="00B845AF">
        <w:rPr>
          <w:rFonts w:asciiTheme="minorHAnsi" w:hAnsiTheme="minorHAnsi" w:cstheme="minorHAnsi"/>
          <w:b/>
          <w:szCs w:val="22"/>
        </w:rPr>
        <w:lastRenderedPageBreak/>
        <w:t>A</w:t>
      </w:r>
      <w:r w:rsidR="00645E8E" w:rsidRPr="00B845AF">
        <w:rPr>
          <w:rFonts w:asciiTheme="minorHAnsi" w:hAnsiTheme="minorHAnsi" w:cstheme="minorHAnsi"/>
          <w:b/>
          <w:szCs w:val="22"/>
        </w:rPr>
        <w:t>GE</w:t>
      </w:r>
      <w:r w:rsidR="00F67A29" w:rsidRPr="00B845AF">
        <w:rPr>
          <w:rFonts w:asciiTheme="minorHAnsi" w:hAnsiTheme="minorHAnsi" w:cstheme="minorHAnsi"/>
          <w:b/>
          <w:szCs w:val="22"/>
        </w:rPr>
        <w:t>N</w:t>
      </w:r>
      <w:r w:rsidR="00645E8E" w:rsidRPr="00B845AF">
        <w:rPr>
          <w:rFonts w:asciiTheme="minorHAnsi" w:hAnsiTheme="minorHAnsi" w:cstheme="minorHAnsi"/>
          <w:b/>
          <w:szCs w:val="22"/>
        </w:rPr>
        <w:t xml:space="preserve">DA ITEM </w:t>
      </w:r>
      <w:r w:rsidR="00B2085A" w:rsidRPr="00B845AF">
        <w:rPr>
          <w:rFonts w:asciiTheme="minorHAnsi" w:hAnsiTheme="minorHAnsi" w:cstheme="minorHAnsi"/>
          <w:b/>
          <w:szCs w:val="22"/>
        </w:rPr>
        <w:t>1</w:t>
      </w:r>
      <w:r w:rsidR="001A0EA0" w:rsidRPr="00B845AF">
        <w:rPr>
          <w:rFonts w:asciiTheme="minorHAnsi" w:hAnsiTheme="minorHAnsi" w:cstheme="minorHAnsi"/>
          <w:b/>
          <w:szCs w:val="22"/>
        </w:rPr>
        <w:t>1</w:t>
      </w:r>
      <w:r w:rsidR="00645E8E" w:rsidRPr="00B845AF">
        <w:rPr>
          <w:rFonts w:asciiTheme="minorHAnsi" w:hAnsiTheme="minorHAnsi" w:cstheme="minorHAnsi"/>
          <w:b/>
          <w:szCs w:val="22"/>
        </w:rPr>
        <w:t xml:space="preserve"> — </w:t>
      </w:r>
      <w:r w:rsidR="008A0140" w:rsidRPr="00B845AF">
        <w:rPr>
          <w:rFonts w:asciiTheme="minorHAnsi" w:hAnsiTheme="minorHAnsi" w:cstheme="minorHAnsi"/>
          <w:b/>
          <w:szCs w:val="22"/>
        </w:rPr>
        <w:t>ADMINISTRATIVE MATTERS</w:t>
      </w:r>
    </w:p>
    <w:p w14:paraId="505DF20E" w14:textId="619C4AF2" w:rsidR="00412FA2" w:rsidRPr="00B845AF" w:rsidRDefault="00412FA2" w:rsidP="00AC5834">
      <w:pPr>
        <w:pStyle w:val="Heading1"/>
        <w:numPr>
          <w:ilvl w:val="0"/>
          <w:numId w:val="0"/>
        </w:numPr>
        <w:adjustRightInd w:val="0"/>
        <w:snapToGrid w:val="0"/>
        <w:spacing w:after="0"/>
        <w:ind w:left="720" w:hanging="360"/>
        <w:jc w:val="both"/>
        <w:rPr>
          <w:rFonts w:asciiTheme="minorHAnsi" w:hAnsiTheme="minorHAnsi" w:cstheme="minorHAnsi"/>
        </w:rPr>
      </w:pPr>
      <w:r w:rsidRPr="00B845AF">
        <w:rPr>
          <w:rFonts w:asciiTheme="minorHAnsi" w:hAnsiTheme="minorHAnsi" w:cstheme="minorHAnsi"/>
        </w:rPr>
        <w:fldChar w:fldCharType="begin"/>
      </w:r>
      <w:r w:rsidRPr="00B845AF">
        <w:rPr>
          <w:rFonts w:asciiTheme="minorHAnsi" w:hAnsiTheme="minorHAnsi" w:cstheme="minorHAnsi"/>
        </w:rPr>
        <w:instrText xml:space="preserve"> TC "</w:instrText>
      </w:r>
      <w:bookmarkStart w:id="80" w:name="_Toc239261433"/>
      <w:r w:rsidRPr="00B845AF">
        <w:rPr>
          <w:rFonts w:asciiTheme="minorHAnsi" w:hAnsiTheme="minorHAnsi" w:cstheme="minorHAnsi"/>
        </w:rPr>
        <w:instrText xml:space="preserve">AGENDA ITEM 11 — </w:instrText>
      </w:r>
      <w:r w:rsidRPr="00B845AF">
        <w:rPr>
          <w:rFonts w:asciiTheme="minorHAnsi" w:hAnsiTheme="minorHAnsi" w:cstheme="minorHAnsi"/>
          <w:bCs w:val="0"/>
        </w:rPr>
        <w:instrText>ADMINISTRATIVE MATTERS</w:instrText>
      </w:r>
      <w:bookmarkEnd w:id="80"/>
      <w:r w:rsidRPr="00B845AF">
        <w:rPr>
          <w:rFonts w:asciiTheme="minorHAnsi" w:hAnsiTheme="minorHAnsi" w:cstheme="minorHAnsi"/>
        </w:rPr>
        <w:instrText xml:space="preserve"> " \f C \l "1"</w:instrText>
      </w:r>
      <w:r w:rsidRPr="00B845AF">
        <w:rPr>
          <w:rFonts w:asciiTheme="minorHAnsi" w:hAnsiTheme="minorHAnsi" w:cstheme="minorHAnsi"/>
        </w:rPr>
        <w:fldChar w:fldCharType="end"/>
      </w:r>
    </w:p>
    <w:p w14:paraId="01AB2CC7" w14:textId="77777777" w:rsidR="00F67A29" w:rsidRPr="00B845AF" w:rsidRDefault="00F67A29" w:rsidP="00762788">
      <w:pPr>
        <w:kinsoku w:val="0"/>
        <w:overflowPunct w:val="0"/>
        <w:autoSpaceDE w:val="0"/>
        <w:autoSpaceDN w:val="0"/>
        <w:adjustRightInd w:val="0"/>
        <w:snapToGrid w:val="0"/>
        <w:jc w:val="both"/>
        <w:rPr>
          <w:rFonts w:asciiTheme="minorHAnsi" w:hAnsiTheme="minorHAnsi" w:cstheme="minorHAnsi"/>
          <w:b/>
          <w:vanish/>
          <w:szCs w:val="22"/>
        </w:rPr>
      </w:pPr>
    </w:p>
    <w:p w14:paraId="1E88625B" w14:textId="77777777" w:rsidR="00805898" w:rsidRPr="00B845AF" w:rsidRDefault="00805898">
      <w:pPr>
        <w:pStyle w:val="ListParagraph"/>
        <w:keepNext/>
        <w:numPr>
          <w:ilvl w:val="0"/>
          <w:numId w:val="7"/>
        </w:numPr>
        <w:suppressLineNumbers/>
        <w:adjustRightInd w:val="0"/>
        <w:snapToGrid w:val="0"/>
        <w:spacing w:after="220"/>
        <w:jc w:val="both"/>
        <w:outlineLvl w:val="1"/>
        <w:rPr>
          <w:rFonts w:asciiTheme="minorHAnsi" w:hAnsiTheme="minorHAnsi" w:cstheme="minorHAnsi"/>
          <w:b/>
          <w:vanish/>
          <w:szCs w:val="22"/>
        </w:rPr>
      </w:pPr>
    </w:p>
    <w:p w14:paraId="7132990E" w14:textId="70019C23" w:rsidR="00F67A29" w:rsidRPr="00B845AF" w:rsidRDefault="00F67A29">
      <w:pPr>
        <w:pStyle w:val="SC2"/>
        <w:rPr>
          <w:rFonts w:asciiTheme="minorHAnsi" w:hAnsiTheme="minorHAnsi" w:cstheme="minorHAnsi"/>
        </w:rPr>
      </w:pPr>
      <w:r w:rsidRPr="00B845AF">
        <w:rPr>
          <w:rFonts w:asciiTheme="minorHAnsi" w:hAnsiTheme="minorHAnsi" w:cstheme="minorHAnsi"/>
        </w:rPr>
        <w:t xml:space="preserve">Future </w:t>
      </w:r>
      <w:r w:rsidR="00DE59D3" w:rsidRPr="00B845AF">
        <w:rPr>
          <w:rFonts w:asciiTheme="minorHAnsi" w:hAnsiTheme="minorHAnsi" w:cstheme="minorHAnsi"/>
        </w:rPr>
        <w:t>O</w:t>
      </w:r>
      <w:r w:rsidRPr="00B845AF">
        <w:rPr>
          <w:rFonts w:asciiTheme="minorHAnsi" w:hAnsiTheme="minorHAnsi" w:cstheme="minorHAnsi"/>
        </w:rPr>
        <w:t xml:space="preserve">peration of the Scientific Committee </w:t>
      </w:r>
    </w:p>
    <w:p w14:paraId="288E846B" w14:textId="7D4FB7F5" w:rsidR="00F67A29" w:rsidRPr="00B845AF" w:rsidRDefault="00AB3E6F">
      <w:pPr>
        <w:pStyle w:val="SC3"/>
        <w:rPr>
          <w:rFonts w:asciiTheme="minorHAnsi" w:hAnsiTheme="minorHAnsi" w:cstheme="minorHAnsi"/>
        </w:rPr>
      </w:pPr>
      <w:r w:rsidRPr="00B845AF">
        <w:rPr>
          <w:rFonts w:asciiTheme="minorHAnsi" w:hAnsiTheme="minorHAnsi" w:cstheme="minorHAnsi"/>
        </w:rPr>
        <w:t>Activities addressing challenges in the delivery of stock assessments in time for member’s peer review</w:t>
      </w:r>
    </w:p>
    <w:p w14:paraId="53AFB1EE" w14:textId="77777777" w:rsidR="00DF0590" w:rsidRPr="00B845AF" w:rsidRDefault="00DF0590">
      <w:pPr>
        <w:pStyle w:val="SCtext"/>
        <w:rPr>
          <w:rFonts w:asciiTheme="minorHAnsi" w:hAnsiTheme="minorHAnsi" w:cstheme="minorHAnsi"/>
          <w:lang w:val="en-US"/>
        </w:rPr>
      </w:pPr>
      <w:r w:rsidRPr="00B845AF">
        <w:rPr>
          <w:rFonts w:asciiTheme="minorHAnsi" w:hAnsiTheme="minorHAnsi" w:cstheme="minorHAnsi"/>
          <w:lang w:val="en-US"/>
        </w:rPr>
        <w:t xml:space="preserve">G. Pilling (SPC-OFP) presented </w:t>
      </w:r>
      <w:hyperlink r:id="rId113" w:history="1">
        <w:r w:rsidRPr="00B845AF">
          <w:rPr>
            <w:rStyle w:val="Hyperlink"/>
            <w:rFonts w:asciiTheme="minorHAnsi" w:hAnsiTheme="minorHAnsi" w:cstheme="minorHAnsi"/>
            <w:lang w:val="en-US"/>
          </w:rPr>
          <w:t>WCPFC-SC22-2026-GN-IP06</w:t>
        </w:r>
      </w:hyperlink>
      <w:r w:rsidRPr="00B845AF">
        <w:rPr>
          <w:rFonts w:asciiTheme="minorHAnsi" w:hAnsiTheme="minorHAnsi" w:cstheme="minorHAnsi"/>
          <w:lang w:val="en-US"/>
        </w:rPr>
        <w:t xml:space="preserve">, reporting on SSP progress against the WCPFC22 outcomes (para 261(c)-(f)) concerning delays in delivering stock assessments in time for member peer review. </w:t>
      </w:r>
    </w:p>
    <w:p w14:paraId="2B760B8C" w14:textId="77777777" w:rsidR="00DF0590" w:rsidRPr="00B845AF" w:rsidRDefault="00DF0590" w:rsidP="00DF0590">
      <w:pPr>
        <w:pStyle w:val="SCtext"/>
        <w:numPr>
          <w:ilvl w:val="0"/>
          <w:numId w:val="0"/>
        </w:numPr>
        <w:rPr>
          <w:rFonts w:asciiTheme="minorHAnsi" w:hAnsiTheme="minorHAnsi" w:cstheme="minorHAnsi"/>
          <w:lang w:val="en-US"/>
        </w:rPr>
      </w:pPr>
    </w:p>
    <w:p w14:paraId="4A1CE69D" w14:textId="7EA5084F" w:rsidR="00CA40D1" w:rsidRPr="00B845AF" w:rsidRDefault="00DF0590" w:rsidP="00DF0590">
      <w:pPr>
        <w:pStyle w:val="SCtext"/>
        <w:numPr>
          <w:ilvl w:val="0"/>
          <w:numId w:val="0"/>
        </w:numPr>
        <w:ind w:left="720"/>
        <w:rPr>
          <w:rFonts w:asciiTheme="minorHAnsi" w:hAnsiTheme="minorHAnsi" w:cstheme="minorHAnsi"/>
          <w:lang w:val="en-US"/>
        </w:rPr>
      </w:pPr>
      <w:r w:rsidRPr="00B845AF">
        <w:rPr>
          <w:rFonts w:asciiTheme="minorHAnsi" w:hAnsiTheme="minorHAnsi" w:cstheme="minorHAnsi"/>
          <w:lang w:val="en-US"/>
        </w:rPr>
        <w:t xml:space="preserve">On CCM engagement, he described two November 2025 online </w:t>
      </w:r>
      <w:r w:rsidR="007E7E91" w:rsidRPr="00B845AF">
        <w:rPr>
          <w:rFonts w:asciiTheme="minorHAnsi" w:hAnsiTheme="minorHAnsi" w:cstheme="minorHAnsi"/>
          <w:lang w:val="en-US"/>
        </w:rPr>
        <w:t>“</w:t>
      </w:r>
      <w:r w:rsidRPr="00B845AF">
        <w:rPr>
          <w:rFonts w:asciiTheme="minorHAnsi" w:hAnsiTheme="minorHAnsi" w:cstheme="minorHAnsi"/>
          <w:lang w:val="en-US"/>
        </w:rPr>
        <w:t>pre-pre-assessment</w:t>
      </w:r>
      <w:r w:rsidR="007E7E91" w:rsidRPr="00B845AF">
        <w:rPr>
          <w:rFonts w:asciiTheme="minorHAnsi" w:hAnsiTheme="minorHAnsi" w:cstheme="minorHAnsi"/>
          <w:lang w:val="en-US"/>
        </w:rPr>
        <w:t>”</w:t>
      </w:r>
      <w:r w:rsidRPr="00B845AF">
        <w:rPr>
          <w:rFonts w:asciiTheme="minorHAnsi" w:hAnsiTheme="minorHAnsi" w:cstheme="minorHAnsi"/>
          <w:lang w:val="en-US"/>
        </w:rPr>
        <w:t xml:space="preserve"> workshops and a hybrid Pre-Assessment Workshop in Noumea in March 2026, while noting the need to balance CCM input with independent scientific analysis and adequate time for assessment scientists. On the SciData deadline, he cited an average 18-day turnaround under the new standardized templates (WCPFC22-2025-38) but noted no alternative to the status quo has emerged for CCMs facing earlier-submission challenges, pointing to increased electronic reporting as a potential solution. On meeting timetables, he reported no clear solution, since other tRFMO secretariats consider rescheduling currently infeasible and any </w:t>
      </w:r>
      <w:proofErr w:type="spellStart"/>
      <w:r w:rsidRPr="00B845AF">
        <w:rPr>
          <w:rFonts w:asciiTheme="minorHAnsi" w:hAnsiTheme="minorHAnsi" w:cstheme="minorHAnsi"/>
          <w:lang w:val="en-US"/>
        </w:rPr>
        <w:t>recalendaring</w:t>
      </w:r>
      <w:proofErr w:type="spellEnd"/>
      <w:r w:rsidRPr="00B845AF">
        <w:rPr>
          <w:rFonts w:asciiTheme="minorHAnsi" w:hAnsiTheme="minorHAnsi" w:cstheme="minorHAnsi"/>
          <w:lang w:val="en-US"/>
        </w:rPr>
        <w:t xml:space="preserve"> would take several years. He closed by inviting SC22 to support early data submission where feasible, give the SSP feedback on the submission process, and consider prioritization of SC projects for Commission funding (linking to SC22-GN-WP05).</w:t>
      </w:r>
    </w:p>
    <w:p w14:paraId="6FC169CC" w14:textId="5724E3B6" w:rsidR="00D10FF3" w:rsidRPr="00B845AF" w:rsidRDefault="00D10FF3" w:rsidP="00D10FF3">
      <w:pPr>
        <w:pStyle w:val="SCtext"/>
        <w:numPr>
          <w:ilvl w:val="0"/>
          <w:numId w:val="0"/>
        </w:numPr>
        <w:rPr>
          <w:rFonts w:asciiTheme="minorHAnsi" w:hAnsiTheme="minorHAnsi" w:cstheme="minorHAnsi"/>
          <w:lang w:val="en-US"/>
        </w:rPr>
      </w:pPr>
    </w:p>
    <w:p w14:paraId="3D409635" w14:textId="4138613A" w:rsidR="007E7E91" w:rsidRPr="00B845AF" w:rsidRDefault="007E7E91" w:rsidP="007E7E91">
      <w:pPr>
        <w:pStyle w:val="SCDR"/>
        <w:rPr>
          <w:rFonts w:asciiTheme="minorHAnsi" w:hAnsiTheme="minorHAnsi" w:cstheme="minorHAnsi"/>
          <w:lang w:eastAsia="ja-JP"/>
        </w:rPr>
      </w:pPr>
      <w:r w:rsidRPr="00B845AF">
        <w:rPr>
          <w:rFonts w:asciiTheme="minorHAnsi" w:hAnsiTheme="minorHAnsi" w:cstheme="minorHAnsi"/>
          <w:lang w:eastAsia="ja-JP"/>
        </w:rPr>
        <w:t>Discussion</w:t>
      </w:r>
    </w:p>
    <w:p w14:paraId="4B114379" w14:textId="72C7C96C" w:rsidR="00B335CC" w:rsidRPr="00B845AF" w:rsidRDefault="00FC5467">
      <w:pPr>
        <w:pStyle w:val="SCtext"/>
        <w:rPr>
          <w:rFonts w:asciiTheme="minorHAnsi" w:hAnsiTheme="minorHAnsi" w:cstheme="minorHAnsi"/>
          <w:lang w:val="en-US"/>
        </w:rPr>
      </w:pPr>
      <w:r w:rsidRPr="00B845AF">
        <w:rPr>
          <w:rFonts w:asciiTheme="minorHAnsi" w:hAnsiTheme="minorHAnsi" w:cstheme="minorHAnsi"/>
          <w:lang w:val="en-US"/>
        </w:rPr>
        <w:t>Australia asked the SSP for its reflections on lessons learned this year, and whether steps could have been taken to deliver the assessments earlier and smooth the review process, suggesting this be captured in the report. The SSP responded that it was too soon to reflect on meeting timing specifically, but that on process, the SSP had tried to incorporate as many pre-assessment workshop recommendations as possible, possibly too many, and that the underlying issue over recent years has been a lack of slack in the system to absorb unexpected setbacks, this year</w:t>
      </w:r>
      <w:r w:rsidR="00E96DBC" w:rsidRPr="00B845AF">
        <w:rPr>
          <w:rFonts w:asciiTheme="minorHAnsi" w:hAnsiTheme="minorHAnsi" w:cstheme="minorHAnsi"/>
          <w:lang w:val="en-US"/>
        </w:rPr>
        <w:t>,</w:t>
      </w:r>
      <w:r w:rsidRPr="00B845AF">
        <w:rPr>
          <w:rFonts w:asciiTheme="minorHAnsi" w:hAnsiTheme="minorHAnsi" w:cstheme="minorHAnsi"/>
          <w:lang w:val="en-US"/>
        </w:rPr>
        <w:t xml:space="preserve"> the tagging data findings for bigeye tuna, in previous years other issues, and that the core solution would be to secure more time between data finalization and assessment delivery, or to streamline the delivery and write-up process.</w:t>
      </w:r>
    </w:p>
    <w:p w14:paraId="2825B051" w14:textId="77777777" w:rsidR="00FC5467" w:rsidRPr="00B845AF" w:rsidRDefault="00FC5467" w:rsidP="00FC5467">
      <w:pPr>
        <w:pStyle w:val="SCtext"/>
        <w:numPr>
          <w:ilvl w:val="0"/>
          <w:numId w:val="0"/>
        </w:numPr>
        <w:rPr>
          <w:rFonts w:asciiTheme="minorHAnsi" w:hAnsiTheme="minorHAnsi" w:cstheme="minorHAnsi"/>
          <w:lang w:val="en-US"/>
        </w:rPr>
      </w:pPr>
    </w:p>
    <w:p w14:paraId="3DFAD450" w14:textId="27EA9BD5" w:rsidR="00FC5467" w:rsidRPr="00B845AF" w:rsidRDefault="001866D1">
      <w:pPr>
        <w:pStyle w:val="SCtext"/>
        <w:rPr>
          <w:rFonts w:asciiTheme="minorHAnsi" w:hAnsiTheme="minorHAnsi" w:cstheme="minorHAnsi"/>
          <w:lang w:val="en-US"/>
        </w:rPr>
      </w:pPr>
      <w:r w:rsidRPr="00B845AF">
        <w:rPr>
          <w:rFonts w:asciiTheme="minorHAnsi" w:hAnsiTheme="minorHAnsi" w:cstheme="minorHAnsi"/>
          <w:lang w:val="en-US"/>
        </w:rPr>
        <w:t xml:space="preserve">Japan agreed there was no easy solution and expressed hope that this year’s situation, in which a fundamental error was found late in the process, was exceptional. While appreciating the SSP’s willingness to incorporate CCM feedback, Japan stressed that the SSP’s </w:t>
      </w:r>
      <w:proofErr w:type="gramStart"/>
      <w:r w:rsidRPr="00B845AF">
        <w:rPr>
          <w:rFonts w:asciiTheme="minorHAnsi" w:hAnsiTheme="minorHAnsi" w:cstheme="minorHAnsi"/>
          <w:lang w:val="en-US"/>
        </w:rPr>
        <w:t>first priority</w:t>
      </w:r>
      <w:proofErr w:type="gramEnd"/>
      <w:r w:rsidRPr="00B845AF">
        <w:rPr>
          <w:rFonts w:asciiTheme="minorHAnsi" w:hAnsiTheme="minorHAnsi" w:cstheme="minorHAnsi"/>
          <w:lang w:val="en-US"/>
        </w:rPr>
        <w:t xml:space="preserve"> should be timely delivery to SC with sufficient time for review, not accommodating every request, and suggested at least one week’s advance delivery, while acknowledging this might be unrealistic. Japan clarified it was not proposing any specific modification, only that all parties continue working to smooth the process.</w:t>
      </w:r>
    </w:p>
    <w:p w14:paraId="6E68F545" w14:textId="77777777" w:rsidR="001866D1" w:rsidRPr="00B845AF" w:rsidRDefault="001866D1" w:rsidP="001866D1">
      <w:pPr>
        <w:pStyle w:val="SCtext"/>
        <w:numPr>
          <w:ilvl w:val="0"/>
          <w:numId w:val="0"/>
        </w:numPr>
        <w:rPr>
          <w:rFonts w:asciiTheme="minorHAnsi" w:hAnsiTheme="minorHAnsi" w:cstheme="minorHAnsi"/>
          <w:lang w:val="en-US"/>
        </w:rPr>
      </w:pPr>
    </w:p>
    <w:p w14:paraId="01C4EB22" w14:textId="6F6C6728" w:rsidR="001866D1" w:rsidRPr="00B845AF" w:rsidRDefault="001866D1">
      <w:pPr>
        <w:pStyle w:val="SCtext"/>
        <w:rPr>
          <w:rFonts w:asciiTheme="minorHAnsi" w:hAnsiTheme="minorHAnsi" w:cstheme="minorHAnsi"/>
          <w:lang w:val="en-US"/>
        </w:rPr>
      </w:pPr>
      <w:r w:rsidRPr="00B845AF">
        <w:rPr>
          <w:rFonts w:asciiTheme="minorHAnsi" w:hAnsiTheme="minorHAnsi" w:cstheme="minorHAnsi"/>
          <w:lang w:val="en-US"/>
        </w:rPr>
        <w:t>Australia, aligning with Japan’s point that on-time delivery should take priority over satisfying all individual requests, asked whether a mechanism was needed to help the SSP determine which feedback was tractable to incorporate within the time available before an assessment’s delivery. The SSP replied that expectations could potentially be better managed through the pre-assessment workshop, that the challenge lies in differing CCM priorities, and that while not necessarily needed yet, an independent view on prioritizing submitted feedback might be worth considering in future.</w:t>
      </w:r>
    </w:p>
    <w:p w14:paraId="2CBE51D5" w14:textId="77777777" w:rsidR="00771763" w:rsidRPr="00B845AF" w:rsidRDefault="00771763" w:rsidP="00771763">
      <w:pPr>
        <w:pStyle w:val="SCtext"/>
        <w:numPr>
          <w:ilvl w:val="0"/>
          <w:numId w:val="0"/>
        </w:numPr>
        <w:rPr>
          <w:rFonts w:asciiTheme="minorHAnsi" w:hAnsiTheme="minorHAnsi" w:cstheme="minorHAnsi"/>
          <w:lang w:val="en-US"/>
        </w:rPr>
      </w:pPr>
    </w:p>
    <w:p w14:paraId="4E08B52A" w14:textId="0050556D" w:rsidR="005143C6" w:rsidRPr="00B845AF" w:rsidRDefault="00771763">
      <w:pPr>
        <w:pStyle w:val="SCtext"/>
        <w:rPr>
          <w:rFonts w:asciiTheme="minorHAnsi" w:hAnsiTheme="minorHAnsi" w:cstheme="minorHAnsi"/>
          <w:lang w:val="en-US"/>
        </w:rPr>
      </w:pPr>
      <w:r w:rsidRPr="00B845AF">
        <w:rPr>
          <w:rFonts w:asciiTheme="minorHAnsi" w:hAnsiTheme="minorHAnsi" w:cstheme="minorHAnsi"/>
          <w:lang w:val="en-US"/>
        </w:rPr>
        <w:lastRenderedPageBreak/>
        <w:t>The SSP added, in a further reflective comment, that the broader process also warranted review, noting that requests tend to come from only two or three CCMs who are especially engaged, and that a way was needed to draw broader input from other CCMs so that requests are more representative, though it was not certain how best to achieve this.</w:t>
      </w:r>
    </w:p>
    <w:p w14:paraId="5EE7BA3A" w14:textId="78C13010" w:rsidR="009A66C0" w:rsidRPr="00B845AF" w:rsidRDefault="009A66C0" w:rsidP="00B92B13">
      <w:pPr>
        <w:pStyle w:val="SCtext"/>
        <w:numPr>
          <w:ilvl w:val="0"/>
          <w:numId w:val="0"/>
        </w:numPr>
        <w:rPr>
          <w:rFonts w:asciiTheme="minorHAnsi" w:hAnsiTheme="minorHAnsi" w:cstheme="minorHAnsi"/>
          <w:lang w:val="en-US"/>
        </w:rPr>
      </w:pPr>
    </w:p>
    <w:p w14:paraId="647662CC" w14:textId="799F6BEF" w:rsidR="00953206" w:rsidRPr="00B845AF" w:rsidRDefault="00734AE6">
      <w:pPr>
        <w:pStyle w:val="SC3"/>
        <w:rPr>
          <w:rFonts w:asciiTheme="minorHAnsi" w:hAnsiTheme="minorHAnsi" w:cstheme="minorHAnsi"/>
        </w:rPr>
      </w:pPr>
      <w:r w:rsidRPr="00B845AF">
        <w:rPr>
          <w:rFonts w:asciiTheme="minorHAnsi" w:eastAsia="MS Mincho" w:hAnsiTheme="minorHAnsi" w:cstheme="minorHAnsi"/>
          <w:lang w:eastAsia="ja-JP"/>
        </w:rPr>
        <w:t>Prioritizing the Work of the Scientific Committee</w:t>
      </w:r>
    </w:p>
    <w:p w14:paraId="046D39C7" w14:textId="2D2AC0E2" w:rsidR="009A6ABA" w:rsidRPr="00B845AF" w:rsidRDefault="00DD2A36">
      <w:pPr>
        <w:pStyle w:val="SCtext"/>
        <w:rPr>
          <w:rFonts w:asciiTheme="minorHAnsi" w:hAnsiTheme="minorHAnsi" w:cstheme="minorHAnsi"/>
          <w:lang w:val="en-US"/>
        </w:rPr>
      </w:pPr>
      <w:r w:rsidRPr="00B845AF">
        <w:rPr>
          <w:rFonts w:asciiTheme="minorHAnsi" w:hAnsiTheme="minorHAnsi" w:cstheme="minorHAnsi"/>
          <w:lang w:val="en-US"/>
        </w:rPr>
        <w:t>R. Curr</w:t>
      </w:r>
      <w:r w:rsidR="00D15CD9" w:rsidRPr="00B845AF">
        <w:rPr>
          <w:rFonts w:asciiTheme="minorHAnsi" w:hAnsiTheme="minorHAnsi" w:cstheme="minorHAnsi"/>
          <w:lang w:val="en-US"/>
        </w:rPr>
        <w:t>e</w:t>
      </w:r>
      <w:r w:rsidRPr="00B845AF">
        <w:rPr>
          <w:rFonts w:asciiTheme="minorHAnsi" w:hAnsiTheme="minorHAnsi" w:cstheme="minorHAnsi"/>
          <w:lang w:val="en-US"/>
        </w:rPr>
        <w:t xml:space="preserve">y (Australia, </w:t>
      </w:r>
      <w:r w:rsidR="00E97AD6" w:rsidRPr="00B845AF">
        <w:rPr>
          <w:rFonts w:asciiTheme="minorHAnsi" w:hAnsiTheme="minorHAnsi" w:cstheme="minorHAnsi"/>
          <w:lang w:val="en-US"/>
        </w:rPr>
        <w:t>Vice-Chair</w:t>
      </w:r>
      <w:r w:rsidRPr="00B845AF">
        <w:rPr>
          <w:rFonts w:asciiTheme="minorHAnsi" w:hAnsiTheme="minorHAnsi" w:cstheme="minorHAnsi"/>
          <w:lang w:val="en-US"/>
        </w:rPr>
        <w:t>)</w:t>
      </w:r>
      <w:r w:rsidR="00E97AD6" w:rsidRPr="00B845AF">
        <w:rPr>
          <w:rFonts w:asciiTheme="minorHAnsi" w:hAnsiTheme="minorHAnsi" w:cstheme="minorHAnsi"/>
          <w:lang w:val="en-US"/>
        </w:rPr>
        <w:t xml:space="preserve"> noted that growing SC/SSP workload had led WCPFC22 to task him with developing a prioritization </w:t>
      </w:r>
      <w:r w:rsidR="00E96DBC" w:rsidRPr="00B845AF">
        <w:rPr>
          <w:rFonts w:asciiTheme="minorHAnsi" w:hAnsiTheme="minorHAnsi" w:cstheme="minorHAnsi"/>
          <w:lang w:val="en-US"/>
        </w:rPr>
        <w:t>process and</w:t>
      </w:r>
      <w:r w:rsidR="00E97AD6" w:rsidRPr="00B845AF">
        <w:rPr>
          <w:rFonts w:asciiTheme="minorHAnsi" w:hAnsiTheme="minorHAnsi" w:cstheme="minorHAnsi"/>
          <w:lang w:val="en-US"/>
        </w:rPr>
        <w:t xml:space="preserve"> proposed addressing this through scheduling rather than removing agenda items. He identified three priority workload areas: the stock assessment schedule, the harvest strategy work plan, and EB theme CMM reviews, proposing a three-year sequence addressing each in turn (SC22, SC23, SC24 respectively), with a small group to begin on the stock assessment schedule at SC22 and theme conven</w:t>
      </w:r>
      <w:r w:rsidR="00A037B7" w:rsidRPr="00B845AF">
        <w:rPr>
          <w:rFonts w:asciiTheme="minorHAnsi" w:hAnsiTheme="minorHAnsi" w:cstheme="minorHAnsi"/>
          <w:lang w:val="en-US"/>
        </w:rPr>
        <w:t>e</w:t>
      </w:r>
      <w:r w:rsidR="00E97AD6" w:rsidRPr="00B845AF">
        <w:rPr>
          <w:rFonts w:asciiTheme="minorHAnsi" w:hAnsiTheme="minorHAnsi" w:cstheme="minorHAnsi"/>
          <w:lang w:val="en-US"/>
        </w:rPr>
        <w:t>rs given scope to prioritize within their own themes. For the EB theme, he proposed moving from a two-year to an effective four-year review cycle (sea turtles/seabirds continuing at SC23, cetaceans/elasmobranchs at SC24), noting this would need to be reconciled with the shark CMM review currently scheduled for 2027. He also proposed the Secretariat prepare a paper for SC23 on upcoming CMM review obligations.</w:t>
      </w:r>
    </w:p>
    <w:p w14:paraId="3BCAA17C" w14:textId="67A1F134" w:rsidR="00B00E32" w:rsidRPr="00B845AF" w:rsidRDefault="00B00E32" w:rsidP="00B00E32">
      <w:pPr>
        <w:pStyle w:val="SCtext"/>
        <w:numPr>
          <w:ilvl w:val="0"/>
          <w:numId w:val="0"/>
        </w:numPr>
        <w:rPr>
          <w:rFonts w:asciiTheme="minorHAnsi" w:hAnsiTheme="minorHAnsi" w:cstheme="minorHAnsi"/>
          <w:lang w:val="en-US"/>
        </w:rPr>
      </w:pPr>
    </w:p>
    <w:p w14:paraId="32961EE6" w14:textId="6370F19F" w:rsidR="00B00E32" w:rsidRPr="00B845AF" w:rsidRDefault="00B00E32" w:rsidP="00C32C7D">
      <w:pPr>
        <w:pStyle w:val="SCDR"/>
        <w:rPr>
          <w:rFonts w:asciiTheme="minorHAnsi" w:eastAsia="MS Mincho" w:hAnsiTheme="minorHAnsi" w:cstheme="minorHAnsi"/>
          <w:lang w:eastAsia="ja-JP"/>
        </w:rPr>
      </w:pPr>
      <w:r w:rsidRPr="00B845AF">
        <w:rPr>
          <w:rFonts w:asciiTheme="minorHAnsi" w:hAnsiTheme="minorHAnsi" w:cstheme="minorHAnsi"/>
          <w:lang w:eastAsia="ja-JP"/>
        </w:rPr>
        <w:t>Discussion</w:t>
      </w:r>
    </w:p>
    <w:p w14:paraId="6E4390A7" w14:textId="5E692083" w:rsidR="00F67A29"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The USA stated strong support for the objective of establishing a more predictable and strategic approach, offering some suggestions for fine-tuning the process, including how it would interface with existing ISC review processes and ensuring flexibility in applying the criteria, for further discussion in the ISG.</w:t>
      </w:r>
    </w:p>
    <w:p w14:paraId="0211349C" w14:textId="77777777" w:rsidR="00E97AD6" w:rsidRPr="00B845AF" w:rsidRDefault="00E97AD6" w:rsidP="00E97AD6">
      <w:pPr>
        <w:pStyle w:val="SCtext"/>
        <w:numPr>
          <w:ilvl w:val="0"/>
          <w:numId w:val="0"/>
        </w:numPr>
        <w:rPr>
          <w:rFonts w:asciiTheme="minorHAnsi" w:hAnsiTheme="minorHAnsi" w:cstheme="minorHAnsi"/>
          <w:lang w:val="en-US"/>
        </w:rPr>
      </w:pPr>
    </w:p>
    <w:p w14:paraId="7E3BFD16" w14:textId="5C367085" w:rsidR="00E97AD6"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 xml:space="preserve">Japan stated general support for the paper and its importance for strategic management of the Committee’s </w:t>
      </w:r>
      <w:r w:rsidR="00E96DBC" w:rsidRPr="00B845AF">
        <w:rPr>
          <w:rFonts w:asciiTheme="minorHAnsi" w:hAnsiTheme="minorHAnsi" w:cstheme="minorHAnsi"/>
          <w:lang w:val="en-US"/>
        </w:rPr>
        <w:t>work and</w:t>
      </w:r>
      <w:r w:rsidRPr="00B845AF">
        <w:rPr>
          <w:rFonts w:asciiTheme="minorHAnsi" w:hAnsiTheme="minorHAnsi" w:cstheme="minorHAnsi"/>
          <w:lang w:val="en-US"/>
        </w:rPr>
        <w:t xml:space="preserve"> indicated it had further </w:t>
      </w:r>
      <w:proofErr w:type="gramStart"/>
      <w:r w:rsidRPr="00B845AF">
        <w:rPr>
          <w:rFonts w:asciiTheme="minorHAnsi" w:hAnsiTheme="minorHAnsi" w:cstheme="minorHAnsi"/>
          <w:lang w:val="en-US"/>
        </w:rPr>
        <w:t>comments</w:t>
      </w:r>
      <w:proofErr w:type="gramEnd"/>
      <w:r w:rsidRPr="00B845AF">
        <w:rPr>
          <w:rFonts w:asciiTheme="minorHAnsi" w:hAnsiTheme="minorHAnsi" w:cstheme="minorHAnsi"/>
          <w:lang w:val="en-US"/>
        </w:rPr>
        <w:t xml:space="preserve"> it would raise in the ISG.</w:t>
      </w:r>
    </w:p>
    <w:p w14:paraId="2CCEDFF4" w14:textId="77777777" w:rsidR="00E97AD6" w:rsidRPr="00B845AF" w:rsidRDefault="00E97AD6" w:rsidP="00E97AD6">
      <w:pPr>
        <w:pStyle w:val="SCtext"/>
        <w:numPr>
          <w:ilvl w:val="0"/>
          <w:numId w:val="0"/>
        </w:numPr>
        <w:rPr>
          <w:rFonts w:asciiTheme="minorHAnsi" w:hAnsiTheme="minorHAnsi" w:cstheme="minorHAnsi"/>
          <w:lang w:val="en-US"/>
        </w:rPr>
      </w:pPr>
    </w:p>
    <w:p w14:paraId="266F923D" w14:textId="7FB9B2EB" w:rsidR="00E97AD6"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 xml:space="preserve">Cook Islands, on behalf of the FFA members, stated that the FFA members supported the proposed three-year </w:t>
      </w:r>
      <w:r w:rsidR="00E96DBC" w:rsidRPr="00B845AF">
        <w:rPr>
          <w:rFonts w:asciiTheme="minorHAnsi" w:hAnsiTheme="minorHAnsi" w:cstheme="minorHAnsi"/>
          <w:lang w:val="en-US"/>
        </w:rPr>
        <w:t>roadmap</w:t>
      </w:r>
      <w:r w:rsidRPr="00B845AF">
        <w:rPr>
          <w:rFonts w:asciiTheme="minorHAnsi" w:hAnsiTheme="minorHAnsi" w:cstheme="minorHAnsi"/>
          <w:lang w:val="en-US"/>
        </w:rPr>
        <w:t xml:space="preserve"> aligning the SC’s work with major Commission decision points, including the bigeye management procedure and South Pacific albacore implementation. The FFA members expressed the view that CCMs should avoid a potentially divisive debate over </w:t>
      </w:r>
      <w:r w:rsidR="00E96DBC" w:rsidRPr="00B845AF">
        <w:rPr>
          <w:rFonts w:asciiTheme="minorHAnsi" w:hAnsiTheme="minorHAnsi" w:cstheme="minorHAnsi"/>
          <w:lang w:val="en-US"/>
        </w:rPr>
        <w:t xml:space="preserve">the </w:t>
      </w:r>
      <w:r w:rsidRPr="00B845AF">
        <w:rPr>
          <w:rFonts w:asciiTheme="minorHAnsi" w:hAnsiTheme="minorHAnsi" w:cstheme="minorHAnsi"/>
          <w:lang w:val="en-US"/>
        </w:rPr>
        <w:t xml:space="preserve">relative importance of work items and instead treat the scheduling approach as a constructive way </w:t>
      </w:r>
      <w:r w:rsidR="00E96DBC" w:rsidRPr="00B845AF">
        <w:rPr>
          <w:rFonts w:asciiTheme="minorHAnsi" w:hAnsiTheme="minorHAnsi" w:cstheme="minorHAnsi"/>
          <w:lang w:val="en-US"/>
        </w:rPr>
        <w:t>forward and</w:t>
      </w:r>
      <w:r w:rsidRPr="00B845AF">
        <w:rPr>
          <w:rFonts w:asciiTheme="minorHAnsi" w:hAnsiTheme="minorHAnsi" w:cstheme="minorHAnsi"/>
          <w:lang w:val="en-US"/>
        </w:rPr>
        <w:t xml:space="preserve"> looked forward to engaging in the ISG.</w:t>
      </w:r>
    </w:p>
    <w:p w14:paraId="4CD902FE" w14:textId="77777777" w:rsidR="00E97AD6" w:rsidRPr="00B845AF" w:rsidRDefault="00E97AD6" w:rsidP="00E97AD6">
      <w:pPr>
        <w:pStyle w:val="SCtext"/>
        <w:numPr>
          <w:ilvl w:val="0"/>
          <w:numId w:val="0"/>
        </w:numPr>
        <w:rPr>
          <w:rFonts w:asciiTheme="minorHAnsi" w:hAnsiTheme="minorHAnsi" w:cstheme="minorHAnsi"/>
          <w:lang w:val="en-US"/>
        </w:rPr>
      </w:pPr>
    </w:p>
    <w:p w14:paraId="684CA405" w14:textId="2CA0A6B5" w:rsidR="00E97AD6"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Canada thanked the government of Samoa, the Secretariat, and the SSP, and stated that the issues raised were timely and necessary for the functioning of the SC, supporting referral of the paper to the ISG.</w:t>
      </w:r>
    </w:p>
    <w:p w14:paraId="2A284A24" w14:textId="77777777" w:rsidR="00E97AD6" w:rsidRPr="00B845AF" w:rsidRDefault="00E97AD6" w:rsidP="00E97AD6">
      <w:pPr>
        <w:pStyle w:val="SCtext"/>
        <w:numPr>
          <w:ilvl w:val="0"/>
          <w:numId w:val="0"/>
        </w:numPr>
        <w:rPr>
          <w:rFonts w:asciiTheme="minorHAnsi" w:hAnsiTheme="minorHAnsi" w:cstheme="minorHAnsi"/>
          <w:lang w:val="en-US"/>
        </w:rPr>
      </w:pPr>
    </w:p>
    <w:p w14:paraId="17DA4BF5" w14:textId="2714ED27" w:rsidR="00E97AD6"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China thanked the Vice-Chair for the work involved and stated general support for establishing a small group to discuss prioritization. China sought clarification on recommendation (c), asking on what basis and within what scope theme conven</w:t>
      </w:r>
      <w:r w:rsidR="00A037B7" w:rsidRPr="00B845AF">
        <w:rPr>
          <w:rFonts w:asciiTheme="minorHAnsi" w:hAnsiTheme="minorHAnsi" w:cstheme="minorHAnsi"/>
          <w:lang w:val="en-US"/>
        </w:rPr>
        <w:t>e</w:t>
      </w:r>
      <w:r w:rsidRPr="00B845AF">
        <w:rPr>
          <w:rFonts w:asciiTheme="minorHAnsi" w:hAnsiTheme="minorHAnsi" w:cstheme="minorHAnsi"/>
          <w:lang w:val="en-US"/>
        </w:rPr>
        <w:t>rs would be able to conduct prioritization discussions on topics not covered by the three-year process. The Vice-Chair responded that the intent of that recommendation was to allow conven</w:t>
      </w:r>
      <w:r w:rsidR="00A037B7" w:rsidRPr="00B845AF">
        <w:rPr>
          <w:rFonts w:asciiTheme="minorHAnsi" w:hAnsiTheme="minorHAnsi" w:cstheme="minorHAnsi"/>
          <w:lang w:val="en-US"/>
        </w:rPr>
        <w:t>e</w:t>
      </w:r>
      <w:r w:rsidRPr="00B845AF">
        <w:rPr>
          <w:rFonts w:asciiTheme="minorHAnsi" w:hAnsiTheme="minorHAnsi" w:cstheme="minorHAnsi"/>
          <w:lang w:val="en-US"/>
        </w:rPr>
        <w:t>rs to identify theme-specific topics that could benefit from prioritization, that this had not been prescriptively defined, and that he would expect such prioritization to be raised as an agenda item within the relevant theme and developed in consultation with members. He noted that while individual conven</w:t>
      </w:r>
      <w:r w:rsidR="00A037B7" w:rsidRPr="00B845AF">
        <w:rPr>
          <w:rFonts w:asciiTheme="minorHAnsi" w:hAnsiTheme="minorHAnsi" w:cstheme="minorHAnsi"/>
          <w:lang w:val="en-US"/>
        </w:rPr>
        <w:t>e</w:t>
      </w:r>
      <w:r w:rsidRPr="00B845AF">
        <w:rPr>
          <w:rFonts w:asciiTheme="minorHAnsi" w:hAnsiTheme="minorHAnsi" w:cstheme="minorHAnsi"/>
          <w:lang w:val="en-US"/>
        </w:rPr>
        <w:t>rs might identify specific suggestions, he expected the bulk of the Committee’s prioritization effort to remain focused on the three broad areas already identified given their consequence for overall workload.</w:t>
      </w:r>
    </w:p>
    <w:p w14:paraId="3A23E79C" w14:textId="77777777" w:rsidR="00E97AD6" w:rsidRPr="00B845AF" w:rsidRDefault="00E97AD6" w:rsidP="00E97AD6">
      <w:pPr>
        <w:pStyle w:val="SCtext"/>
        <w:numPr>
          <w:ilvl w:val="0"/>
          <w:numId w:val="0"/>
        </w:numPr>
        <w:rPr>
          <w:rFonts w:asciiTheme="minorHAnsi" w:hAnsiTheme="minorHAnsi" w:cstheme="minorHAnsi"/>
          <w:lang w:val="en-US"/>
        </w:rPr>
      </w:pPr>
    </w:p>
    <w:p w14:paraId="1F5AC392" w14:textId="3385F7D8" w:rsidR="00E97AD6"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Chinese Taipei stated general support for the proposed three-year planning and prioritization approach.</w:t>
      </w:r>
    </w:p>
    <w:p w14:paraId="3581E659" w14:textId="77777777" w:rsidR="00AB3E6F" w:rsidRPr="00B845AF" w:rsidRDefault="00AB3E6F" w:rsidP="00AB3E6F">
      <w:pPr>
        <w:pStyle w:val="SCtext"/>
        <w:numPr>
          <w:ilvl w:val="0"/>
          <w:numId w:val="0"/>
        </w:numPr>
        <w:rPr>
          <w:rFonts w:asciiTheme="minorHAnsi" w:hAnsiTheme="minorHAnsi" w:cstheme="minorHAnsi"/>
          <w:lang w:val="en-US"/>
        </w:rPr>
      </w:pPr>
    </w:p>
    <w:p w14:paraId="3F79E133" w14:textId="4E2F637E" w:rsidR="003730EB" w:rsidRPr="00B845AF" w:rsidRDefault="00AB3E6F">
      <w:pPr>
        <w:pStyle w:val="SCtext"/>
        <w:rPr>
          <w:rFonts w:asciiTheme="minorHAnsi" w:hAnsiTheme="minorHAnsi" w:cstheme="minorHAnsi"/>
          <w:lang w:val="en-US"/>
        </w:rPr>
      </w:pPr>
      <w:r w:rsidRPr="00B845AF">
        <w:rPr>
          <w:rFonts w:asciiTheme="minorHAnsi" w:hAnsiTheme="minorHAnsi" w:cstheme="minorHAnsi"/>
          <w:lang w:val="en-US"/>
        </w:rPr>
        <w:t>ISG01 deliberated on WCPFC-SC22-2026-GN-WP05, discussing proposed approaches to prioritizing the Scientific Committee’s stock assessment schedule.</w:t>
      </w:r>
    </w:p>
    <w:p w14:paraId="291135E3" w14:textId="144D19FD" w:rsidR="001F2817" w:rsidRPr="00B845AF" w:rsidRDefault="001F2817" w:rsidP="001F2817">
      <w:pPr>
        <w:pStyle w:val="SCtext"/>
        <w:numPr>
          <w:ilvl w:val="0"/>
          <w:numId w:val="0"/>
        </w:numPr>
        <w:rPr>
          <w:rFonts w:asciiTheme="minorHAnsi" w:hAnsiTheme="minorHAnsi" w:cstheme="minorHAnsi"/>
          <w:lang w:val="en-US"/>
        </w:rPr>
      </w:pPr>
    </w:p>
    <w:p w14:paraId="022958E2" w14:textId="77777777" w:rsidR="001F2817" w:rsidRPr="00B845AF" w:rsidRDefault="001F2817" w:rsidP="001F2817">
      <w:pPr>
        <w:pStyle w:val="SCDR"/>
        <w:rPr>
          <w:rFonts w:asciiTheme="minorHAnsi" w:hAnsiTheme="minorHAnsi" w:cstheme="minorHAnsi"/>
        </w:rPr>
      </w:pPr>
      <w:r w:rsidRPr="00B845AF">
        <w:rPr>
          <w:rFonts w:asciiTheme="minorHAnsi" w:hAnsiTheme="minorHAnsi" w:cstheme="minorHAnsi"/>
        </w:rPr>
        <w:t>Outcomes</w:t>
      </w:r>
    </w:p>
    <w:p w14:paraId="6CEAAE30" w14:textId="739268DE" w:rsidR="001F2817" w:rsidRPr="00B845AF" w:rsidRDefault="00352B67">
      <w:pPr>
        <w:pStyle w:val="SCtext"/>
        <w:rPr>
          <w:rFonts w:asciiTheme="minorHAnsi" w:hAnsiTheme="minorHAnsi" w:cstheme="minorHAnsi"/>
          <w:b/>
          <w:bCs/>
          <w:lang w:val="en-US"/>
        </w:rPr>
      </w:pPr>
      <w:r w:rsidRPr="00B845AF">
        <w:rPr>
          <w:rFonts w:asciiTheme="minorHAnsi" w:hAnsiTheme="minorHAnsi" w:cstheme="minorHAnsi"/>
          <w:b/>
          <w:bCs/>
          <w:lang w:val="en-US"/>
        </w:rPr>
        <w:t>SC22 agreed to a three-year process to conduct prioritisation of the Scientific Committee’s work, beginning with the stock assessment schedule at SC22, then the harvest strategy workplan at SC23, and reviews of CMMs related to the EB theme at SC24.</w:t>
      </w:r>
    </w:p>
    <w:p w14:paraId="52CDF95E" w14:textId="77777777" w:rsidR="00086039" w:rsidRPr="00B845AF" w:rsidRDefault="00086039" w:rsidP="00086039">
      <w:pPr>
        <w:pStyle w:val="SCtext"/>
        <w:numPr>
          <w:ilvl w:val="0"/>
          <w:numId w:val="0"/>
        </w:numPr>
        <w:rPr>
          <w:rFonts w:asciiTheme="minorHAnsi" w:hAnsiTheme="minorHAnsi" w:cstheme="minorHAnsi"/>
          <w:b/>
          <w:bCs/>
          <w:lang w:val="en-US"/>
        </w:rPr>
      </w:pPr>
    </w:p>
    <w:p w14:paraId="1496ADB3" w14:textId="47A6521B" w:rsidR="00086039" w:rsidRPr="00B845AF" w:rsidRDefault="00086039">
      <w:pPr>
        <w:pStyle w:val="SCtext"/>
        <w:rPr>
          <w:rFonts w:asciiTheme="minorHAnsi" w:hAnsiTheme="minorHAnsi" w:cstheme="minorHAnsi"/>
          <w:b/>
          <w:bCs/>
          <w:lang w:val="en-US"/>
        </w:rPr>
      </w:pPr>
      <w:r w:rsidRPr="00B845AF">
        <w:rPr>
          <w:rFonts w:asciiTheme="minorHAnsi" w:hAnsiTheme="minorHAnsi" w:cstheme="minorHAnsi"/>
          <w:b/>
          <w:bCs/>
          <w:lang w:val="en-US"/>
        </w:rPr>
        <w:t>SC22 agreed the tuna assessment schedule may be amended to alternate between benchmark and update assessments for those stocks that have completed an SC-approved peer review.</w:t>
      </w:r>
    </w:p>
    <w:p w14:paraId="52A8AE5F" w14:textId="77777777" w:rsidR="00284402" w:rsidRPr="00B845AF" w:rsidRDefault="00284402" w:rsidP="00284402">
      <w:pPr>
        <w:pStyle w:val="SCtext"/>
        <w:numPr>
          <w:ilvl w:val="0"/>
          <w:numId w:val="0"/>
        </w:numPr>
        <w:rPr>
          <w:rFonts w:asciiTheme="minorHAnsi" w:hAnsiTheme="minorHAnsi" w:cstheme="minorHAnsi"/>
          <w:b/>
          <w:bCs/>
          <w:lang w:val="en-US"/>
        </w:rPr>
      </w:pPr>
    </w:p>
    <w:p w14:paraId="0E8962F7" w14:textId="0873455D" w:rsidR="00284402" w:rsidRPr="00B845AF" w:rsidRDefault="00284402">
      <w:pPr>
        <w:pStyle w:val="SCtext"/>
        <w:rPr>
          <w:rFonts w:asciiTheme="minorHAnsi" w:hAnsiTheme="minorHAnsi" w:cstheme="minorHAnsi"/>
          <w:b/>
          <w:bCs/>
          <w:lang w:val="en-US"/>
        </w:rPr>
      </w:pPr>
      <w:r w:rsidRPr="00B845AF">
        <w:rPr>
          <w:rFonts w:asciiTheme="minorHAnsi" w:hAnsiTheme="minorHAnsi" w:cstheme="minorHAnsi"/>
          <w:b/>
          <w:bCs/>
          <w:lang w:val="en-US"/>
        </w:rPr>
        <w:t>SC22 agreed to defer consideration of the billfish and shark assessment schedule until after the billfish and shark assessment methods workshop.</w:t>
      </w:r>
    </w:p>
    <w:p w14:paraId="4938BC6E" w14:textId="77777777" w:rsidR="00F24629" w:rsidRPr="00B845AF" w:rsidRDefault="00F24629" w:rsidP="00F24629">
      <w:pPr>
        <w:pStyle w:val="SCtext"/>
        <w:numPr>
          <w:ilvl w:val="0"/>
          <w:numId w:val="0"/>
        </w:numPr>
        <w:rPr>
          <w:rFonts w:asciiTheme="minorHAnsi" w:hAnsiTheme="minorHAnsi" w:cstheme="minorHAnsi"/>
          <w:b/>
          <w:bCs/>
          <w:lang w:val="en-US"/>
        </w:rPr>
      </w:pPr>
    </w:p>
    <w:p w14:paraId="2E72E2CB" w14:textId="18B654CF" w:rsidR="00F24629" w:rsidRPr="00B845AF" w:rsidRDefault="00F24629">
      <w:pPr>
        <w:pStyle w:val="SCtext"/>
        <w:rPr>
          <w:rFonts w:asciiTheme="minorHAnsi" w:hAnsiTheme="minorHAnsi" w:cstheme="minorHAnsi"/>
          <w:b/>
          <w:bCs/>
          <w:lang w:val="en-US"/>
        </w:rPr>
      </w:pPr>
      <w:r w:rsidRPr="00B845AF">
        <w:rPr>
          <w:rFonts w:asciiTheme="minorHAnsi" w:hAnsiTheme="minorHAnsi" w:cstheme="minorHAnsi"/>
          <w:b/>
          <w:bCs/>
          <w:lang w:val="en-US"/>
        </w:rPr>
        <w:t>SC22 agreed to revise the EB theme schedule to discuss sea turtles and seabirds at SC23 and cetaceans and elasmobranchs at SC24. As a result, SC22 recommended the Commission consider deferring the scheduled review of CMM 2025-06 for sharks until 2028 to support the Scientific Committee prioritising its work.</w:t>
      </w:r>
    </w:p>
    <w:p w14:paraId="25E0545B" w14:textId="77777777" w:rsidR="00C402B7" w:rsidRPr="00B845AF" w:rsidRDefault="00C402B7" w:rsidP="00C402B7">
      <w:pPr>
        <w:pStyle w:val="SCtext"/>
        <w:numPr>
          <w:ilvl w:val="0"/>
          <w:numId w:val="0"/>
        </w:numPr>
        <w:rPr>
          <w:rFonts w:asciiTheme="minorHAnsi" w:hAnsiTheme="minorHAnsi" w:cstheme="minorHAnsi"/>
          <w:b/>
          <w:bCs/>
          <w:lang w:val="en-US"/>
        </w:rPr>
      </w:pPr>
    </w:p>
    <w:p w14:paraId="1B11E622" w14:textId="560A643E" w:rsidR="00C402B7" w:rsidRPr="00B845AF" w:rsidRDefault="00C402B7">
      <w:pPr>
        <w:pStyle w:val="SCtext"/>
        <w:rPr>
          <w:rFonts w:asciiTheme="minorHAnsi" w:hAnsiTheme="minorHAnsi" w:cstheme="minorHAnsi"/>
          <w:b/>
          <w:bCs/>
          <w:lang w:val="en-US"/>
        </w:rPr>
      </w:pPr>
      <w:r w:rsidRPr="00B845AF">
        <w:rPr>
          <w:rFonts w:asciiTheme="minorHAnsi" w:hAnsiTheme="minorHAnsi" w:cstheme="minorHAnsi"/>
          <w:b/>
          <w:bCs/>
          <w:lang w:val="en-US"/>
        </w:rPr>
        <w:t>SC22 requested the Secretariat provide a paper to SC23 on CMM review obligations requiring SC advice to enable the SC to identify Commission dependencies and make relevant adjustments to the SC work program to support prioritisation.</w:t>
      </w:r>
    </w:p>
    <w:p w14:paraId="67B491D6" w14:textId="77777777" w:rsidR="00C402B7" w:rsidRPr="00B845AF" w:rsidRDefault="00C402B7" w:rsidP="00C402B7">
      <w:pPr>
        <w:pStyle w:val="SCtext"/>
        <w:numPr>
          <w:ilvl w:val="0"/>
          <w:numId w:val="0"/>
        </w:numPr>
        <w:rPr>
          <w:rFonts w:asciiTheme="minorHAnsi" w:hAnsiTheme="minorHAnsi" w:cstheme="minorHAnsi"/>
          <w:b/>
          <w:bCs/>
          <w:lang w:val="en-US"/>
        </w:rPr>
      </w:pPr>
    </w:p>
    <w:p w14:paraId="0B36F2B9" w14:textId="4862EB77" w:rsidR="00C402B7" w:rsidRPr="00B845AF" w:rsidRDefault="006E166E">
      <w:pPr>
        <w:pStyle w:val="SCtext"/>
        <w:rPr>
          <w:rFonts w:asciiTheme="minorHAnsi" w:hAnsiTheme="minorHAnsi" w:cstheme="minorHAnsi"/>
          <w:b/>
          <w:bCs/>
          <w:lang w:val="en-US"/>
        </w:rPr>
      </w:pPr>
      <w:r w:rsidRPr="00B845AF">
        <w:rPr>
          <w:rFonts w:asciiTheme="minorHAnsi" w:hAnsiTheme="minorHAnsi" w:cstheme="minorHAnsi"/>
          <w:b/>
          <w:bCs/>
          <w:lang w:val="en-US"/>
        </w:rPr>
        <w:t>SC22 advised the Commission that swapping the timing of Commission and Scientific Committee meetings may be one approach to support timely completion of assessments for Scientific Committee review. SC22 requested the Secretariat to provide information to WCPFC23 to support the Commission’s consideration of this issue.</w:t>
      </w:r>
    </w:p>
    <w:p w14:paraId="7C67161E" w14:textId="19C87BC1" w:rsidR="00B00E32" w:rsidRPr="00B845AF" w:rsidRDefault="00B00E32" w:rsidP="00B00E32">
      <w:pPr>
        <w:pStyle w:val="SCtext"/>
        <w:numPr>
          <w:ilvl w:val="0"/>
          <w:numId w:val="0"/>
        </w:numPr>
        <w:rPr>
          <w:rFonts w:asciiTheme="minorHAnsi" w:hAnsiTheme="minorHAnsi" w:cstheme="minorHAnsi"/>
          <w:lang w:val="en-US"/>
        </w:rPr>
      </w:pPr>
    </w:p>
    <w:p w14:paraId="002AC35A" w14:textId="00D31AF5" w:rsidR="00B00E32" w:rsidRPr="00B845AF" w:rsidRDefault="00B00E32">
      <w:pPr>
        <w:pStyle w:val="SC3"/>
        <w:rPr>
          <w:rFonts w:asciiTheme="minorHAnsi" w:hAnsiTheme="minorHAnsi" w:cstheme="minorHAnsi"/>
        </w:rPr>
      </w:pPr>
      <w:r w:rsidRPr="00B845AF">
        <w:rPr>
          <w:rFonts w:asciiTheme="minorHAnsi" w:hAnsiTheme="minorHAnsi" w:cstheme="minorHAnsi"/>
        </w:rPr>
        <w:t>Framework for the independent review of WCPFC Stock Assessments</w:t>
      </w:r>
      <w:r w:rsidR="00DE59D3" w:rsidRPr="00B845AF">
        <w:rPr>
          <w:rFonts w:asciiTheme="minorHAnsi" w:hAnsiTheme="minorHAnsi" w:cstheme="minorHAnsi"/>
        </w:rPr>
        <w:t xml:space="preserve"> (WCPFC-SC22-2026-GN-WP06)</w:t>
      </w:r>
    </w:p>
    <w:p w14:paraId="281BBB90" w14:textId="0F0EAB28" w:rsidR="00B00E32" w:rsidRPr="00B845AF" w:rsidRDefault="00E97AD6">
      <w:pPr>
        <w:pStyle w:val="SCtext"/>
        <w:rPr>
          <w:rFonts w:asciiTheme="minorHAnsi" w:hAnsiTheme="minorHAnsi" w:cstheme="minorHAnsi"/>
          <w:lang w:val="en-US"/>
        </w:rPr>
      </w:pPr>
      <w:r w:rsidRPr="00B845AF">
        <w:rPr>
          <w:rFonts w:asciiTheme="minorHAnsi" w:hAnsiTheme="minorHAnsi" w:cstheme="minorHAnsi"/>
          <w:lang w:val="en-US"/>
        </w:rPr>
        <w:t>The Vice-Chair proposed a four-step process (set criteria, apply criteria, evaluate constraints, develop a schedule) to be applied periodically, with criteria including: all key commercial stocks eligible for review; reviews no more than once every two assessment cycles and no less than once every four; priority to stocks not yet reviewed or with rejected assessments, substantial new methods, or critical issues; no review in an assessment year or during MP development/adoption/first implementation; and avoidance of concurrent reviews. Applying these illustratively, he proposed skipjack for review by SC25 (after the 2028 assessment and first MP implementation period) and South Pacific albacore for SC27 (after the 2030 assessment, once CKMR data can be incorporated). For billfish and sharks, he noted the early-2027 Project 130 workshop would serve a function analogous to a review, making additional reviews potentially duplicative for now.</w:t>
      </w:r>
    </w:p>
    <w:p w14:paraId="42A34B37" w14:textId="0D895FBD" w:rsidR="00B00E32" w:rsidRPr="00B845AF" w:rsidRDefault="00B00E32" w:rsidP="00B00E32">
      <w:pPr>
        <w:pStyle w:val="SCtext"/>
        <w:numPr>
          <w:ilvl w:val="0"/>
          <w:numId w:val="0"/>
        </w:numPr>
        <w:rPr>
          <w:rFonts w:asciiTheme="minorHAnsi" w:hAnsiTheme="minorHAnsi" w:cstheme="minorHAnsi"/>
          <w:lang w:val="en-US"/>
        </w:rPr>
      </w:pPr>
    </w:p>
    <w:p w14:paraId="3BFB5181" w14:textId="203C4654" w:rsidR="00B00E32" w:rsidRPr="00B845AF" w:rsidRDefault="00B00E32" w:rsidP="002C68B0">
      <w:pPr>
        <w:pStyle w:val="SCDR"/>
        <w:rPr>
          <w:rFonts w:asciiTheme="minorHAnsi" w:hAnsiTheme="minorHAnsi" w:cstheme="minorHAnsi"/>
          <w:lang w:eastAsia="ja-JP"/>
        </w:rPr>
      </w:pPr>
      <w:r w:rsidRPr="00B845AF">
        <w:rPr>
          <w:rFonts w:asciiTheme="minorHAnsi" w:hAnsiTheme="minorHAnsi" w:cstheme="minorHAnsi"/>
          <w:lang w:eastAsia="ja-JP"/>
        </w:rPr>
        <w:lastRenderedPageBreak/>
        <w:t>Discussion</w:t>
      </w:r>
    </w:p>
    <w:p w14:paraId="01580351" w14:textId="4129565B" w:rsidR="00B00E32" w:rsidRPr="00B845AF" w:rsidRDefault="00A037B7">
      <w:pPr>
        <w:pStyle w:val="SCtext"/>
        <w:rPr>
          <w:rFonts w:asciiTheme="minorHAnsi" w:hAnsiTheme="minorHAnsi" w:cstheme="minorHAnsi"/>
          <w:lang w:val="en-US"/>
        </w:rPr>
      </w:pPr>
      <w:r w:rsidRPr="00B845AF">
        <w:rPr>
          <w:rFonts w:asciiTheme="minorHAnsi" w:hAnsiTheme="minorHAnsi" w:cstheme="minorHAnsi"/>
          <w:lang w:val="en-US"/>
        </w:rPr>
        <w:t>Japan thanked the Vice-Chair for the presentation and stated general support for a scheduled peer review approach as important to ensuring good scientific advice. Japan raised two points: first, that close coordination with ISC would be needed to conduct peer reviews of stocks assessed by ISC; and second, questioning whether, given that most key stocks are now managed through management procedures developed via MSE, the SC should also consider reviewing the MSE process itself, an issue the paper does not address. Chinese Taipei expressed agreement with Japan’s point on the need for coordination with ISC on scheduling reviews for stocks it assesses.</w:t>
      </w:r>
    </w:p>
    <w:p w14:paraId="69E2B114" w14:textId="77777777" w:rsidR="00A037B7" w:rsidRPr="00B845AF" w:rsidRDefault="00A037B7" w:rsidP="00A037B7">
      <w:pPr>
        <w:pStyle w:val="SCtext"/>
        <w:numPr>
          <w:ilvl w:val="0"/>
          <w:numId w:val="0"/>
        </w:numPr>
        <w:rPr>
          <w:rFonts w:asciiTheme="minorHAnsi" w:hAnsiTheme="minorHAnsi" w:cstheme="minorHAnsi"/>
          <w:lang w:val="en-US"/>
        </w:rPr>
      </w:pPr>
    </w:p>
    <w:p w14:paraId="53D2FCCC" w14:textId="5CFB45E5" w:rsidR="00B00E32" w:rsidRPr="00B845AF" w:rsidRDefault="00A037B7">
      <w:pPr>
        <w:pStyle w:val="SCtext"/>
        <w:rPr>
          <w:rFonts w:asciiTheme="minorHAnsi" w:hAnsiTheme="minorHAnsi" w:cstheme="minorHAnsi"/>
          <w:lang w:val="en-US"/>
        </w:rPr>
      </w:pPr>
      <w:r w:rsidRPr="00B845AF">
        <w:rPr>
          <w:rFonts w:asciiTheme="minorHAnsi" w:hAnsiTheme="minorHAnsi" w:cstheme="minorHAnsi"/>
          <w:lang w:val="en-US"/>
        </w:rPr>
        <w:t>The Chair thanked Japan for the suggestion, stating her initial view was to take one step at a time, but that it merited further consideration.</w:t>
      </w:r>
    </w:p>
    <w:p w14:paraId="2EB53A75" w14:textId="77777777" w:rsidR="00156A41" w:rsidRPr="00B845AF" w:rsidRDefault="00156A41" w:rsidP="00156A41">
      <w:pPr>
        <w:pStyle w:val="SCtext"/>
        <w:numPr>
          <w:ilvl w:val="0"/>
          <w:numId w:val="0"/>
        </w:numPr>
        <w:rPr>
          <w:rFonts w:asciiTheme="minorHAnsi" w:hAnsiTheme="minorHAnsi" w:cstheme="minorHAnsi"/>
          <w:lang w:val="en-US"/>
        </w:rPr>
      </w:pPr>
    </w:p>
    <w:p w14:paraId="052E518D" w14:textId="1211D73D" w:rsidR="00156A41" w:rsidRPr="00B845AF" w:rsidRDefault="0039408A">
      <w:pPr>
        <w:pStyle w:val="SCtext"/>
        <w:rPr>
          <w:rFonts w:asciiTheme="minorHAnsi" w:hAnsiTheme="minorHAnsi" w:cstheme="minorHAnsi"/>
          <w:lang w:val="en-US"/>
        </w:rPr>
      </w:pPr>
      <w:r w:rsidRPr="00B845AF">
        <w:rPr>
          <w:rFonts w:asciiTheme="minorHAnsi" w:hAnsiTheme="minorHAnsi" w:cstheme="minorHAnsi"/>
          <w:lang w:val="en-US"/>
        </w:rPr>
        <w:t xml:space="preserve">The Vice-Chair reminded members that last year’s discussions on independent reviews, prompted by the SKJ assessment, had identified an agreed process for conducting reviews but no established schedule, and that the paper sought to close this gap by proposing example criteria for identifying candidate stocks. He reported that feedback to date supported the criteria as a useful starting </w:t>
      </w:r>
      <w:proofErr w:type="gramStart"/>
      <w:r w:rsidRPr="00B845AF">
        <w:rPr>
          <w:rFonts w:asciiTheme="minorHAnsi" w:hAnsiTheme="minorHAnsi" w:cstheme="minorHAnsi"/>
          <w:lang w:val="en-US"/>
        </w:rPr>
        <w:t>point</w:t>
      </w:r>
      <w:proofErr w:type="gramEnd"/>
      <w:r w:rsidRPr="00B845AF">
        <w:rPr>
          <w:rFonts w:asciiTheme="minorHAnsi" w:hAnsiTheme="minorHAnsi" w:cstheme="minorHAnsi"/>
          <w:lang w:val="en-US"/>
        </w:rPr>
        <w:t xml:space="preserve"> but </w:t>
      </w:r>
      <w:r w:rsidR="00E96DBC" w:rsidRPr="00B845AF">
        <w:rPr>
          <w:rFonts w:asciiTheme="minorHAnsi" w:hAnsiTheme="minorHAnsi" w:cstheme="minorHAnsi"/>
          <w:lang w:val="en-US"/>
        </w:rPr>
        <w:t>those members</w:t>
      </w:r>
      <w:r w:rsidRPr="00B845AF">
        <w:rPr>
          <w:rFonts w:asciiTheme="minorHAnsi" w:hAnsiTheme="minorHAnsi" w:cstheme="minorHAnsi"/>
          <w:lang w:val="en-US"/>
        </w:rPr>
        <w:t xml:space="preserve"> wanted more time to discuss them, including a suggestion that the ISC be given the opportunity to consider them, with a view to a unified set of criteria endorsed by both ISC and SC23. Applying the criteria as a worked example, he proposed that the 2028 skipjack tuna assessment and the 2030 South Pacific albacore assessment (once CKMR data are expected to be incorporated) undergo independent peer review, in addition to the BET assessment already agreed earlier in the meeting for peer review in 2029, reporting to SC26 in 2030. He also noted that, given the Committee’s earlier agreement that tuna assessments could in principle move to a benchmark and update cycle following a successful SC-endorsed peer review, taking on this heavier near-term peer review load could represent short-term pain for longer-term workload benefits.</w:t>
      </w:r>
    </w:p>
    <w:p w14:paraId="5C332B7D" w14:textId="77777777" w:rsidR="00643A91" w:rsidRPr="00B845AF" w:rsidRDefault="00643A91" w:rsidP="00643A91">
      <w:pPr>
        <w:pStyle w:val="SCtext"/>
        <w:numPr>
          <w:ilvl w:val="0"/>
          <w:numId w:val="0"/>
        </w:numPr>
        <w:rPr>
          <w:rFonts w:asciiTheme="minorHAnsi" w:hAnsiTheme="minorHAnsi" w:cstheme="minorHAnsi"/>
          <w:lang w:val="en-US"/>
        </w:rPr>
      </w:pPr>
    </w:p>
    <w:p w14:paraId="19292002" w14:textId="666E5A80" w:rsidR="00643A91" w:rsidRPr="00B845AF" w:rsidRDefault="00643A91">
      <w:pPr>
        <w:pStyle w:val="SCtext"/>
        <w:rPr>
          <w:rFonts w:asciiTheme="minorHAnsi" w:hAnsiTheme="minorHAnsi" w:cstheme="minorHAnsi"/>
          <w:lang w:val="en-US"/>
        </w:rPr>
      </w:pPr>
      <w:r w:rsidRPr="00B845AF">
        <w:rPr>
          <w:rFonts w:asciiTheme="minorHAnsi" w:hAnsiTheme="minorHAnsi" w:cstheme="minorHAnsi"/>
          <w:lang w:val="en-US"/>
        </w:rPr>
        <w:t>Tonga, on behalf of the FFA members, supported the proposed criteria and the indicative schedule, noted that CKMR data incorporation in the 2030 South Pacific albacore assessment made a 2031 review particularly timely, linked independent reviews to the broader prioritization of the SC work program and potential moves to a benchmark and update cycle, supported conducting the review-scheduling process periodically (for example, every three to five years), sought clarification on the resources required to fund both SSP preparation and reviewers, and encouraged coordination with ISC on scheduling reviews for northern stocks to avoid duplication and ensure efficient use of resources.</w:t>
      </w:r>
    </w:p>
    <w:p w14:paraId="3292DD1B" w14:textId="77777777" w:rsidR="00E71AAF" w:rsidRPr="00B845AF" w:rsidRDefault="00E71AAF" w:rsidP="00E71AAF">
      <w:pPr>
        <w:pStyle w:val="SCtext"/>
        <w:numPr>
          <w:ilvl w:val="0"/>
          <w:numId w:val="0"/>
        </w:numPr>
        <w:rPr>
          <w:rFonts w:asciiTheme="minorHAnsi" w:hAnsiTheme="minorHAnsi" w:cstheme="minorHAnsi"/>
          <w:lang w:val="en-US"/>
        </w:rPr>
      </w:pPr>
    </w:p>
    <w:p w14:paraId="64CB4DA3" w14:textId="517AE7FF" w:rsidR="00E71AAF" w:rsidRPr="00B845AF" w:rsidRDefault="00E71AAF">
      <w:pPr>
        <w:pStyle w:val="SCtext"/>
        <w:rPr>
          <w:rFonts w:asciiTheme="minorHAnsi" w:hAnsiTheme="minorHAnsi" w:cstheme="minorHAnsi"/>
          <w:lang w:val="en-US"/>
        </w:rPr>
      </w:pPr>
      <w:r w:rsidRPr="00B845AF">
        <w:rPr>
          <w:rFonts w:asciiTheme="minorHAnsi" w:hAnsiTheme="minorHAnsi" w:cstheme="minorHAnsi"/>
          <w:lang w:val="en-US"/>
        </w:rPr>
        <w:t xml:space="preserve">The SSP responded that conducting three consecutive peer reviews (2028, 2029, 2030) was unlikely to be feasible given workload, noting that reviews must fall in the second half of the year, that reviewers' schedules constrain timing, and that the process demands substantial staff time, up to roughly a month of senior staff time and several weeks of broader staff time, for preparation, the review week itself, and drafting the peer review report, meaning other SSP work would need to be scaled back in those years. The SSP added that recommendations arising from a review of one stock’s assessment often carry implications for other stock assessments, and this should be factored into scheduling. The SC Chair observed this was particularly relevant to skipjack tuna and the tagging workshop feeding into the bigeye tuna </w:t>
      </w:r>
      <w:r w:rsidR="00E96DBC" w:rsidRPr="00B845AF">
        <w:rPr>
          <w:rFonts w:asciiTheme="minorHAnsi" w:hAnsiTheme="minorHAnsi" w:cstheme="minorHAnsi"/>
          <w:lang w:val="en-US"/>
        </w:rPr>
        <w:t>review and</w:t>
      </w:r>
      <w:r w:rsidRPr="00B845AF">
        <w:rPr>
          <w:rFonts w:asciiTheme="minorHAnsi" w:hAnsiTheme="minorHAnsi" w:cstheme="minorHAnsi"/>
          <w:lang w:val="en-US"/>
        </w:rPr>
        <w:t xml:space="preserve"> noted that the Secretariat estimated roughly USD 50,000 as the likely cost per review for external reviewers’ time, based on the cost of the last YFT peer review and comparable ISC reviews of Pacific bluefin tuna and striped marlin.</w:t>
      </w:r>
    </w:p>
    <w:p w14:paraId="38E5153F" w14:textId="77777777" w:rsidR="00E71AAF" w:rsidRPr="00B845AF" w:rsidRDefault="00E71AAF" w:rsidP="00E71AAF">
      <w:pPr>
        <w:pStyle w:val="SCtext"/>
        <w:numPr>
          <w:ilvl w:val="0"/>
          <w:numId w:val="0"/>
        </w:numPr>
        <w:rPr>
          <w:rFonts w:asciiTheme="minorHAnsi" w:hAnsiTheme="minorHAnsi" w:cstheme="minorHAnsi"/>
          <w:lang w:val="en-US"/>
        </w:rPr>
      </w:pPr>
    </w:p>
    <w:p w14:paraId="3DCA3702" w14:textId="6DBF8AD4" w:rsidR="00E71AAF" w:rsidRPr="00B845AF" w:rsidRDefault="00E71AAF">
      <w:pPr>
        <w:pStyle w:val="SCtext"/>
        <w:rPr>
          <w:rFonts w:asciiTheme="minorHAnsi" w:hAnsiTheme="minorHAnsi" w:cstheme="minorHAnsi"/>
          <w:lang w:val="en-US"/>
        </w:rPr>
      </w:pPr>
      <w:r w:rsidRPr="00B845AF">
        <w:rPr>
          <w:rFonts w:asciiTheme="minorHAnsi" w:hAnsiTheme="minorHAnsi" w:cstheme="minorHAnsi"/>
          <w:lang w:val="en-US"/>
        </w:rPr>
        <w:lastRenderedPageBreak/>
        <w:t xml:space="preserve">Indonesia stated it did not object to the proposed review plan for SKJ and </w:t>
      </w:r>
      <w:r w:rsidR="00CC2236" w:rsidRPr="00B845AF">
        <w:rPr>
          <w:rFonts w:asciiTheme="minorHAnsi" w:hAnsiTheme="minorHAnsi" w:cstheme="minorHAnsi"/>
          <w:lang w:val="en-US"/>
        </w:rPr>
        <w:t>SP</w:t>
      </w:r>
      <w:r w:rsidR="00DF2C61" w:rsidRPr="00B845AF">
        <w:rPr>
          <w:rFonts w:asciiTheme="minorHAnsi" w:hAnsiTheme="minorHAnsi" w:cstheme="minorHAnsi"/>
          <w:lang w:val="en-US"/>
        </w:rPr>
        <w:t>A</w:t>
      </w:r>
      <w:r w:rsidRPr="00B845AF">
        <w:rPr>
          <w:rFonts w:asciiTheme="minorHAnsi" w:hAnsiTheme="minorHAnsi" w:cstheme="minorHAnsi"/>
          <w:lang w:val="en-US"/>
        </w:rPr>
        <w:t>, while noting the SSP</w:t>
      </w:r>
      <w:r w:rsidR="00CC2236" w:rsidRPr="00B845AF">
        <w:rPr>
          <w:rFonts w:asciiTheme="minorHAnsi" w:hAnsiTheme="minorHAnsi" w:cstheme="minorHAnsi"/>
          <w:lang w:val="en-US"/>
        </w:rPr>
        <w:t>’</w:t>
      </w:r>
      <w:r w:rsidRPr="00B845AF">
        <w:rPr>
          <w:rFonts w:asciiTheme="minorHAnsi" w:hAnsiTheme="minorHAnsi" w:cstheme="minorHAnsi"/>
          <w:lang w:val="en-US"/>
        </w:rPr>
        <w:t>s heavy workload, but sought clarity on whether YFT would be included in the review schedule or left without an independent review. The Vice-Chair replied that YFT had been reviewed relatively recently and so was not identified as a priority for review under the draft criteria at this time, that BET, SKJ, and S</w:t>
      </w:r>
      <w:r w:rsidR="00CC2236" w:rsidRPr="00B845AF">
        <w:rPr>
          <w:rFonts w:asciiTheme="minorHAnsi" w:hAnsiTheme="minorHAnsi" w:cstheme="minorHAnsi"/>
          <w:lang w:val="en-US"/>
        </w:rPr>
        <w:t>P</w:t>
      </w:r>
      <w:r w:rsidR="00DF2C61" w:rsidRPr="00B845AF">
        <w:rPr>
          <w:rFonts w:asciiTheme="minorHAnsi" w:hAnsiTheme="minorHAnsi" w:cstheme="minorHAnsi"/>
          <w:lang w:val="en-US"/>
        </w:rPr>
        <w:t>A</w:t>
      </w:r>
      <w:r w:rsidRPr="00B845AF">
        <w:rPr>
          <w:rFonts w:asciiTheme="minorHAnsi" w:hAnsiTheme="minorHAnsi" w:cstheme="minorHAnsi"/>
          <w:lang w:val="en-US"/>
        </w:rPr>
        <w:t xml:space="preserve"> had not yet had an independent peer review, and that the criteria would be reapplied periodically, meaning YFT could be a future candidate; he added that lessons learned from the SKJ and BET reviews, particularly on tagging data, would likely have relevance for YFT as well. Indonesia thanked the Vice-Chair for the clarification and noted it understood this would be a matter for future discussion.</w:t>
      </w:r>
    </w:p>
    <w:p w14:paraId="683DCF77" w14:textId="77777777" w:rsidR="00D31107" w:rsidRPr="00B845AF" w:rsidRDefault="00D31107" w:rsidP="00D31107">
      <w:pPr>
        <w:pStyle w:val="SCtext"/>
        <w:numPr>
          <w:ilvl w:val="0"/>
          <w:numId w:val="0"/>
        </w:numPr>
        <w:rPr>
          <w:rFonts w:asciiTheme="minorHAnsi" w:hAnsiTheme="minorHAnsi" w:cstheme="minorHAnsi"/>
          <w:lang w:val="en-US"/>
        </w:rPr>
      </w:pPr>
    </w:p>
    <w:p w14:paraId="3EF8E6EB" w14:textId="6D717D25" w:rsidR="00D31107" w:rsidRPr="00B845AF" w:rsidRDefault="007F2828">
      <w:pPr>
        <w:pStyle w:val="SCtext"/>
        <w:rPr>
          <w:rFonts w:asciiTheme="minorHAnsi" w:hAnsiTheme="minorHAnsi" w:cstheme="minorHAnsi"/>
          <w:lang w:val="en-US"/>
        </w:rPr>
      </w:pPr>
      <w:r w:rsidRPr="00B845AF">
        <w:rPr>
          <w:rFonts w:asciiTheme="minorHAnsi" w:hAnsiTheme="minorHAnsi" w:cstheme="minorHAnsi"/>
          <w:lang w:val="en-US"/>
        </w:rPr>
        <w:t>The Vice-Chair reported that, in discussion with the SSP, it had been established that the SSP had resources to complete two, rather than three, independent peer reviews within the identified window, and that he and the SC Chair had assessed which reviews should take priority based on the Committee</w:t>
      </w:r>
      <w:r w:rsidR="005E5F4B" w:rsidRPr="00B845AF">
        <w:rPr>
          <w:rFonts w:asciiTheme="minorHAnsi" w:hAnsiTheme="minorHAnsi" w:cstheme="minorHAnsi"/>
          <w:lang w:val="en-US"/>
        </w:rPr>
        <w:t>’</w:t>
      </w:r>
      <w:r w:rsidRPr="00B845AF">
        <w:rPr>
          <w:rFonts w:asciiTheme="minorHAnsi" w:hAnsiTheme="minorHAnsi" w:cstheme="minorHAnsi"/>
          <w:lang w:val="en-US"/>
        </w:rPr>
        <w:t xml:space="preserve">s discussions over the past two years. He advised that the SKJ peer review, discussed extensively last year, and the BET peer review, already agreed earlier in the meeting, should take priority, and proposed that the </w:t>
      </w:r>
      <w:r w:rsidR="005E5F4B" w:rsidRPr="00B845AF">
        <w:rPr>
          <w:rFonts w:asciiTheme="minorHAnsi" w:hAnsiTheme="minorHAnsi" w:cstheme="minorHAnsi"/>
          <w:lang w:val="en-US"/>
        </w:rPr>
        <w:t>SPA</w:t>
      </w:r>
      <w:r w:rsidRPr="00B845AF">
        <w:rPr>
          <w:rFonts w:asciiTheme="minorHAnsi" w:hAnsiTheme="minorHAnsi" w:cstheme="minorHAnsi"/>
          <w:lang w:val="en-US"/>
        </w:rPr>
        <w:t xml:space="preserve"> review instead be deferred, with its timing to be considered following the 2030 assessment, given the work involved in incorporating CKMR data into that assessment.</w:t>
      </w:r>
    </w:p>
    <w:p w14:paraId="35DAF4CB" w14:textId="77777777" w:rsidR="005E5F4B" w:rsidRPr="00B845AF" w:rsidRDefault="005E5F4B" w:rsidP="005E5F4B">
      <w:pPr>
        <w:pStyle w:val="SCtext"/>
        <w:numPr>
          <w:ilvl w:val="0"/>
          <w:numId w:val="0"/>
        </w:numPr>
        <w:rPr>
          <w:rFonts w:asciiTheme="minorHAnsi" w:hAnsiTheme="minorHAnsi" w:cstheme="minorHAnsi"/>
          <w:lang w:val="en-US"/>
        </w:rPr>
      </w:pPr>
    </w:p>
    <w:p w14:paraId="1FE9F53A" w14:textId="34C629F2" w:rsidR="005E5F4B" w:rsidRPr="00B845AF" w:rsidRDefault="005E5F4B">
      <w:pPr>
        <w:pStyle w:val="SCtext"/>
        <w:rPr>
          <w:rFonts w:asciiTheme="minorHAnsi" w:hAnsiTheme="minorHAnsi" w:cstheme="minorHAnsi"/>
          <w:lang w:val="en-US"/>
        </w:rPr>
      </w:pPr>
      <w:r w:rsidRPr="00B845AF">
        <w:rPr>
          <w:rFonts w:asciiTheme="minorHAnsi" w:hAnsiTheme="minorHAnsi" w:cstheme="minorHAnsi"/>
          <w:lang w:val="en-US"/>
        </w:rPr>
        <w:t>The SSP stated there was no easy way to manage the resulting workload, noting a tagging workshop in late 2027, the SKJ review in late 2028, and the BET review in late 2029 would run in close succession. The SSP suggested the scope of the BET review might be narrowed depending on the outcomes of the tagging workshop and SKJ assessment, given their likely overlap with BET, and noted further overlap with the recently completed YFT review. On SPA, the SSP explained that incorporating CKMR data would require significant technical engagement, including workshops and development of methodological approaches, in the period before the 2030 assessment, with no guarantee CKMR data would in fact be ready by 2030, and that this intervening period would provide ample opportunity to build confidence and transparency in the approaches before deciding on the timing of a peer review, which might also depend on whether a further assessment cycle would be needed first.</w:t>
      </w:r>
    </w:p>
    <w:p w14:paraId="314406BA" w14:textId="77777777" w:rsidR="00340877" w:rsidRPr="00B845AF" w:rsidRDefault="00340877" w:rsidP="00340877">
      <w:pPr>
        <w:pStyle w:val="SCtext"/>
        <w:numPr>
          <w:ilvl w:val="0"/>
          <w:numId w:val="0"/>
        </w:numPr>
        <w:rPr>
          <w:rFonts w:asciiTheme="minorHAnsi" w:hAnsiTheme="minorHAnsi" w:cstheme="minorHAnsi"/>
          <w:lang w:val="en-US"/>
        </w:rPr>
      </w:pPr>
    </w:p>
    <w:p w14:paraId="01C67013" w14:textId="109071DB" w:rsidR="00340877" w:rsidRPr="00B845AF" w:rsidRDefault="00340877">
      <w:pPr>
        <w:pStyle w:val="SCtext"/>
        <w:rPr>
          <w:rFonts w:asciiTheme="minorHAnsi" w:hAnsiTheme="minorHAnsi" w:cstheme="minorHAnsi"/>
          <w:lang w:val="en-US"/>
        </w:rPr>
      </w:pPr>
      <w:r w:rsidRPr="00B845AF">
        <w:rPr>
          <w:rFonts w:asciiTheme="minorHAnsi" w:hAnsiTheme="minorHAnsi" w:cstheme="minorHAnsi"/>
          <w:lang w:val="en-US"/>
        </w:rPr>
        <w:t>Japan asked to confirm the funding figure, understood at approximately USD 50,000 per review, and whether these reviews would be funded through the regular budget or require a specific request to the Commission. The SC Chair responded that the YFT review had cost approximately USD 40,000, with the striped marlin and PBF reviews at a similar level. The Secretariat added that prior funding came from the Commission</w:t>
      </w:r>
      <w:r w:rsidR="00BC2051" w:rsidRPr="00B845AF">
        <w:rPr>
          <w:rFonts w:asciiTheme="minorHAnsi" w:hAnsiTheme="minorHAnsi" w:cstheme="minorHAnsi"/>
          <w:lang w:val="en-US"/>
        </w:rPr>
        <w:t>’</w:t>
      </w:r>
      <w:r w:rsidRPr="00B845AF">
        <w:rPr>
          <w:rFonts w:asciiTheme="minorHAnsi" w:hAnsiTheme="minorHAnsi" w:cstheme="minorHAnsi"/>
          <w:lang w:val="en-US"/>
        </w:rPr>
        <w:t>s core budget following an SC recommendation and Commission endorsement, with USD 50,000 secured</w:t>
      </w:r>
      <w:r w:rsidR="00BC2051" w:rsidRPr="00B845AF">
        <w:rPr>
          <w:rFonts w:asciiTheme="minorHAnsi" w:hAnsiTheme="minorHAnsi" w:cstheme="minorHAnsi"/>
          <w:lang w:val="en-US"/>
        </w:rPr>
        <w:t>.</w:t>
      </w:r>
    </w:p>
    <w:p w14:paraId="54930BA7" w14:textId="2832E7AD" w:rsidR="002C68B0" w:rsidRPr="00B845AF" w:rsidRDefault="002C68B0" w:rsidP="002C68B0">
      <w:pPr>
        <w:pStyle w:val="SCtext"/>
        <w:numPr>
          <w:ilvl w:val="0"/>
          <w:numId w:val="0"/>
        </w:numPr>
        <w:rPr>
          <w:rFonts w:asciiTheme="minorHAnsi" w:hAnsiTheme="minorHAnsi" w:cstheme="minorHAnsi"/>
          <w:lang w:val="en-US"/>
        </w:rPr>
      </w:pPr>
    </w:p>
    <w:p w14:paraId="43EEA1CD" w14:textId="7656B6F8" w:rsidR="002C68B0" w:rsidRPr="00B845AF" w:rsidRDefault="002C68B0" w:rsidP="002C68B0">
      <w:pPr>
        <w:pStyle w:val="SCDR"/>
        <w:rPr>
          <w:rFonts w:asciiTheme="minorHAnsi" w:hAnsiTheme="minorHAnsi" w:cstheme="minorHAnsi"/>
          <w:lang w:eastAsia="ja-JP"/>
        </w:rPr>
      </w:pPr>
      <w:r w:rsidRPr="00B845AF">
        <w:rPr>
          <w:rFonts w:asciiTheme="minorHAnsi" w:hAnsiTheme="minorHAnsi" w:cstheme="minorHAnsi"/>
          <w:lang w:eastAsia="ja-JP"/>
        </w:rPr>
        <w:t>Outcomes</w:t>
      </w:r>
    </w:p>
    <w:p w14:paraId="3CC941FD" w14:textId="5CB7CFEC" w:rsidR="002C68B0" w:rsidRPr="00B845AF" w:rsidRDefault="00CB21AB">
      <w:pPr>
        <w:pStyle w:val="SCtext"/>
        <w:rPr>
          <w:rFonts w:asciiTheme="minorHAnsi" w:hAnsiTheme="minorHAnsi" w:cstheme="minorHAnsi"/>
          <w:b/>
          <w:bCs/>
          <w:lang w:val="en-US"/>
        </w:rPr>
      </w:pPr>
      <w:r w:rsidRPr="00B845AF">
        <w:rPr>
          <w:rFonts w:asciiTheme="minorHAnsi" w:hAnsiTheme="minorHAnsi" w:cstheme="minorHAnsi"/>
          <w:b/>
          <w:bCs/>
          <w:lang w:val="en-US"/>
        </w:rPr>
        <w:t>SC22 agreed to defer the agreement on the proposed draft criteria for scheduling stock assessment reviews until SC23. SC further agreed to refer the proposed draft criteria to the ISC for their consideration and feedback.</w:t>
      </w:r>
    </w:p>
    <w:p w14:paraId="12B082B4" w14:textId="77777777" w:rsidR="00CB21AB" w:rsidRPr="00B845AF" w:rsidRDefault="00CB21AB" w:rsidP="00CB21AB">
      <w:pPr>
        <w:pStyle w:val="SCtext"/>
        <w:numPr>
          <w:ilvl w:val="0"/>
          <w:numId w:val="0"/>
        </w:numPr>
        <w:rPr>
          <w:rFonts w:asciiTheme="minorHAnsi" w:hAnsiTheme="minorHAnsi" w:cstheme="minorHAnsi"/>
          <w:lang w:val="en-US"/>
        </w:rPr>
      </w:pPr>
    </w:p>
    <w:p w14:paraId="11E89B86" w14:textId="72E70762" w:rsidR="00CB21AB" w:rsidRPr="00B845AF" w:rsidRDefault="00CB21AB">
      <w:pPr>
        <w:pStyle w:val="SCtext"/>
        <w:rPr>
          <w:rFonts w:asciiTheme="minorHAnsi" w:hAnsiTheme="minorHAnsi" w:cstheme="minorHAnsi"/>
          <w:b/>
          <w:bCs/>
          <w:lang w:val="en-US"/>
        </w:rPr>
      </w:pPr>
      <w:r w:rsidRPr="00B845AF">
        <w:rPr>
          <w:rFonts w:asciiTheme="minorHAnsi" w:hAnsiTheme="minorHAnsi" w:cstheme="minorHAnsi"/>
          <w:b/>
          <w:bCs/>
          <w:lang w:val="en-US"/>
        </w:rPr>
        <w:t>SC22 agreed to the following stock assessment review schedule:</w:t>
      </w:r>
    </w:p>
    <w:p w14:paraId="24131D36" w14:textId="77777777" w:rsidR="00A51050" w:rsidRPr="00B845AF" w:rsidRDefault="00A51050" w:rsidP="00A51050">
      <w:pPr>
        <w:pStyle w:val="SCtext"/>
        <w:numPr>
          <w:ilvl w:val="0"/>
          <w:numId w:val="0"/>
        </w:numPr>
        <w:rPr>
          <w:rFonts w:asciiTheme="minorHAnsi" w:hAnsiTheme="minorHAnsi" w:cstheme="minorHAnsi"/>
          <w:b/>
          <w:bCs/>
          <w:lang w:val="en-US"/>
        </w:rPr>
      </w:pPr>
    </w:p>
    <w:p w14:paraId="2D0D151C" w14:textId="3BD5FB13" w:rsidR="00CB21AB" w:rsidRPr="00B845AF" w:rsidRDefault="00CB21AB" w:rsidP="00C45BA1">
      <w:pPr>
        <w:pStyle w:val="SCtext"/>
        <w:numPr>
          <w:ilvl w:val="0"/>
          <w:numId w:val="61"/>
        </w:numPr>
        <w:rPr>
          <w:rFonts w:asciiTheme="minorHAnsi" w:hAnsiTheme="minorHAnsi" w:cstheme="minorHAnsi"/>
          <w:b/>
          <w:bCs/>
          <w:lang w:val="en-US"/>
        </w:rPr>
      </w:pPr>
      <w:r w:rsidRPr="00B845AF">
        <w:rPr>
          <w:rFonts w:asciiTheme="minorHAnsi" w:hAnsiTheme="minorHAnsi" w:cstheme="minorHAnsi"/>
          <w:b/>
          <w:bCs/>
          <w:lang w:val="en-US"/>
        </w:rPr>
        <w:t>SKJ independent peer review of the 2028 assessment completed for SC25 in 2029</w:t>
      </w:r>
    </w:p>
    <w:p w14:paraId="279CC27E" w14:textId="2C3A01B7" w:rsidR="00CB21AB" w:rsidRPr="00B845AF" w:rsidRDefault="00CB21AB" w:rsidP="00C45BA1">
      <w:pPr>
        <w:pStyle w:val="SCtext"/>
        <w:numPr>
          <w:ilvl w:val="0"/>
          <w:numId w:val="61"/>
        </w:numPr>
        <w:rPr>
          <w:rFonts w:asciiTheme="minorHAnsi" w:hAnsiTheme="minorHAnsi" w:cstheme="minorHAnsi"/>
          <w:b/>
          <w:bCs/>
          <w:lang w:val="en-US"/>
        </w:rPr>
      </w:pPr>
      <w:r w:rsidRPr="00B845AF">
        <w:rPr>
          <w:rFonts w:asciiTheme="minorHAnsi" w:hAnsiTheme="minorHAnsi" w:cstheme="minorHAnsi"/>
          <w:b/>
          <w:bCs/>
          <w:lang w:val="en-US"/>
        </w:rPr>
        <w:t>BET independent peer review of the 2029 assessment completed for SC26 in 2030</w:t>
      </w:r>
    </w:p>
    <w:p w14:paraId="4860923C" w14:textId="77777777" w:rsidR="00CB21AB" w:rsidRPr="00B845AF" w:rsidRDefault="00CB21AB" w:rsidP="00CB21AB">
      <w:pPr>
        <w:pStyle w:val="SCtext"/>
        <w:numPr>
          <w:ilvl w:val="0"/>
          <w:numId w:val="0"/>
        </w:numPr>
        <w:rPr>
          <w:rFonts w:asciiTheme="minorHAnsi" w:hAnsiTheme="minorHAnsi" w:cstheme="minorHAnsi"/>
          <w:b/>
          <w:bCs/>
          <w:lang w:val="en-US"/>
        </w:rPr>
      </w:pPr>
    </w:p>
    <w:p w14:paraId="41495BE3" w14:textId="7BD8A66B" w:rsidR="00CB21AB" w:rsidRPr="00B845AF" w:rsidRDefault="00CB21AB">
      <w:pPr>
        <w:pStyle w:val="SCtext"/>
        <w:rPr>
          <w:rFonts w:asciiTheme="minorHAnsi" w:hAnsiTheme="minorHAnsi" w:cstheme="minorHAnsi"/>
          <w:b/>
          <w:bCs/>
          <w:lang w:val="en-US"/>
        </w:rPr>
      </w:pPr>
      <w:r w:rsidRPr="00B845AF">
        <w:rPr>
          <w:rFonts w:asciiTheme="minorHAnsi" w:hAnsiTheme="minorHAnsi" w:cstheme="minorHAnsi"/>
          <w:b/>
          <w:bCs/>
          <w:lang w:val="en-US"/>
        </w:rPr>
        <w:t xml:space="preserve">SC22 agreed to consider the timing of </w:t>
      </w:r>
      <w:proofErr w:type="gramStart"/>
      <w:r w:rsidRPr="00B845AF">
        <w:rPr>
          <w:rFonts w:asciiTheme="minorHAnsi" w:hAnsiTheme="minorHAnsi" w:cstheme="minorHAnsi"/>
          <w:b/>
          <w:bCs/>
          <w:lang w:val="en-US"/>
        </w:rPr>
        <w:t>a SPA</w:t>
      </w:r>
      <w:proofErr w:type="gramEnd"/>
      <w:r w:rsidRPr="00B845AF">
        <w:rPr>
          <w:rFonts w:asciiTheme="minorHAnsi" w:hAnsiTheme="minorHAnsi" w:cstheme="minorHAnsi"/>
          <w:b/>
          <w:bCs/>
          <w:lang w:val="en-US"/>
        </w:rPr>
        <w:t xml:space="preserve"> independent peer review following the 2030 assessment.</w:t>
      </w:r>
    </w:p>
    <w:p w14:paraId="41753E7F" w14:textId="77777777" w:rsidR="008C2AE9" w:rsidRPr="00B845AF" w:rsidRDefault="008C2AE9" w:rsidP="008C2AE9">
      <w:pPr>
        <w:pStyle w:val="SCtext"/>
        <w:numPr>
          <w:ilvl w:val="0"/>
          <w:numId w:val="0"/>
        </w:numPr>
        <w:rPr>
          <w:rFonts w:asciiTheme="minorHAnsi" w:hAnsiTheme="minorHAnsi" w:cstheme="minorHAnsi"/>
          <w:b/>
          <w:bCs/>
          <w:lang w:val="en-US"/>
        </w:rPr>
      </w:pPr>
    </w:p>
    <w:p w14:paraId="78915E39" w14:textId="68372586" w:rsidR="008C2AE9" w:rsidRPr="00B845AF" w:rsidRDefault="008C2AE9">
      <w:pPr>
        <w:pStyle w:val="SCtext"/>
        <w:rPr>
          <w:rFonts w:asciiTheme="minorHAnsi" w:hAnsiTheme="minorHAnsi" w:cstheme="minorHAnsi"/>
          <w:b/>
          <w:bCs/>
          <w:lang w:val="en-US"/>
        </w:rPr>
      </w:pPr>
      <w:r w:rsidRPr="00B845AF">
        <w:rPr>
          <w:rFonts w:asciiTheme="minorHAnsi" w:hAnsiTheme="minorHAnsi" w:cstheme="minorHAnsi"/>
          <w:b/>
          <w:bCs/>
          <w:lang w:val="en-US"/>
        </w:rPr>
        <w:t>SC22 agreed to consider the necessity of peer review of MSEs in future SC meetings.</w:t>
      </w:r>
    </w:p>
    <w:p w14:paraId="6352E8F4" w14:textId="77777777" w:rsidR="00F67A29" w:rsidRPr="00B845AF" w:rsidRDefault="00F67A29" w:rsidP="00532C94">
      <w:pPr>
        <w:kinsoku w:val="0"/>
        <w:overflowPunct w:val="0"/>
        <w:autoSpaceDE w:val="0"/>
        <w:autoSpaceDN w:val="0"/>
        <w:adjustRightInd w:val="0"/>
        <w:snapToGrid w:val="0"/>
        <w:jc w:val="both"/>
        <w:rPr>
          <w:rFonts w:asciiTheme="minorHAnsi" w:hAnsiTheme="minorHAnsi" w:cstheme="minorHAnsi"/>
          <w:b/>
          <w:szCs w:val="22"/>
        </w:rPr>
      </w:pPr>
    </w:p>
    <w:p w14:paraId="7EBFB4E9" w14:textId="77777777" w:rsidR="00F67A29" w:rsidRPr="00B845AF" w:rsidRDefault="00F67A29">
      <w:pPr>
        <w:pStyle w:val="SC2"/>
        <w:rPr>
          <w:rFonts w:asciiTheme="minorHAnsi" w:hAnsiTheme="minorHAnsi" w:cstheme="minorHAnsi"/>
        </w:rPr>
      </w:pPr>
      <w:r w:rsidRPr="00B845AF">
        <w:rPr>
          <w:rFonts w:asciiTheme="minorHAnsi" w:hAnsiTheme="minorHAnsi" w:cstheme="minorHAnsi"/>
        </w:rPr>
        <w:t xml:space="preserve">Next meeting </w:t>
      </w:r>
    </w:p>
    <w:p w14:paraId="10F52EC8" w14:textId="7322FB40" w:rsidR="00AE59CF" w:rsidRPr="00B845AF" w:rsidRDefault="00063184">
      <w:pPr>
        <w:pStyle w:val="SCtext"/>
        <w:rPr>
          <w:rFonts w:asciiTheme="minorHAnsi" w:hAnsiTheme="minorHAnsi" w:cstheme="minorHAnsi"/>
          <w:b/>
          <w:bCs/>
          <w:lang w:val="en-US"/>
        </w:rPr>
      </w:pPr>
      <w:r w:rsidRPr="00B845AF">
        <w:rPr>
          <w:rFonts w:asciiTheme="minorHAnsi" w:hAnsiTheme="minorHAnsi" w:cstheme="minorHAnsi"/>
          <w:b/>
          <w:bCs/>
          <w:lang w:val="en-US"/>
        </w:rPr>
        <w:t>SC22 recommended the Commission convene a two-day special session</w:t>
      </w:r>
      <w:r w:rsidR="000F26D4" w:rsidRPr="00B845AF">
        <w:rPr>
          <w:rFonts w:asciiTheme="minorHAnsi" w:hAnsiTheme="minorHAnsi" w:cstheme="minorHAnsi"/>
          <w:b/>
          <w:bCs/>
          <w:lang w:val="en-US"/>
        </w:rPr>
        <w:t xml:space="preserve"> of the Scientific Committee</w:t>
      </w:r>
      <w:r w:rsidRPr="00B845AF">
        <w:rPr>
          <w:rFonts w:asciiTheme="minorHAnsi" w:hAnsiTheme="minorHAnsi" w:cstheme="minorHAnsi"/>
          <w:b/>
          <w:bCs/>
          <w:lang w:val="en-US"/>
        </w:rPr>
        <w:t xml:space="preserve"> for further review and formal approval of the BET OM grid among other issues, with a preference to be held in-person (hybrid) adjacent to WCFPC23 in Port Vila, Vanuatu, subject to intersessional confirmation and funding availability. SC22 agreed that eligible participants </w:t>
      </w:r>
      <w:r w:rsidR="00E96DBC" w:rsidRPr="00B845AF">
        <w:rPr>
          <w:rFonts w:asciiTheme="minorHAnsi" w:hAnsiTheme="minorHAnsi" w:cstheme="minorHAnsi"/>
          <w:b/>
          <w:bCs/>
          <w:lang w:val="en-US"/>
        </w:rPr>
        <w:t>who</w:t>
      </w:r>
      <w:r w:rsidR="00E96DBC" w:rsidRPr="00B845AF">
        <w:rPr>
          <w:rFonts w:asciiTheme="minorHAnsi" w:hAnsiTheme="minorHAnsi" w:cstheme="minorHAnsi"/>
          <w:b/>
          <w:bCs/>
          <w:lang w:val="en-US"/>
        </w:rPr>
        <w:t xml:space="preserve"> </w:t>
      </w:r>
      <w:r w:rsidRPr="00B845AF">
        <w:rPr>
          <w:rFonts w:asciiTheme="minorHAnsi" w:hAnsiTheme="minorHAnsi" w:cstheme="minorHAnsi"/>
          <w:b/>
          <w:bCs/>
          <w:lang w:val="en-US"/>
        </w:rPr>
        <w:t xml:space="preserve">would be funded to attend the Commission meeting would be the same as those participants attending the SC special session. SC22 requested the Secretariat to explore whether Commission funding sources may be available to be used to support this special session. </w:t>
      </w:r>
      <w:proofErr w:type="gramStart"/>
      <w:r w:rsidRPr="00B845AF">
        <w:rPr>
          <w:rFonts w:asciiTheme="minorHAnsi" w:hAnsiTheme="minorHAnsi" w:cstheme="minorHAnsi"/>
          <w:b/>
          <w:bCs/>
          <w:lang w:val="en-US"/>
        </w:rPr>
        <w:t>In the event that</w:t>
      </w:r>
      <w:proofErr w:type="gramEnd"/>
      <w:r w:rsidRPr="00B845AF">
        <w:rPr>
          <w:rFonts w:asciiTheme="minorHAnsi" w:hAnsiTheme="minorHAnsi" w:cstheme="minorHAnsi"/>
          <w:b/>
          <w:bCs/>
          <w:lang w:val="en-US"/>
        </w:rPr>
        <w:t xml:space="preserve"> funding is not available to support an in-person meeting, a virtual meeting should be considered as an alternative.</w:t>
      </w:r>
    </w:p>
    <w:p w14:paraId="1EE8AD72" w14:textId="77777777" w:rsidR="000A4D62" w:rsidRPr="00B845AF" w:rsidRDefault="000A4D62" w:rsidP="000A4D62">
      <w:pPr>
        <w:pStyle w:val="SCtext"/>
        <w:numPr>
          <w:ilvl w:val="0"/>
          <w:numId w:val="0"/>
        </w:numPr>
        <w:rPr>
          <w:rFonts w:asciiTheme="minorHAnsi" w:hAnsiTheme="minorHAnsi" w:cstheme="minorHAnsi"/>
          <w:lang w:val="en-US"/>
        </w:rPr>
      </w:pPr>
    </w:p>
    <w:p w14:paraId="44C0ED18" w14:textId="29C44DAB" w:rsidR="00AE59CF" w:rsidRPr="00B845AF" w:rsidRDefault="000F26D4">
      <w:pPr>
        <w:pStyle w:val="SCtext"/>
        <w:rPr>
          <w:rFonts w:asciiTheme="minorHAnsi" w:hAnsiTheme="minorHAnsi" w:cstheme="minorHAnsi"/>
          <w:b/>
          <w:bCs/>
          <w:lang w:val="en-US"/>
        </w:rPr>
      </w:pPr>
      <w:r w:rsidRPr="00B845AF">
        <w:rPr>
          <w:rFonts w:asciiTheme="minorHAnsi" w:hAnsiTheme="minorHAnsi" w:cstheme="minorHAnsi"/>
          <w:b/>
          <w:bCs/>
          <w:lang w:val="en-US"/>
        </w:rPr>
        <w:t xml:space="preserve">Confirmed by the FSM, </w:t>
      </w:r>
      <w:r w:rsidR="00882B48" w:rsidRPr="00B845AF">
        <w:rPr>
          <w:rFonts w:asciiTheme="minorHAnsi" w:hAnsiTheme="minorHAnsi" w:cstheme="minorHAnsi"/>
          <w:b/>
          <w:bCs/>
          <w:lang w:val="en-US"/>
        </w:rPr>
        <w:t xml:space="preserve">SC22 </w:t>
      </w:r>
      <w:r w:rsidR="00063184" w:rsidRPr="00B845AF">
        <w:rPr>
          <w:rFonts w:asciiTheme="minorHAnsi" w:hAnsiTheme="minorHAnsi" w:cstheme="minorHAnsi"/>
          <w:b/>
          <w:bCs/>
          <w:lang w:val="en-US"/>
        </w:rPr>
        <w:t>agreed</w:t>
      </w:r>
      <w:r w:rsidR="00882B48" w:rsidRPr="00B845AF">
        <w:rPr>
          <w:rFonts w:asciiTheme="minorHAnsi" w:hAnsiTheme="minorHAnsi" w:cstheme="minorHAnsi"/>
          <w:b/>
          <w:bCs/>
          <w:lang w:val="en-US"/>
        </w:rPr>
        <w:t xml:space="preserve"> that SC23 in 2027 be held in Pohnpei, with proposed dates of 10-18 August 2027</w:t>
      </w:r>
      <w:r w:rsidR="006A489A" w:rsidRPr="00B845AF">
        <w:rPr>
          <w:rFonts w:asciiTheme="minorHAnsi" w:hAnsiTheme="minorHAnsi" w:cstheme="minorHAnsi"/>
          <w:b/>
          <w:bCs/>
          <w:lang w:val="en-US"/>
        </w:rPr>
        <w:t xml:space="preserve">. </w:t>
      </w:r>
      <w:r w:rsidR="00882B48" w:rsidRPr="00B845AF">
        <w:rPr>
          <w:rFonts w:asciiTheme="minorHAnsi" w:hAnsiTheme="minorHAnsi" w:cstheme="minorHAnsi"/>
          <w:b/>
          <w:bCs/>
          <w:lang w:val="en-US"/>
        </w:rPr>
        <w:t>Solomon Islands offered to host SC24 in 2028.</w:t>
      </w:r>
    </w:p>
    <w:p w14:paraId="72C9F9AE" w14:textId="77777777" w:rsidR="002D7FB8" w:rsidRPr="00B845AF" w:rsidRDefault="002D7FB8" w:rsidP="00C81189">
      <w:pPr>
        <w:kinsoku w:val="0"/>
        <w:overflowPunct w:val="0"/>
        <w:autoSpaceDE w:val="0"/>
        <w:autoSpaceDN w:val="0"/>
        <w:adjustRightInd w:val="0"/>
        <w:snapToGrid w:val="0"/>
        <w:jc w:val="both"/>
        <w:rPr>
          <w:rFonts w:asciiTheme="minorHAnsi" w:hAnsiTheme="minorHAnsi" w:cstheme="minorHAnsi"/>
          <w:szCs w:val="22"/>
        </w:rPr>
      </w:pPr>
    </w:p>
    <w:p w14:paraId="369C54BC" w14:textId="77777777" w:rsidR="00F67A29" w:rsidRPr="00B845AF" w:rsidRDefault="00F67A29" w:rsidP="001A23E2">
      <w:pPr>
        <w:kinsoku w:val="0"/>
        <w:overflowPunct w:val="0"/>
        <w:autoSpaceDE w:val="0"/>
        <w:autoSpaceDN w:val="0"/>
        <w:adjustRightInd w:val="0"/>
        <w:snapToGrid w:val="0"/>
        <w:ind w:left="1710"/>
        <w:jc w:val="both"/>
        <w:rPr>
          <w:rFonts w:asciiTheme="minorHAnsi" w:hAnsiTheme="minorHAnsi" w:cstheme="minorHAnsi"/>
          <w:szCs w:val="22"/>
        </w:rPr>
      </w:pPr>
    </w:p>
    <w:p w14:paraId="06EE3EB7" w14:textId="55A4A4F0" w:rsidR="00F02C94" w:rsidRPr="00B845AF" w:rsidRDefault="008A0140" w:rsidP="00C81189">
      <w:pPr>
        <w:pStyle w:val="Heading1"/>
        <w:numPr>
          <w:ilvl w:val="0"/>
          <w:numId w:val="0"/>
        </w:numPr>
        <w:ind w:left="720"/>
        <w:rPr>
          <w:rFonts w:asciiTheme="minorHAnsi" w:hAnsiTheme="minorHAnsi" w:cstheme="minorHAnsi"/>
        </w:rPr>
      </w:pPr>
      <w:r w:rsidRPr="00B845AF">
        <w:rPr>
          <w:rFonts w:asciiTheme="minorHAnsi" w:hAnsiTheme="minorHAnsi" w:cstheme="minorHAnsi"/>
        </w:rPr>
        <w:t>AGE</w:t>
      </w:r>
      <w:r w:rsidR="004E6329" w:rsidRPr="00B845AF">
        <w:rPr>
          <w:rFonts w:asciiTheme="minorHAnsi" w:hAnsiTheme="minorHAnsi" w:cstheme="minorHAnsi"/>
        </w:rPr>
        <w:t>N</w:t>
      </w:r>
      <w:r w:rsidRPr="00B845AF">
        <w:rPr>
          <w:rFonts w:asciiTheme="minorHAnsi" w:hAnsiTheme="minorHAnsi" w:cstheme="minorHAnsi"/>
        </w:rPr>
        <w:t>DA ITEM 1</w:t>
      </w:r>
      <w:r w:rsidR="0027200A" w:rsidRPr="00B845AF">
        <w:rPr>
          <w:rFonts w:asciiTheme="minorHAnsi" w:hAnsiTheme="minorHAnsi" w:cstheme="minorHAnsi"/>
        </w:rPr>
        <w:t>2</w:t>
      </w:r>
      <w:r w:rsidRPr="00B845AF">
        <w:rPr>
          <w:rFonts w:asciiTheme="minorHAnsi" w:hAnsiTheme="minorHAnsi" w:cstheme="minorHAnsi"/>
        </w:rPr>
        <w:t xml:space="preserve"> — </w:t>
      </w:r>
      <w:r w:rsidR="0027200A" w:rsidRPr="00B845AF">
        <w:rPr>
          <w:rFonts w:asciiTheme="minorHAnsi" w:hAnsiTheme="minorHAnsi" w:cstheme="minorHAnsi"/>
        </w:rPr>
        <w:t>OTHER MATTERS</w:t>
      </w:r>
      <w:r w:rsidR="00F02C94" w:rsidRPr="00B845AF">
        <w:rPr>
          <w:rFonts w:asciiTheme="minorHAnsi" w:hAnsiTheme="minorHAnsi" w:cstheme="minorHAnsi"/>
        </w:rPr>
        <w:t xml:space="preserve"> </w:t>
      </w:r>
      <w:r w:rsidR="00F02C94" w:rsidRPr="00B845AF">
        <w:rPr>
          <w:rFonts w:asciiTheme="minorHAnsi" w:hAnsiTheme="minorHAnsi" w:cstheme="minorHAnsi"/>
        </w:rPr>
        <w:fldChar w:fldCharType="begin"/>
      </w:r>
      <w:r w:rsidR="00F02C94" w:rsidRPr="00B845AF">
        <w:rPr>
          <w:rFonts w:asciiTheme="minorHAnsi" w:hAnsiTheme="minorHAnsi" w:cstheme="minorHAnsi"/>
        </w:rPr>
        <w:instrText xml:space="preserve"> TC "</w:instrText>
      </w:r>
      <w:bookmarkStart w:id="81" w:name="_Toc239261434"/>
      <w:r w:rsidR="00F02C94" w:rsidRPr="00B845AF">
        <w:rPr>
          <w:rFonts w:asciiTheme="minorHAnsi" w:hAnsiTheme="minorHAnsi" w:cstheme="minorHAnsi"/>
        </w:rPr>
        <w:instrText>AGENDA ITEM 12</w:instrText>
      </w:r>
      <w:r w:rsidR="00B95E03" w:rsidRPr="00B845AF">
        <w:rPr>
          <w:rFonts w:asciiTheme="minorHAnsi" w:hAnsiTheme="minorHAnsi" w:cstheme="minorHAnsi"/>
        </w:rPr>
        <w:instrText xml:space="preserve"> </w:instrText>
      </w:r>
      <w:r w:rsidR="00F02C94" w:rsidRPr="00B845AF">
        <w:rPr>
          <w:rFonts w:asciiTheme="minorHAnsi" w:hAnsiTheme="minorHAnsi" w:cstheme="minorHAnsi"/>
        </w:rPr>
        <w:instrText>— OTHER MATTERS</w:instrText>
      </w:r>
      <w:bookmarkEnd w:id="81"/>
      <w:r w:rsidR="00F02C94" w:rsidRPr="00B845AF">
        <w:rPr>
          <w:rFonts w:asciiTheme="minorHAnsi" w:hAnsiTheme="minorHAnsi" w:cstheme="minorHAnsi"/>
        </w:rPr>
        <w:instrText xml:space="preserve">" \f C \l "1" </w:instrText>
      </w:r>
      <w:r w:rsidR="00F02C94" w:rsidRPr="00B845AF">
        <w:rPr>
          <w:rFonts w:asciiTheme="minorHAnsi" w:hAnsiTheme="minorHAnsi" w:cstheme="minorHAnsi"/>
        </w:rPr>
        <w:fldChar w:fldCharType="end"/>
      </w:r>
    </w:p>
    <w:p w14:paraId="7311ACF2" w14:textId="424A36C0" w:rsidR="009813BC" w:rsidRPr="00B845AF" w:rsidRDefault="00892538">
      <w:pPr>
        <w:pStyle w:val="SCtext"/>
        <w:rPr>
          <w:rFonts w:asciiTheme="minorHAnsi" w:hAnsiTheme="minorHAnsi" w:cstheme="minorHAnsi"/>
          <w:lang w:val="en-US"/>
        </w:rPr>
      </w:pPr>
      <w:r w:rsidRPr="00B845AF">
        <w:rPr>
          <w:rFonts w:asciiTheme="minorHAnsi" w:hAnsiTheme="minorHAnsi" w:cstheme="minorHAnsi"/>
          <w:lang w:val="en-US"/>
        </w:rPr>
        <w:t>There were no other matters to be discussed.</w:t>
      </w:r>
    </w:p>
    <w:p w14:paraId="087E290B" w14:textId="77777777" w:rsidR="0027200A" w:rsidRPr="00B845AF" w:rsidRDefault="0027200A" w:rsidP="008A0140">
      <w:pPr>
        <w:kinsoku w:val="0"/>
        <w:overflowPunct w:val="0"/>
        <w:autoSpaceDE w:val="0"/>
        <w:autoSpaceDN w:val="0"/>
        <w:jc w:val="center"/>
        <w:rPr>
          <w:rFonts w:asciiTheme="minorHAnsi" w:hAnsiTheme="minorHAnsi" w:cstheme="minorHAnsi"/>
          <w:b/>
          <w:bCs/>
          <w:szCs w:val="22"/>
        </w:rPr>
      </w:pPr>
    </w:p>
    <w:p w14:paraId="356BA200" w14:textId="77777777" w:rsidR="008A0140" w:rsidRPr="00B845AF" w:rsidRDefault="008A0140" w:rsidP="001A23E2">
      <w:pPr>
        <w:kinsoku w:val="0"/>
        <w:overflowPunct w:val="0"/>
        <w:autoSpaceDE w:val="0"/>
        <w:autoSpaceDN w:val="0"/>
        <w:adjustRightInd w:val="0"/>
        <w:snapToGrid w:val="0"/>
        <w:ind w:left="1710"/>
        <w:jc w:val="both"/>
        <w:rPr>
          <w:rFonts w:asciiTheme="minorHAnsi" w:hAnsiTheme="minorHAnsi" w:cstheme="minorHAnsi"/>
          <w:szCs w:val="22"/>
        </w:rPr>
      </w:pPr>
    </w:p>
    <w:p w14:paraId="0547E45B" w14:textId="754B75E8" w:rsidR="008A0140" w:rsidRPr="00B845AF" w:rsidRDefault="008A0140" w:rsidP="00DA7C78">
      <w:pPr>
        <w:pStyle w:val="Heading1"/>
        <w:numPr>
          <w:ilvl w:val="0"/>
          <w:numId w:val="0"/>
        </w:numPr>
        <w:ind w:left="360"/>
        <w:rPr>
          <w:rFonts w:asciiTheme="minorHAnsi" w:hAnsiTheme="minorHAnsi" w:cstheme="minorHAnsi"/>
        </w:rPr>
      </w:pPr>
      <w:r w:rsidRPr="00B845AF">
        <w:rPr>
          <w:rFonts w:asciiTheme="minorHAnsi" w:hAnsiTheme="minorHAnsi" w:cstheme="minorHAnsi"/>
        </w:rPr>
        <w:t>AGE</w:t>
      </w:r>
      <w:r w:rsidR="004E6329" w:rsidRPr="00B845AF">
        <w:rPr>
          <w:rFonts w:asciiTheme="minorHAnsi" w:hAnsiTheme="minorHAnsi" w:cstheme="minorHAnsi"/>
        </w:rPr>
        <w:t>N</w:t>
      </w:r>
      <w:r w:rsidRPr="00B845AF">
        <w:rPr>
          <w:rFonts w:asciiTheme="minorHAnsi" w:hAnsiTheme="minorHAnsi" w:cstheme="minorHAnsi"/>
        </w:rPr>
        <w:t>DA ITEM 1</w:t>
      </w:r>
      <w:r w:rsidR="004E6329" w:rsidRPr="00B845AF">
        <w:rPr>
          <w:rFonts w:asciiTheme="minorHAnsi" w:hAnsiTheme="minorHAnsi" w:cstheme="minorHAnsi"/>
        </w:rPr>
        <w:t>3</w:t>
      </w:r>
      <w:r w:rsidRPr="00B845AF">
        <w:rPr>
          <w:rFonts w:asciiTheme="minorHAnsi" w:hAnsiTheme="minorHAnsi" w:cstheme="minorHAnsi"/>
        </w:rPr>
        <w:t xml:space="preserve"> — </w:t>
      </w:r>
      <w:r w:rsidR="0027200A" w:rsidRPr="00B845AF">
        <w:rPr>
          <w:rFonts w:asciiTheme="minorHAnsi" w:hAnsiTheme="minorHAnsi" w:cstheme="minorHAnsi"/>
        </w:rPr>
        <w:t xml:space="preserve">ADOPTION OF THE REPORT OF THE </w:t>
      </w:r>
      <w:r w:rsidR="00C948A3" w:rsidRPr="00B845AF">
        <w:rPr>
          <w:rFonts w:asciiTheme="minorHAnsi" w:hAnsiTheme="minorHAnsi" w:cstheme="minorHAnsi"/>
        </w:rPr>
        <w:t>TWENTY-</w:t>
      </w:r>
      <w:r w:rsidR="00532C94" w:rsidRPr="00B845AF">
        <w:rPr>
          <w:rFonts w:asciiTheme="minorHAnsi" w:hAnsiTheme="minorHAnsi" w:cstheme="minorHAnsi"/>
        </w:rPr>
        <w:t>SECOND</w:t>
      </w:r>
      <w:r w:rsidR="00C948A3" w:rsidRPr="00B845AF">
        <w:rPr>
          <w:rFonts w:asciiTheme="minorHAnsi" w:hAnsiTheme="minorHAnsi" w:cstheme="minorHAnsi"/>
        </w:rPr>
        <w:t xml:space="preserve"> </w:t>
      </w:r>
      <w:r w:rsidR="0027200A" w:rsidRPr="00B845AF">
        <w:rPr>
          <w:rFonts w:asciiTheme="minorHAnsi" w:hAnsiTheme="minorHAnsi" w:cstheme="minorHAnsi"/>
        </w:rPr>
        <w:t xml:space="preserve">REGULAR SESSION </w:t>
      </w:r>
      <w:r w:rsidR="00F54A4D" w:rsidRPr="00B845AF">
        <w:rPr>
          <w:rFonts w:asciiTheme="minorHAnsi" w:hAnsiTheme="minorHAnsi" w:cstheme="minorHAnsi"/>
        </w:rPr>
        <w:t>OF THE SCIENTIFIC COMMITTEE</w:t>
      </w:r>
    </w:p>
    <w:bookmarkStart w:id="82" w:name="_Hlk206771385"/>
    <w:p w14:paraId="3E967457" w14:textId="71FD2255" w:rsidR="004E6329" w:rsidRPr="00B845AF" w:rsidRDefault="00CF6978" w:rsidP="00CD48B3">
      <w:pPr>
        <w:kinsoku w:val="0"/>
        <w:overflowPunct w:val="0"/>
        <w:autoSpaceDE w:val="0"/>
        <w:autoSpaceDN w:val="0"/>
        <w:adjustRightInd w:val="0"/>
        <w:snapToGrid w:val="0"/>
        <w:ind w:left="1710"/>
        <w:jc w:val="both"/>
        <w:rPr>
          <w:rFonts w:asciiTheme="minorHAnsi" w:hAnsiTheme="minorHAnsi" w:cstheme="minorHAnsi"/>
          <w:szCs w:val="22"/>
        </w:rPr>
      </w:pPr>
      <w:r w:rsidRPr="00B845AF">
        <w:rPr>
          <w:rFonts w:asciiTheme="minorHAnsi" w:hAnsiTheme="minorHAnsi" w:cstheme="minorHAnsi"/>
          <w:szCs w:val="22"/>
        </w:rPr>
        <w:fldChar w:fldCharType="begin"/>
      </w:r>
      <w:r w:rsidRPr="00B845AF">
        <w:rPr>
          <w:rFonts w:asciiTheme="minorHAnsi" w:hAnsiTheme="minorHAnsi" w:cstheme="minorHAnsi"/>
          <w:szCs w:val="22"/>
        </w:rPr>
        <w:instrText xml:space="preserve"> TC "</w:instrText>
      </w:r>
      <w:bookmarkStart w:id="83" w:name="_Toc239261435"/>
      <w:r w:rsidRPr="00B845AF">
        <w:rPr>
          <w:rFonts w:asciiTheme="minorHAnsi" w:hAnsiTheme="minorHAnsi" w:cstheme="minorHAnsi"/>
          <w:szCs w:val="22"/>
        </w:rPr>
        <w:instrText>AGENDA ITEM 13</w:instrText>
      </w:r>
      <w:r w:rsidR="00B95E03" w:rsidRPr="00B845AF">
        <w:rPr>
          <w:rFonts w:asciiTheme="minorHAnsi" w:hAnsiTheme="minorHAnsi" w:cstheme="minorHAnsi"/>
          <w:szCs w:val="22"/>
        </w:rPr>
        <w:instrText xml:space="preserve"> </w:instrText>
      </w:r>
      <w:r w:rsidRPr="00B845AF">
        <w:rPr>
          <w:rFonts w:asciiTheme="minorHAnsi" w:hAnsiTheme="minorHAnsi" w:cstheme="minorHAnsi"/>
          <w:szCs w:val="22"/>
        </w:rPr>
        <w:instrText>— ADOPTION OF THE REPORT</w:instrText>
      </w:r>
      <w:bookmarkEnd w:id="83"/>
      <w:r w:rsidRPr="00B845AF">
        <w:rPr>
          <w:rFonts w:asciiTheme="minorHAnsi" w:hAnsiTheme="minorHAnsi" w:cstheme="minorHAnsi"/>
          <w:szCs w:val="22"/>
        </w:rPr>
        <w:instrText xml:space="preserve">" \f C \l "1" </w:instrText>
      </w:r>
      <w:r w:rsidRPr="00B845AF">
        <w:rPr>
          <w:rFonts w:asciiTheme="minorHAnsi" w:hAnsiTheme="minorHAnsi" w:cstheme="minorHAnsi"/>
          <w:szCs w:val="22"/>
        </w:rPr>
        <w:fldChar w:fldCharType="end"/>
      </w:r>
      <w:bookmarkEnd w:id="82"/>
    </w:p>
    <w:p w14:paraId="59B48CB0" w14:textId="537E2483" w:rsidR="004E6329" w:rsidRPr="00B845AF" w:rsidRDefault="004E6329">
      <w:pPr>
        <w:pStyle w:val="SCtext"/>
        <w:rPr>
          <w:rFonts w:asciiTheme="minorHAnsi" w:hAnsiTheme="minorHAnsi" w:cstheme="minorHAnsi"/>
          <w:lang w:val="en-US"/>
        </w:rPr>
      </w:pPr>
      <w:r w:rsidRPr="00B845AF">
        <w:rPr>
          <w:rFonts w:asciiTheme="minorHAnsi" w:hAnsiTheme="minorHAnsi" w:cstheme="minorHAnsi"/>
          <w:lang w:val="en-US"/>
        </w:rPr>
        <w:t>SC2</w:t>
      </w:r>
      <w:r w:rsidR="00532C94" w:rsidRPr="00B845AF">
        <w:rPr>
          <w:rFonts w:asciiTheme="minorHAnsi" w:hAnsiTheme="minorHAnsi" w:cstheme="minorHAnsi"/>
          <w:lang w:val="en-US"/>
        </w:rPr>
        <w:t>2</w:t>
      </w:r>
      <w:r w:rsidRPr="00B845AF">
        <w:rPr>
          <w:rFonts w:asciiTheme="minorHAnsi" w:hAnsiTheme="minorHAnsi" w:cstheme="minorHAnsi"/>
          <w:lang w:val="en-US"/>
        </w:rPr>
        <w:t xml:space="preserve"> </w:t>
      </w:r>
      <w:r w:rsidR="00E266CF" w:rsidRPr="00B845AF">
        <w:rPr>
          <w:rFonts w:asciiTheme="minorHAnsi" w:hAnsiTheme="minorHAnsi" w:cstheme="minorHAnsi"/>
          <w:lang w:val="en-US"/>
        </w:rPr>
        <w:t>adopted</w:t>
      </w:r>
      <w:r w:rsidRPr="00B845AF">
        <w:rPr>
          <w:rFonts w:asciiTheme="minorHAnsi" w:hAnsiTheme="minorHAnsi" w:cstheme="minorHAnsi"/>
          <w:lang w:val="en-US"/>
        </w:rPr>
        <w:t xml:space="preserve"> all recommendations of the Scientific Committee, and the SC2</w:t>
      </w:r>
      <w:r w:rsidR="00532C94" w:rsidRPr="00B845AF">
        <w:rPr>
          <w:rFonts w:asciiTheme="minorHAnsi" w:hAnsiTheme="minorHAnsi" w:cstheme="minorHAnsi"/>
          <w:lang w:val="en-US"/>
        </w:rPr>
        <w:t>2</w:t>
      </w:r>
      <w:r w:rsidRPr="00B845AF">
        <w:rPr>
          <w:rFonts w:asciiTheme="minorHAnsi" w:hAnsiTheme="minorHAnsi" w:cstheme="minorHAnsi"/>
          <w:lang w:val="en-US"/>
        </w:rPr>
        <w:t xml:space="preserve"> Summary Report will be adopted intersessionally after SC2</w:t>
      </w:r>
      <w:r w:rsidR="00532C94" w:rsidRPr="00B845AF">
        <w:rPr>
          <w:rFonts w:asciiTheme="minorHAnsi" w:hAnsiTheme="minorHAnsi" w:cstheme="minorHAnsi"/>
          <w:lang w:val="en-US"/>
        </w:rPr>
        <w:t>2</w:t>
      </w:r>
      <w:r w:rsidRPr="00B845AF">
        <w:rPr>
          <w:rFonts w:asciiTheme="minorHAnsi" w:hAnsiTheme="minorHAnsi" w:cstheme="minorHAnsi"/>
          <w:lang w:val="en-US"/>
        </w:rPr>
        <w:t xml:space="preserve">. </w:t>
      </w:r>
      <w:r w:rsidR="00F45B6B" w:rsidRPr="00B845AF">
        <w:rPr>
          <w:rFonts w:asciiTheme="minorHAnsi" w:hAnsiTheme="minorHAnsi" w:cstheme="minorHAnsi"/>
          <w:lang w:val="en-US"/>
        </w:rPr>
        <w:t>The outcomes document will be posted within seven working days after the conclusion of the meeting.</w:t>
      </w:r>
    </w:p>
    <w:p w14:paraId="371CCF8D" w14:textId="77777777" w:rsidR="00B95E03" w:rsidRPr="00B845AF" w:rsidRDefault="00B95E03" w:rsidP="009A74D6">
      <w:pPr>
        <w:pStyle w:val="SCtext"/>
        <w:numPr>
          <w:ilvl w:val="0"/>
          <w:numId w:val="0"/>
        </w:numPr>
        <w:rPr>
          <w:rFonts w:asciiTheme="minorHAnsi" w:hAnsiTheme="minorHAnsi" w:cstheme="minorHAnsi"/>
          <w:lang w:val="en-US"/>
        </w:rPr>
      </w:pPr>
    </w:p>
    <w:p w14:paraId="1242BDDD" w14:textId="77777777" w:rsidR="00F54A4D" w:rsidRPr="00B845AF" w:rsidRDefault="00F54A4D" w:rsidP="008A0140">
      <w:pPr>
        <w:kinsoku w:val="0"/>
        <w:overflowPunct w:val="0"/>
        <w:autoSpaceDE w:val="0"/>
        <w:autoSpaceDN w:val="0"/>
        <w:jc w:val="center"/>
        <w:rPr>
          <w:rFonts w:asciiTheme="minorHAnsi" w:hAnsiTheme="minorHAnsi" w:cstheme="minorHAnsi"/>
          <w:b/>
          <w:szCs w:val="22"/>
        </w:rPr>
      </w:pPr>
    </w:p>
    <w:p w14:paraId="1B998E11" w14:textId="0E1F350E" w:rsidR="008A0140" w:rsidRPr="00B845AF" w:rsidRDefault="008A0140" w:rsidP="00CD48B3">
      <w:pPr>
        <w:pStyle w:val="Heading1"/>
        <w:numPr>
          <w:ilvl w:val="0"/>
          <w:numId w:val="0"/>
        </w:numPr>
        <w:ind w:left="720"/>
        <w:rPr>
          <w:rFonts w:asciiTheme="minorHAnsi" w:hAnsiTheme="minorHAnsi" w:cstheme="minorHAnsi"/>
        </w:rPr>
      </w:pPr>
      <w:r w:rsidRPr="00B845AF">
        <w:rPr>
          <w:rFonts w:asciiTheme="minorHAnsi" w:hAnsiTheme="minorHAnsi" w:cstheme="minorHAnsi"/>
        </w:rPr>
        <w:t>AGEN</w:t>
      </w:r>
      <w:r w:rsidR="00227FF9" w:rsidRPr="00B845AF">
        <w:rPr>
          <w:rFonts w:asciiTheme="minorHAnsi" w:hAnsiTheme="minorHAnsi" w:cstheme="minorHAnsi"/>
        </w:rPr>
        <w:t>D</w:t>
      </w:r>
      <w:r w:rsidRPr="00B845AF">
        <w:rPr>
          <w:rFonts w:asciiTheme="minorHAnsi" w:hAnsiTheme="minorHAnsi" w:cstheme="minorHAnsi"/>
        </w:rPr>
        <w:t>A ITEM 1</w:t>
      </w:r>
      <w:r w:rsidR="004E6329" w:rsidRPr="00B845AF">
        <w:rPr>
          <w:rFonts w:asciiTheme="minorHAnsi" w:hAnsiTheme="minorHAnsi" w:cstheme="minorHAnsi"/>
        </w:rPr>
        <w:t>4</w:t>
      </w:r>
      <w:r w:rsidRPr="00B845AF">
        <w:rPr>
          <w:rFonts w:asciiTheme="minorHAnsi" w:hAnsiTheme="minorHAnsi" w:cstheme="minorHAnsi"/>
        </w:rPr>
        <w:t xml:space="preserve"> — CLOSE OF MEETING</w:t>
      </w:r>
      <w:r w:rsidR="008C4D87" w:rsidRPr="00B845AF">
        <w:rPr>
          <w:rFonts w:asciiTheme="minorHAnsi" w:hAnsiTheme="minorHAnsi" w:cstheme="minorHAnsi"/>
        </w:rPr>
        <w:t xml:space="preserve"> </w:t>
      </w:r>
      <w:r w:rsidR="008C4D87" w:rsidRPr="00B845AF">
        <w:rPr>
          <w:rFonts w:asciiTheme="minorHAnsi" w:hAnsiTheme="minorHAnsi" w:cstheme="minorHAnsi"/>
        </w:rPr>
        <w:fldChar w:fldCharType="begin"/>
      </w:r>
      <w:r w:rsidR="008C4D87" w:rsidRPr="00B845AF">
        <w:rPr>
          <w:rFonts w:asciiTheme="minorHAnsi" w:hAnsiTheme="minorHAnsi" w:cstheme="minorHAnsi"/>
        </w:rPr>
        <w:instrText xml:space="preserve"> TC "</w:instrText>
      </w:r>
      <w:bookmarkStart w:id="84" w:name="_Toc239261436"/>
      <w:r w:rsidR="008C4D87" w:rsidRPr="00B845AF">
        <w:rPr>
          <w:rFonts w:asciiTheme="minorHAnsi" w:hAnsiTheme="minorHAnsi" w:cstheme="minorHAnsi"/>
        </w:rPr>
        <w:instrText>AGENDA ITEM 14</w:instrText>
      </w:r>
      <w:r w:rsidR="00B95E03" w:rsidRPr="00B845AF">
        <w:rPr>
          <w:rFonts w:asciiTheme="minorHAnsi" w:hAnsiTheme="minorHAnsi" w:cstheme="minorHAnsi"/>
        </w:rPr>
        <w:instrText xml:space="preserve"> </w:instrText>
      </w:r>
      <w:r w:rsidR="008C4D87" w:rsidRPr="00B845AF">
        <w:rPr>
          <w:rFonts w:asciiTheme="minorHAnsi" w:hAnsiTheme="minorHAnsi" w:cstheme="minorHAnsi"/>
        </w:rPr>
        <w:instrText>— CLOSEOF MEETING</w:instrText>
      </w:r>
      <w:bookmarkEnd w:id="84"/>
      <w:r w:rsidR="008C4D87" w:rsidRPr="00B845AF">
        <w:rPr>
          <w:rFonts w:asciiTheme="minorHAnsi" w:hAnsiTheme="minorHAnsi" w:cstheme="minorHAnsi"/>
        </w:rPr>
        <w:instrText xml:space="preserve">" \f C \l "1" </w:instrText>
      </w:r>
      <w:r w:rsidR="008C4D87" w:rsidRPr="00B845AF">
        <w:rPr>
          <w:rFonts w:asciiTheme="minorHAnsi" w:hAnsiTheme="minorHAnsi" w:cstheme="minorHAnsi"/>
        </w:rPr>
        <w:fldChar w:fldCharType="end"/>
      </w:r>
    </w:p>
    <w:p w14:paraId="4FCF3898" w14:textId="47AFFE2C" w:rsidR="00144A3E" w:rsidRPr="00B845AF" w:rsidRDefault="00D114BB">
      <w:pPr>
        <w:pStyle w:val="SCtext"/>
        <w:rPr>
          <w:rFonts w:asciiTheme="minorHAnsi" w:hAnsiTheme="minorHAnsi" w:cstheme="minorHAnsi"/>
          <w:lang w:val="en-US"/>
        </w:rPr>
      </w:pPr>
      <w:bookmarkStart w:id="85" w:name="_Hlk205883941"/>
      <w:r w:rsidRPr="00B845AF">
        <w:rPr>
          <w:rFonts w:asciiTheme="minorHAnsi" w:hAnsiTheme="minorHAnsi" w:cstheme="minorHAnsi"/>
          <w:lang w:val="en-US"/>
        </w:rPr>
        <w:t>New Zealand, on behalf of the FFA members, sincerely thanked the SC Chair for her leadership and thanked the government and people of Samoa for their hospitality.</w:t>
      </w:r>
    </w:p>
    <w:p w14:paraId="03B5E417" w14:textId="2CC2FF77" w:rsidR="00570667" w:rsidRPr="00B845AF" w:rsidRDefault="00570667" w:rsidP="00144A3E">
      <w:pPr>
        <w:pStyle w:val="SCtext"/>
        <w:numPr>
          <w:ilvl w:val="0"/>
          <w:numId w:val="0"/>
        </w:numPr>
        <w:rPr>
          <w:rFonts w:asciiTheme="minorHAnsi" w:hAnsiTheme="minorHAnsi" w:cstheme="minorHAnsi"/>
          <w:lang w:val="en-US"/>
        </w:rPr>
      </w:pPr>
      <w:r w:rsidRPr="00B845AF">
        <w:rPr>
          <w:rFonts w:asciiTheme="minorHAnsi" w:hAnsiTheme="minorHAnsi" w:cstheme="minorHAnsi"/>
          <w:lang w:val="en-US"/>
        </w:rPr>
        <w:t xml:space="preserve"> </w:t>
      </w:r>
    </w:p>
    <w:bookmarkEnd w:id="85"/>
    <w:p w14:paraId="189DD29B" w14:textId="200DA962" w:rsidR="00645E8E" w:rsidRPr="00B845AF" w:rsidRDefault="00A8495D">
      <w:pPr>
        <w:pStyle w:val="SCtext"/>
        <w:rPr>
          <w:rFonts w:asciiTheme="minorHAnsi" w:hAnsiTheme="minorHAnsi" w:cstheme="minorHAnsi"/>
          <w:lang w:val="en-US"/>
        </w:rPr>
      </w:pPr>
      <w:r w:rsidRPr="00B845AF">
        <w:rPr>
          <w:rFonts w:asciiTheme="minorHAnsi" w:hAnsiTheme="minorHAnsi" w:cstheme="minorHAnsi"/>
          <w:lang w:val="en-US"/>
        </w:rPr>
        <w:t xml:space="preserve">The SC Vice-Chair thanked the SC Chair for her leadership through what had been a difficult </w:t>
      </w:r>
      <w:r w:rsidR="00E96DBC" w:rsidRPr="00B845AF">
        <w:rPr>
          <w:rFonts w:asciiTheme="minorHAnsi" w:hAnsiTheme="minorHAnsi" w:cstheme="minorHAnsi"/>
          <w:lang w:val="en-US"/>
        </w:rPr>
        <w:t>meeting and</w:t>
      </w:r>
      <w:r w:rsidRPr="00B845AF">
        <w:rPr>
          <w:rFonts w:asciiTheme="minorHAnsi" w:hAnsiTheme="minorHAnsi" w:cstheme="minorHAnsi"/>
          <w:lang w:val="en-US"/>
        </w:rPr>
        <w:t xml:space="preserve"> thanked the government of Samoa for its generous hospitality, noting that this generosity had helped the Committee approach its work constructively, and recognized the collective effort of all participants.</w:t>
      </w:r>
    </w:p>
    <w:p w14:paraId="2F1CA42F" w14:textId="77777777" w:rsidR="00144A3E" w:rsidRPr="00B845AF" w:rsidRDefault="00144A3E" w:rsidP="00144A3E">
      <w:pPr>
        <w:pStyle w:val="SCtext"/>
        <w:numPr>
          <w:ilvl w:val="0"/>
          <w:numId w:val="0"/>
        </w:numPr>
        <w:rPr>
          <w:rFonts w:asciiTheme="minorHAnsi" w:hAnsiTheme="minorHAnsi" w:cstheme="minorHAnsi"/>
          <w:lang w:val="en-US"/>
        </w:rPr>
      </w:pPr>
    </w:p>
    <w:p w14:paraId="53627A6A" w14:textId="40D39059" w:rsidR="0038192C" w:rsidRPr="00B845AF" w:rsidRDefault="00A8495D">
      <w:pPr>
        <w:pStyle w:val="SCtext"/>
        <w:rPr>
          <w:rFonts w:asciiTheme="minorHAnsi" w:hAnsiTheme="minorHAnsi" w:cstheme="minorHAnsi"/>
          <w:lang w:val="en-US"/>
        </w:rPr>
      </w:pPr>
      <w:r w:rsidRPr="00B845AF">
        <w:rPr>
          <w:rFonts w:asciiTheme="minorHAnsi" w:hAnsiTheme="minorHAnsi" w:cstheme="minorHAnsi"/>
          <w:lang w:val="en-US"/>
        </w:rPr>
        <w:t xml:space="preserve">Samoa thanked the SC Chair for her leadership and congratulated participants on the meeting, and thanked the WCPFC Secretariat, </w:t>
      </w:r>
      <w:r w:rsidR="00AD4EE7" w:rsidRPr="00B845AF">
        <w:rPr>
          <w:rFonts w:asciiTheme="minorHAnsi" w:hAnsiTheme="minorHAnsi" w:cstheme="minorHAnsi"/>
          <w:lang w:val="en-US"/>
        </w:rPr>
        <w:t xml:space="preserve">the </w:t>
      </w:r>
      <w:r w:rsidRPr="00B845AF">
        <w:rPr>
          <w:rFonts w:asciiTheme="minorHAnsi" w:hAnsiTheme="minorHAnsi" w:cstheme="minorHAnsi"/>
          <w:lang w:val="en-US"/>
        </w:rPr>
        <w:t>FFA, the SSP, and all CCMs and observers for visiting Samoa, expressing its government</w:t>
      </w:r>
      <w:r w:rsidR="00AD4EE7" w:rsidRPr="00B845AF">
        <w:rPr>
          <w:rFonts w:asciiTheme="minorHAnsi" w:hAnsiTheme="minorHAnsi" w:cstheme="minorHAnsi"/>
          <w:lang w:val="en-US"/>
        </w:rPr>
        <w:t>’</w:t>
      </w:r>
      <w:r w:rsidRPr="00B845AF">
        <w:rPr>
          <w:rFonts w:asciiTheme="minorHAnsi" w:hAnsiTheme="minorHAnsi" w:cstheme="minorHAnsi"/>
          <w:lang w:val="en-US"/>
        </w:rPr>
        <w:t>s appreciation for their engagement throughout SC22.</w:t>
      </w:r>
    </w:p>
    <w:p w14:paraId="0F557396" w14:textId="77777777" w:rsidR="00AD4EE7" w:rsidRPr="00B845AF" w:rsidRDefault="00AD4EE7" w:rsidP="00AD4EE7">
      <w:pPr>
        <w:pStyle w:val="SCtext"/>
        <w:numPr>
          <w:ilvl w:val="0"/>
          <w:numId w:val="0"/>
        </w:numPr>
        <w:rPr>
          <w:rFonts w:asciiTheme="minorHAnsi" w:hAnsiTheme="minorHAnsi" w:cstheme="minorHAnsi"/>
          <w:lang w:val="en-US"/>
        </w:rPr>
      </w:pPr>
    </w:p>
    <w:p w14:paraId="26525D57" w14:textId="27636F22" w:rsidR="00AD4EE7" w:rsidRPr="00B845AF" w:rsidRDefault="00AD4EE7">
      <w:pPr>
        <w:pStyle w:val="SCtext"/>
        <w:rPr>
          <w:rFonts w:asciiTheme="minorHAnsi" w:hAnsiTheme="minorHAnsi" w:cstheme="minorHAnsi"/>
          <w:lang w:val="en-US"/>
        </w:rPr>
      </w:pPr>
      <w:r w:rsidRPr="00B845AF">
        <w:rPr>
          <w:rFonts w:asciiTheme="minorHAnsi" w:hAnsiTheme="minorHAnsi" w:cstheme="minorHAnsi"/>
          <w:lang w:val="en-US"/>
        </w:rPr>
        <w:t>The SC Chair extended thanks to the Vice-Chair for his work throughout the meeting and thanked the Theme Conven</w:t>
      </w:r>
      <w:r w:rsidR="001D6BCB" w:rsidRPr="00B845AF">
        <w:rPr>
          <w:rFonts w:asciiTheme="minorHAnsi" w:hAnsiTheme="minorHAnsi" w:cstheme="minorHAnsi"/>
          <w:lang w:val="en-US"/>
        </w:rPr>
        <w:t>e</w:t>
      </w:r>
      <w:r w:rsidRPr="00B845AF">
        <w:rPr>
          <w:rFonts w:asciiTheme="minorHAnsi" w:hAnsiTheme="minorHAnsi" w:cstheme="minorHAnsi"/>
          <w:lang w:val="en-US"/>
        </w:rPr>
        <w:t xml:space="preserve">rs for their contributions in guiding the Committee through a challenging session. The </w:t>
      </w:r>
      <w:r w:rsidRPr="00B845AF">
        <w:rPr>
          <w:rFonts w:asciiTheme="minorHAnsi" w:hAnsiTheme="minorHAnsi" w:cstheme="minorHAnsi"/>
          <w:lang w:val="en-US"/>
        </w:rPr>
        <w:lastRenderedPageBreak/>
        <w:t xml:space="preserve">SC Chair acknowledged that SC22 had been a difficult meeting, having worked through exceptionally complex issues relating to the ongoing development of stock assessments and management procedures for tropical tunas, and noted that the Committee had not always </w:t>
      </w:r>
      <w:proofErr w:type="gramStart"/>
      <w:r w:rsidRPr="00B845AF">
        <w:rPr>
          <w:rFonts w:asciiTheme="minorHAnsi" w:hAnsiTheme="minorHAnsi" w:cstheme="minorHAnsi"/>
          <w:lang w:val="en-US"/>
        </w:rPr>
        <w:t>been in agreement</w:t>
      </w:r>
      <w:proofErr w:type="gramEnd"/>
      <w:r w:rsidRPr="00B845AF">
        <w:rPr>
          <w:rFonts w:asciiTheme="minorHAnsi" w:hAnsiTheme="minorHAnsi" w:cstheme="minorHAnsi"/>
          <w:lang w:val="en-US"/>
        </w:rPr>
        <w:t xml:space="preserve"> over the course of the meeting. The SC Chair observed that disagreement is both expected and appropriate in scientific work, and that what matters most is how the Committee responds to differing views and works constructively toward solutions, noting that all CCMs share the same underlying objective of ensuring that management of the region</w:t>
      </w:r>
      <w:r w:rsidR="001D6BCB" w:rsidRPr="00B845AF">
        <w:rPr>
          <w:rFonts w:asciiTheme="minorHAnsi" w:hAnsiTheme="minorHAnsi" w:cstheme="minorHAnsi"/>
          <w:lang w:val="en-US"/>
        </w:rPr>
        <w:t>’</w:t>
      </w:r>
      <w:r w:rsidRPr="00B845AF">
        <w:rPr>
          <w:rFonts w:asciiTheme="minorHAnsi" w:hAnsiTheme="minorHAnsi" w:cstheme="minorHAnsi"/>
          <w:lang w:val="en-US"/>
        </w:rPr>
        <w:t>s fisheries is based on the best available science. The SC Chair again thanked the government and people of Samoa for their hospitality throughout the meetin</w:t>
      </w:r>
      <w:r w:rsidR="004D448A" w:rsidRPr="00B845AF">
        <w:rPr>
          <w:rFonts w:asciiTheme="minorHAnsi" w:hAnsiTheme="minorHAnsi" w:cstheme="minorHAnsi"/>
          <w:lang w:val="en-US"/>
        </w:rPr>
        <w:t>g</w:t>
      </w:r>
      <w:r w:rsidRPr="00B845AF">
        <w:rPr>
          <w:rFonts w:asciiTheme="minorHAnsi" w:hAnsiTheme="minorHAnsi" w:cstheme="minorHAnsi"/>
          <w:lang w:val="en-US"/>
        </w:rPr>
        <w:t>.</w:t>
      </w:r>
    </w:p>
    <w:p w14:paraId="08BA36EC" w14:textId="77777777" w:rsidR="00144A3E" w:rsidRPr="00B845AF" w:rsidRDefault="00144A3E" w:rsidP="00144A3E">
      <w:pPr>
        <w:pStyle w:val="SCtext"/>
        <w:numPr>
          <w:ilvl w:val="0"/>
          <w:numId w:val="0"/>
        </w:numPr>
        <w:rPr>
          <w:rFonts w:asciiTheme="minorHAnsi" w:hAnsiTheme="minorHAnsi" w:cstheme="minorHAnsi"/>
          <w:lang w:val="en-US"/>
        </w:rPr>
      </w:pPr>
    </w:p>
    <w:p w14:paraId="70F6088C" w14:textId="0F7E5F8E" w:rsidR="00C164A1" w:rsidRPr="00B845AF" w:rsidRDefault="0038192C">
      <w:pPr>
        <w:pStyle w:val="SCtext"/>
        <w:rPr>
          <w:rFonts w:asciiTheme="minorHAnsi" w:hAnsiTheme="minorHAnsi" w:cstheme="minorHAnsi"/>
          <w:lang w:val="en-US"/>
        </w:rPr>
      </w:pPr>
      <w:r w:rsidRPr="00B845AF">
        <w:rPr>
          <w:rFonts w:asciiTheme="minorHAnsi" w:hAnsiTheme="minorHAnsi" w:cstheme="minorHAnsi"/>
          <w:lang w:val="en-US"/>
        </w:rPr>
        <w:t>The</w:t>
      </w:r>
      <w:r w:rsidR="009B52E4" w:rsidRPr="00B845AF">
        <w:rPr>
          <w:rFonts w:asciiTheme="minorHAnsi" w:hAnsiTheme="minorHAnsi" w:cstheme="minorHAnsi"/>
          <w:lang w:val="en-US"/>
        </w:rPr>
        <w:t xml:space="preserve"> SC Chair </w:t>
      </w:r>
      <w:r w:rsidR="00C164A1" w:rsidRPr="00B845AF">
        <w:rPr>
          <w:rFonts w:asciiTheme="minorHAnsi" w:hAnsiTheme="minorHAnsi" w:cstheme="minorHAnsi"/>
          <w:lang w:val="en-US"/>
        </w:rPr>
        <w:t>closed SC</w:t>
      </w:r>
      <w:r w:rsidR="00F54A4D" w:rsidRPr="00B845AF">
        <w:rPr>
          <w:rFonts w:asciiTheme="minorHAnsi" w:hAnsiTheme="minorHAnsi" w:cstheme="minorHAnsi"/>
          <w:lang w:val="en-US"/>
        </w:rPr>
        <w:t>2</w:t>
      </w:r>
      <w:r w:rsidR="00532C94" w:rsidRPr="00B845AF">
        <w:rPr>
          <w:rFonts w:asciiTheme="minorHAnsi" w:hAnsiTheme="minorHAnsi" w:cstheme="minorHAnsi"/>
          <w:lang w:val="en-US"/>
        </w:rPr>
        <w:t>2</w:t>
      </w:r>
      <w:r w:rsidR="00C164A1" w:rsidRPr="00B845AF">
        <w:rPr>
          <w:rFonts w:asciiTheme="minorHAnsi" w:hAnsiTheme="minorHAnsi" w:cstheme="minorHAnsi"/>
          <w:lang w:val="en-US"/>
        </w:rPr>
        <w:t xml:space="preserve"> </w:t>
      </w:r>
      <w:r w:rsidR="00797D28" w:rsidRPr="00B845AF">
        <w:rPr>
          <w:rFonts w:asciiTheme="minorHAnsi" w:hAnsiTheme="minorHAnsi" w:cstheme="minorHAnsi"/>
          <w:lang w:val="en-US"/>
        </w:rPr>
        <w:t xml:space="preserve">at </w:t>
      </w:r>
      <w:r w:rsidR="001B21F8" w:rsidRPr="00B845AF">
        <w:rPr>
          <w:rFonts w:asciiTheme="minorHAnsi" w:hAnsiTheme="minorHAnsi" w:cstheme="minorHAnsi"/>
          <w:lang w:val="en-US"/>
        </w:rPr>
        <w:t>16:30</w:t>
      </w:r>
      <w:r w:rsidR="009B52E4" w:rsidRPr="00B845AF">
        <w:rPr>
          <w:rFonts w:asciiTheme="minorHAnsi" w:hAnsiTheme="minorHAnsi" w:cstheme="minorHAnsi"/>
          <w:lang w:val="en-US"/>
        </w:rPr>
        <w:t xml:space="preserve"> </w:t>
      </w:r>
      <w:r w:rsidR="00532C94" w:rsidRPr="00B845AF">
        <w:rPr>
          <w:rFonts w:asciiTheme="minorHAnsi" w:hAnsiTheme="minorHAnsi" w:cstheme="minorHAnsi"/>
          <w:lang w:val="en-US"/>
        </w:rPr>
        <w:t>Samoa</w:t>
      </w:r>
      <w:r w:rsidR="00F54A4D" w:rsidRPr="00B845AF">
        <w:rPr>
          <w:rFonts w:asciiTheme="minorHAnsi" w:hAnsiTheme="minorHAnsi" w:cstheme="minorHAnsi"/>
          <w:lang w:val="en-US"/>
        </w:rPr>
        <w:t xml:space="preserve"> </w:t>
      </w:r>
      <w:r w:rsidR="00C164A1" w:rsidRPr="00B845AF">
        <w:rPr>
          <w:rFonts w:asciiTheme="minorHAnsi" w:hAnsiTheme="minorHAnsi" w:cstheme="minorHAnsi"/>
          <w:lang w:val="en-US"/>
        </w:rPr>
        <w:t xml:space="preserve">time on </w:t>
      </w:r>
      <w:r w:rsidR="00532C94" w:rsidRPr="00B845AF">
        <w:rPr>
          <w:rFonts w:asciiTheme="minorHAnsi" w:hAnsiTheme="minorHAnsi" w:cstheme="minorHAnsi"/>
          <w:lang w:val="en-US"/>
        </w:rPr>
        <w:t>19</w:t>
      </w:r>
      <w:r w:rsidR="001A0EA0" w:rsidRPr="00B845AF">
        <w:rPr>
          <w:rFonts w:asciiTheme="minorHAnsi" w:hAnsiTheme="minorHAnsi" w:cstheme="minorHAnsi"/>
          <w:lang w:val="en-US"/>
        </w:rPr>
        <w:t xml:space="preserve"> August 202</w:t>
      </w:r>
      <w:r w:rsidR="00532C94" w:rsidRPr="00B845AF">
        <w:rPr>
          <w:rFonts w:asciiTheme="minorHAnsi" w:hAnsiTheme="minorHAnsi" w:cstheme="minorHAnsi"/>
          <w:lang w:val="en-US"/>
        </w:rPr>
        <w:t>6</w:t>
      </w:r>
      <w:r w:rsidR="00C164A1" w:rsidRPr="00B845AF">
        <w:rPr>
          <w:rFonts w:asciiTheme="minorHAnsi" w:hAnsiTheme="minorHAnsi" w:cstheme="minorHAnsi"/>
          <w:lang w:val="en-US"/>
        </w:rPr>
        <w:t>.</w:t>
      </w:r>
    </w:p>
    <w:p w14:paraId="1CE21812" w14:textId="77777777" w:rsidR="00645E8E" w:rsidRPr="00B845AF" w:rsidRDefault="00645E8E" w:rsidP="001A23E2">
      <w:pPr>
        <w:autoSpaceDE w:val="0"/>
        <w:autoSpaceDN w:val="0"/>
        <w:adjustRightInd w:val="0"/>
        <w:snapToGrid w:val="0"/>
        <w:jc w:val="both"/>
        <w:rPr>
          <w:rFonts w:asciiTheme="minorHAnsi" w:eastAsiaTheme="minorEastAsia" w:hAnsiTheme="minorHAnsi" w:cstheme="minorHAnsi"/>
          <w:szCs w:val="22"/>
          <w:lang w:eastAsia="ko-KR"/>
        </w:rPr>
      </w:pPr>
    </w:p>
    <w:p w14:paraId="1DEFC680" w14:textId="77777777" w:rsidR="00645E8E" w:rsidRPr="00B845AF" w:rsidRDefault="00645E8E" w:rsidP="001A23E2">
      <w:pPr>
        <w:jc w:val="both"/>
        <w:rPr>
          <w:rFonts w:asciiTheme="minorHAnsi" w:hAnsiTheme="minorHAnsi" w:cstheme="minorHAnsi"/>
          <w:b/>
          <w:bCs/>
          <w:szCs w:val="22"/>
          <w:lang w:eastAsia="en-NZ"/>
        </w:rPr>
      </w:pPr>
      <w:r w:rsidRPr="00B845AF">
        <w:rPr>
          <w:rFonts w:asciiTheme="minorHAnsi" w:hAnsiTheme="minorHAnsi" w:cstheme="minorHAnsi"/>
          <w:b/>
          <w:bCs/>
          <w:szCs w:val="22"/>
          <w:lang w:eastAsia="en-NZ"/>
        </w:rPr>
        <w:br w:type="page"/>
      </w:r>
    </w:p>
    <w:p w14:paraId="2B0E6D26" w14:textId="427BAEDA" w:rsidR="00167860" w:rsidRPr="00B845AF" w:rsidRDefault="00167860" w:rsidP="001B1E0A">
      <w:pPr>
        <w:autoSpaceDE w:val="0"/>
        <w:autoSpaceDN w:val="0"/>
        <w:adjustRightInd w:val="0"/>
        <w:snapToGrid w:val="0"/>
        <w:jc w:val="right"/>
        <w:rPr>
          <w:rFonts w:asciiTheme="minorHAnsi" w:hAnsiTheme="minorHAnsi" w:cstheme="minorHAnsi"/>
          <w:b/>
          <w:bCs/>
          <w:szCs w:val="22"/>
          <w:lang w:eastAsia="en-NZ"/>
        </w:rPr>
      </w:pPr>
      <w:bookmarkStart w:id="86" w:name="_Hlk49869385"/>
      <w:r w:rsidRPr="00B845AF">
        <w:rPr>
          <w:rFonts w:asciiTheme="minorHAnsi" w:hAnsiTheme="minorHAnsi" w:cstheme="minorHAnsi"/>
          <w:b/>
          <w:bCs/>
          <w:szCs w:val="22"/>
          <w:lang w:eastAsia="en-NZ"/>
        </w:rPr>
        <w:lastRenderedPageBreak/>
        <w:t>Attachment A</w:t>
      </w:r>
    </w:p>
    <w:p w14:paraId="637E1F8C" w14:textId="167AB116" w:rsidR="00167860" w:rsidRPr="00B845AF" w:rsidRDefault="00167860" w:rsidP="001A23E2">
      <w:pPr>
        <w:autoSpaceDE w:val="0"/>
        <w:autoSpaceDN w:val="0"/>
        <w:adjustRightInd w:val="0"/>
        <w:snapToGrid w:val="0"/>
        <w:jc w:val="center"/>
        <w:rPr>
          <w:rFonts w:asciiTheme="minorHAnsi" w:hAnsiTheme="minorHAnsi" w:cstheme="minorHAnsi"/>
          <w:b/>
          <w:bCs/>
          <w:szCs w:val="22"/>
          <w:lang w:eastAsia="en-NZ"/>
        </w:rPr>
      </w:pPr>
    </w:p>
    <w:p w14:paraId="48C7BCB0" w14:textId="77777777" w:rsidR="00666EEC" w:rsidRPr="00B845AF" w:rsidRDefault="00666EEC" w:rsidP="00666EEC">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319E9763" w14:textId="77777777" w:rsidR="00666EEC" w:rsidRPr="00B845AF" w:rsidRDefault="00666EEC" w:rsidP="00666EEC">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2C227693" w14:textId="77777777" w:rsidR="00666EEC" w:rsidRPr="00B845AF" w:rsidRDefault="00666EEC" w:rsidP="00666EEC">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412BB56D" w14:textId="77777777" w:rsidR="00666EEC" w:rsidRPr="00B845AF" w:rsidRDefault="00666EEC" w:rsidP="00666EEC">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44DBF023" w14:textId="77777777" w:rsidR="00666EEC" w:rsidRPr="00B845AF" w:rsidRDefault="00666EEC" w:rsidP="00666EEC">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666EEC" w:rsidRPr="00B845AF" w14:paraId="217D5D40" w14:textId="77777777" w:rsidTr="00835632">
        <w:tc>
          <w:tcPr>
            <w:tcW w:w="9576" w:type="dxa"/>
            <w:hideMark/>
          </w:tcPr>
          <w:p w14:paraId="44984AE0" w14:textId="2611354B" w:rsidR="00666EEC" w:rsidRPr="00B845AF" w:rsidRDefault="000D0177"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lang w:eastAsia="ja-JP"/>
              </w:rPr>
              <w:t xml:space="preserve">List </w:t>
            </w:r>
            <w:r w:rsidR="001A2124" w:rsidRPr="00B845AF">
              <w:rPr>
                <w:rFonts w:asciiTheme="minorHAnsi" w:eastAsia="MS Mincho" w:hAnsiTheme="minorHAnsi" w:cstheme="minorHAnsi"/>
                <w:b/>
                <w:bCs/>
                <w:sz w:val="24"/>
                <w:lang w:eastAsia="ja-JP"/>
              </w:rPr>
              <w:t>of Participants</w:t>
            </w:r>
            <w:r w:rsidR="00666EEC" w:rsidRPr="00B845AF">
              <w:rPr>
                <w:rFonts w:asciiTheme="minorHAnsi" w:eastAsiaTheme="minorEastAsia" w:hAnsiTheme="minorHAnsi" w:cstheme="minorHAnsi"/>
                <w:b/>
                <w:bCs/>
                <w:sz w:val="28"/>
                <w:szCs w:val="28"/>
                <w:lang w:eastAsia="ko-KR"/>
              </w:rPr>
              <w:fldChar w:fldCharType="begin"/>
            </w:r>
            <w:r w:rsidR="00666EEC" w:rsidRPr="00B845AF">
              <w:rPr>
                <w:rFonts w:asciiTheme="minorHAnsi" w:hAnsiTheme="minorHAnsi" w:cstheme="minorHAnsi"/>
                <w:sz w:val="28"/>
                <w:szCs w:val="28"/>
              </w:rPr>
              <w:instrText xml:space="preserve"> TC "</w:instrText>
            </w:r>
            <w:bookmarkStart w:id="87" w:name="_Toc239261437"/>
            <w:r w:rsidR="00666EEC" w:rsidRPr="00B845AF">
              <w:rPr>
                <w:rFonts w:asciiTheme="minorHAnsi" w:eastAsiaTheme="minorEastAsia" w:hAnsiTheme="minorHAnsi" w:cstheme="minorHAnsi"/>
                <w:b/>
                <w:bCs/>
                <w:sz w:val="28"/>
                <w:szCs w:val="28"/>
                <w:lang w:eastAsia="ko-KR"/>
              </w:rPr>
              <w:instrText>SUMMARY REPORT</w:instrText>
            </w:r>
            <w:bookmarkEnd w:id="87"/>
            <w:r w:rsidR="00666EEC" w:rsidRPr="00B845AF">
              <w:rPr>
                <w:rFonts w:asciiTheme="minorHAnsi" w:hAnsiTheme="minorHAnsi" w:cstheme="minorHAnsi"/>
                <w:sz w:val="28"/>
                <w:szCs w:val="28"/>
              </w:rPr>
              <w:instrText xml:space="preserve">" \f C \l "1" </w:instrText>
            </w:r>
            <w:r w:rsidR="00666EEC" w:rsidRPr="00B845AF">
              <w:rPr>
                <w:rFonts w:asciiTheme="minorHAnsi" w:eastAsiaTheme="minorEastAsia" w:hAnsiTheme="minorHAnsi" w:cstheme="minorHAnsi"/>
                <w:b/>
                <w:bCs/>
                <w:sz w:val="28"/>
                <w:szCs w:val="28"/>
                <w:lang w:eastAsia="ko-KR"/>
              </w:rPr>
              <w:fldChar w:fldCharType="end"/>
            </w:r>
          </w:p>
        </w:tc>
      </w:tr>
    </w:tbl>
    <w:p w14:paraId="468F028A" w14:textId="77777777" w:rsidR="00167860" w:rsidRPr="00B845AF" w:rsidRDefault="00167860" w:rsidP="003025F0">
      <w:pPr>
        <w:pStyle w:val="WCPFC"/>
        <w:rPr>
          <w:rFonts w:asciiTheme="minorHAnsi" w:hAnsiTheme="minorHAnsi" w:cstheme="minorHAnsi"/>
          <w:lang w:val="en-US"/>
        </w:rPr>
      </w:pPr>
    </w:p>
    <w:p w14:paraId="3F4F513D" w14:textId="77777777" w:rsidR="009900F2" w:rsidRPr="00B845AF" w:rsidRDefault="009900F2" w:rsidP="001A23E2">
      <w:pPr>
        <w:autoSpaceDE w:val="0"/>
        <w:autoSpaceDN w:val="0"/>
        <w:adjustRightInd w:val="0"/>
        <w:snapToGrid w:val="0"/>
        <w:jc w:val="both"/>
        <w:rPr>
          <w:rFonts w:asciiTheme="minorHAnsi" w:eastAsia="MS Mincho" w:hAnsiTheme="minorHAnsi" w:cstheme="minorHAnsi"/>
          <w:szCs w:val="22"/>
          <w:lang w:eastAsia="ja-JP"/>
        </w:rPr>
      </w:pPr>
    </w:p>
    <w:p w14:paraId="4888EC43" w14:textId="77777777" w:rsidR="002601FA" w:rsidRPr="00B845AF" w:rsidRDefault="002601FA" w:rsidP="002601FA">
      <w:pPr>
        <w:rPr>
          <w:rFonts w:asciiTheme="minorHAnsi" w:hAnsiTheme="minorHAnsi" w:cstheme="minorHAnsi"/>
          <w:b/>
          <w:bCs/>
          <w:color w:val="000000"/>
          <w:szCs w:val="22"/>
          <w:lang w:eastAsia="ja-JP"/>
        </w:rPr>
        <w:sectPr w:rsidR="002601FA" w:rsidRPr="00B845AF" w:rsidSect="00F14811">
          <w:pgSz w:w="12240" w:h="15840" w:code="1"/>
          <w:pgMar w:top="1440" w:right="1440" w:bottom="1440" w:left="1440" w:header="720" w:footer="720" w:gutter="0"/>
          <w:cols w:space="720"/>
          <w:docGrid w:linePitch="360"/>
        </w:sectPr>
      </w:pPr>
    </w:p>
    <w:p w14:paraId="1F6543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CHAIR</w:t>
      </w:r>
    </w:p>
    <w:p w14:paraId="0ACDE1C0" w14:textId="77777777" w:rsidR="002601FA" w:rsidRPr="00B845AF" w:rsidRDefault="002601FA" w:rsidP="002601FA">
      <w:pPr>
        <w:rPr>
          <w:rFonts w:asciiTheme="minorHAnsi" w:eastAsiaTheme="minorEastAsia" w:hAnsiTheme="minorHAnsi" w:cstheme="minorHAnsi"/>
          <w:color w:val="000000"/>
          <w:szCs w:val="22"/>
          <w:lang w:eastAsia="ja-JP"/>
        </w:rPr>
      </w:pPr>
    </w:p>
    <w:p w14:paraId="175A272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Emily Crigler</w:t>
      </w:r>
    </w:p>
    <w:p w14:paraId="789D5A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NOAA Fisheries </w:t>
      </w:r>
    </w:p>
    <w:p w14:paraId="47AECE6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Director, Fisheries Research and Monitoring Division, Pacific Islands Fisheries Science Center</w:t>
      </w:r>
    </w:p>
    <w:p w14:paraId="1830A1F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emily.crigler@noaa.gov</w:t>
      </w:r>
    </w:p>
    <w:p w14:paraId="1CC2D0E2" w14:textId="77777777" w:rsidR="002601FA" w:rsidRPr="00B845AF" w:rsidRDefault="002601FA" w:rsidP="002601FA">
      <w:pPr>
        <w:rPr>
          <w:rFonts w:asciiTheme="minorHAnsi" w:eastAsiaTheme="minorEastAsia" w:hAnsiTheme="minorHAnsi" w:cstheme="minorHAnsi"/>
          <w:color w:val="000000"/>
          <w:szCs w:val="22"/>
          <w:lang w:eastAsia="ja-JP"/>
        </w:rPr>
      </w:pPr>
    </w:p>
    <w:p w14:paraId="78D4388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AUSTRALIA</w:t>
      </w:r>
    </w:p>
    <w:p w14:paraId="008894DE" w14:textId="77777777" w:rsidR="002601FA" w:rsidRPr="00B845AF" w:rsidRDefault="002601FA" w:rsidP="002601FA">
      <w:pPr>
        <w:rPr>
          <w:rFonts w:asciiTheme="minorHAnsi" w:eastAsiaTheme="minorEastAsia" w:hAnsiTheme="minorHAnsi" w:cstheme="minorHAnsi"/>
          <w:color w:val="000000"/>
          <w:szCs w:val="22"/>
          <w:lang w:eastAsia="ja-JP"/>
        </w:rPr>
      </w:pPr>
    </w:p>
    <w:p w14:paraId="12C3C09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Ashley Williams</w:t>
      </w:r>
    </w:p>
    <w:p w14:paraId="7AC1618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CSIRO Oceans and Atmosphere</w:t>
      </w:r>
    </w:p>
    <w:p w14:paraId="67C7BEF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Principal Research Scientist </w:t>
      </w:r>
    </w:p>
    <w:p w14:paraId="74F4F0A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ashley.williams@csiro.au</w:t>
      </w:r>
    </w:p>
    <w:p w14:paraId="73C10CFC" w14:textId="77777777" w:rsidR="002601FA" w:rsidRPr="00B845AF" w:rsidRDefault="002601FA" w:rsidP="002601FA">
      <w:pPr>
        <w:rPr>
          <w:rFonts w:asciiTheme="minorHAnsi" w:eastAsiaTheme="minorEastAsia" w:hAnsiTheme="minorHAnsi" w:cstheme="minorHAnsi"/>
          <w:color w:val="000000"/>
          <w:szCs w:val="22"/>
          <w:lang w:eastAsia="ja-JP"/>
        </w:rPr>
      </w:pPr>
    </w:p>
    <w:p w14:paraId="501C02F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Emily Lawson</w:t>
      </w:r>
    </w:p>
    <w:p w14:paraId="5DAB0C2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Australian Fisheries Management Authority</w:t>
      </w:r>
    </w:p>
    <w:p w14:paraId="05FE447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Officer</w:t>
      </w:r>
    </w:p>
    <w:p w14:paraId="0695F662" w14:textId="77777777" w:rsidR="002601FA" w:rsidRPr="00B845AF" w:rsidRDefault="002601FA" w:rsidP="002601FA">
      <w:pPr>
        <w:rPr>
          <w:rFonts w:asciiTheme="minorHAnsi" w:eastAsiaTheme="minorEastAsia" w:hAnsiTheme="minorHAnsi" w:cstheme="minorHAnsi"/>
          <w:color w:val="000000"/>
          <w:szCs w:val="22"/>
          <w:lang w:eastAsia="ja-JP"/>
        </w:rPr>
      </w:pPr>
    </w:p>
    <w:p w14:paraId="4219BC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Lara Ainley</w:t>
      </w:r>
    </w:p>
    <w:p w14:paraId="7072D50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AFMA</w:t>
      </w:r>
    </w:p>
    <w:p w14:paraId="0064299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Tropical Tuna Manager</w:t>
      </w:r>
    </w:p>
    <w:p w14:paraId="1D9C65F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lara.ainley@afma.gov.au</w:t>
      </w:r>
    </w:p>
    <w:p w14:paraId="1401767A" w14:textId="77777777" w:rsidR="002601FA" w:rsidRPr="00B845AF" w:rsidRDefault="002601FA" w:rsidP="002601FA">
      <w:pPr>
        <w:rPr>
          <w:rFonts w:asciiTheme="minorHAnsi" w:eastAsiaTheme="minorEastAsia" w:hAnsiTheme="minorHAnsi" w:cstheme="minorHAnsi"/>
          <w:color w:val="000000"/>
          <w:szCs w:val="22"/>
          <w:lang w:eastAsia="ja-JP"/>
        </w:rPr>
      </w:pPr>
    </w:p>
    <w:p w14:paraId="172AE6D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Laura Tremblay-Boyer</w:t>
      </w:r>
    </w:p>
    <w:p w14:paraId="63E6624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CSIRO</w:t>
      </w:r>
    </w:p>
    <w:p w14:paraId="1855230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Research Scientist</w:t>
      </w:r>
    </w:p>
    <w:p w14:paraId="152D5FD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laura.tremblay-boyer@csiro.au</w:t>
      </w:r>
    </w:p>
    <w:p w14:paraId="08C39474" w14:textId="77777777" w:rsidR="002601FA" w:rsidRPr="00B845AF" w:rsidRDefault="002601FA" w:rsidP="002601FA">
      <w:pPr>
        <w:rPr>
          <w:rFonts w:asciiTheme="minorHAnsi" w:eastAsiaTheme="minorEastAsia" w:hAnsiTheme="minorHAnsi" w:cstheme="minorHAnsi"/>
          <w:color w:val="000000"/>
          <w:szCs w:val="22"/>
          <w:lang w:eastAsia="ja-JP"/>
        </w:rPr>
      </w:pPr>
    </w:p>
    <w:p w14:paraId="5222E0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Marguerite Tarzia</w:t>
      </w:r>
    </w:p>
    <w:p w14:paraId="1F0EA80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Australian Fisheries Management Authority </w:t>
      </w:r>
    </w:p>
    <w:p w14:paraId="105187C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Manager, Foreign Compliance</w:t>
      </w:r>
    </w:p>
    <w:p w14:paraId="22D20E8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marguerite.tarzia@afma.gov.au</w:t>
      </w:r>
    </w:p>
    <w:p w14:paraId="6F84C801" w14:textId="77777777" w:rsidR="002601FA" w:rsidRPr="00B845AF" w:rsidRDefault="002601FA" w:rsidP="002601FA">
      <w:pPr>
        <w:rPr>
          <w:rFonts w:asciiTheme="minorHAnsi" w:eastAsiaTheme="minorEastAsia" w:hAnsiTheme="minorHAnsi" w:cstheme="minorHAnsi"/>
          <w:color w:val="000000"/>
          <w:szCs w:val="22"/>
          <w:lang w:eastAsia="ja-JP"/>
        </w:rPr>
      </w:pPr>
    </w:p>
    <w:p w14:paraId="53F9C29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Rohan Currey</w:t>
      </w:r>
    </w:p>
    <w:p w14:paraId="2FAA77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Australian Bureau of Agricultural and Resource Economics and Sciences (ABARES), Department of Agriculture Fisheries and Forestry</w:t>
      </w:r>
    </w:p>
    <w:p w14:paraId="39A87B1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Scientist</w:t>
      </w:r>
    </w:p>
    <w:p w14:paraId="0F86D5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rohan.currey@aff.gov.au</w:t>
      </w:r>
    </w:p>
    <w:p w14:paraId="42C7FF3E" w14:textId="77777777" w:rsidR="002601FA" w:rsidRPr="00B845AF" w:rsidRDefault="002601FA" w:rsidP="002601FA">
      <w:pPr>
        <w:rPr>
          <w:rFonts w:asciiTheme="minorHAnsi" w:eastAsiaTheme="minorEastAsia" w:hAnsiTheme="minorHAnsi" w:cstheme="minorHAnsi"/>
          <w:color w:val="000000"/>
          <w:szCs w:val="22"/>
          <w:lang w:eastAsia="ja-JP"/>
        </w:rPr>
      </w:pPr>
    </w:p>
    <w:p w14:paraId="0D97B3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Shane Fava</w:t>
      </w:r>
    </w:p>
    <w:p w14:paraId="0FD12E9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DAFF- Australia</w:t>
      </w:r>
    </w:p>
    <w:p w14:paraId="66F58AC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Director</w:t>
      </w:r>
    </w:p>
    <w:p w14:paraId="74D912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shane.fava@aff.gov.au</w:t>
      </w:r>
    </w:p>
    <w:p w14:paraId="46B66335" w14:textId="77777777" w:rsidR="002601FA" w:rsidRPr="00B845AF" w:rsidRDefault="002601FA" w:rsidP="002601FA">
      <w:pPr>
        <w:rPr>
          <w:rFonts w:asciiTheme="minorHAnsi" w:eastAsiaTheme="minorEastAsia" w:hAnsiTheme="minorHAnsi" w:cstheme="minorHAnsi"/>
          <w:color w:val="000000"/>
          <w:szCs w:val="22"/>
          <w:lang w:eastAsia="ja-JP"/>
        </w:rPr>
      </w:pPr>
    </w:p>
    <w:p w14:paraId="5E08D2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CANADA</w:t>
      </w:r>
    </w:p>
    <w:p w14:paraId="138EC76D" w14:textId="77777777" w:rsidR="002601FA" w:rsidRPr="00B845AF" w:rsidRDefault="002601FA" w:rsidP="002601FA">
      <w:pPr>
        <w:rPr>
          <w:rFonts w:asciiTheme="minorHAnsi" w:eastAsiaTheme="minorEastAsia" w:hAnsiTheme="minorHAnsi" w:cstheme="minorHAnsi"/>
          <w:color w:val="000000"/>
          <w:szCs w:val="22"/>
          <w:lang w:eastAsia="ja-JP"/>
        </w:rPr>
      </w:pPr>
    </w:p>
    <w:p w14:paraId="678551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Jennifer Shaw</w:t>
      </w:r>
    </w:p>
    <w:p w14:paraId="0089F3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and Oceans Canada</w:t>
      </w:r>
    </w:p>
    <w:p w14:paraId="474EDEF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Science Advisor</w:t>
      </w:r>
    </w:p>
    <w:p w14:paraId="37CBD0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jennifer.shaw@dfo-mpo.gc.ca</w:t>
      </w:r>
    </w:p>
    <w:p w14:paraId="2101AAA7" w14:textId="77777777" w:rsidR="002601FA" w:rsidRPr="00B845AF" w:rsidRDefault="002601FA" w:rsidP="002601FA">
      <w:pPr>
        <w:rPr>
          <w:rFonts w:asciiTheme="minorHAnsi" w:eastAsiaTheme="minorEastAsia" w:hAnsiTheme="minorHAnsi" w:cstheme="minorHAnsi"/>
          <w:color w:val="000000"/>
          <w:szCs w:val="22"/>
          <w:lang w:eastAsia="ja-JP"/>
        </w:rPr>
      </w:pPr>
    </w:p>
    <w:p w14:paraId="57FC9C5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Felicia Cull</w:t>
      </w:r>
    </w:p>
    <w:p w14:paraId="1107718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and Oceans Canada</w:t>
      </w:r>
    </w:p>
    <w:p w14:paraId="659A33E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Policy Advisor</w:t>
      </w:r>
    </w:p>
    <w:p w14:paraId="67C6478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felicia.cull@dfo-mpo.gc.ca</w:t>
      </w:r>
    </w:p>
    <w:p w14:paraId="3CB24C93" w14:textId="77777777" w:rsidR="002601FA" w:rsidRPr="00B845AF" w:rsidRDefault="002601FA" w:rsidP="002601FA">
      <w:pPr>
        <w:rPr>
          <w:rFonts w:asciiTheme="minorHAnsi" w:eastAsiaTheme="minorEastAsia" w:hAnsiTheme="minorHAnsi" w:cstheme="minorHAnsi"/>
          <w:color w:val="000000"/>
          <w:szCs w:val="22"/>
          <w:lang w:eastAsia="ja-JP"/>
        </w:rPr>
      </w:pPr>
    </w:p>
    <w:p w14:paraId="1F30710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Sarah Hawkshaw</w:t>
      </w:r>
    </w:p>
    <w:p w14:paraId="206CFA4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and Oceans Canada</w:t>
      </w:r>
    </w:p>
    <w:p w14:paraId="0FCA3C6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Biologist</w:t>
      </w:r>
    </w:p>
    <w:p w14:paraId="5C7B0CC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sarah.hawkshaw@dfo-mpo.gc.ca</w:t>
      </w:r>
    </w:p>
    <w:p w14:paraId="77A55F2A" w14:textId="77777777" w:rsidR="002601FA" w:rsidRPr="00B845AF" w:rsidRDefault="002601FA" w:rsidP="002601FA">
      <w:pPr>
        <w:rPr>
          <w:rFonts w:asciiTheme="minorHAnsi" w:eastAsiaTheme="minorEastAsia" w:hAnsiTheme="minorHAnsi" w:cstheme="minorHAnsi"/>
          <w:color w:val="000000"/>
          <w:szCs w:val="22"/>
          <w:lang w:eastAsia="ja-JP"/>
        </w:rPr>
      </w:pPr>
    </w:p>
    <w:p w14:paraId="1E40D5A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CHINA</w:t>
      </w:r>
    </w:p>
    <w:p w14:paraId="38514A33" w14:textId="77777777" w:rsidR="002601FA" w:rsidRPr="00B845AF" w:rsidRDefault="002601FA" w:rsidP="002601FA">
      <w:pPr>
        <w:rPr>
          <w:rFonts w:asciiTheme="minorHAnsi" w:eastAsiaTheme="minorEastAsia" w:hAnsiTheme="minorHAnsi" w:cstheme="minorHAnsi"/>
          <w:color w:val="000000"/>
          <w:szCs w:val="22"/>
          <w:lang w:eastAsia="ja-JP"/>
        </w:rPr>
      </w:pPr>
    </w:p>
    <w:p w14:paraId="21985AE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Zhe Geng</w:t>
      </w:r>
    </w:p>
    <w:p w14:paraId="6CE3F14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7FAB6AA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Stock Assessment Scientist</w:t>
      </w:r>
    </w:p>
    <w:p w14:paraId="6E27AEA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zgeng@shou.edu.cn</w:t>
      </w:r>
    </w:p>
    <w:p w14:paraId="03636395" w14:textId="77777777" w:rsidR="002601FA" w:rsidRPr="00B845AF" w:rsidRDefault="002601FA" w:rsidP="002601FA">
      <w:pPr>
        <w:rPr>
          <w:rFonts w:asciiTheme="minorHAnsi" w:eastAsiaTheme="minorEastAsia" w:hAnsiTheme="minorHAnsi" w:cstheme="minorHAnsi"/>
          <w:color w:val="000000"/>
          <w:szCs w:val="22"/>
          <w:lang w:eastAsia="ja-JP"/>
        </w:rPr>
      </w:pPr>
    </w:p>
    <w:p w14:paraId="16EFFF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Chang Zhang</w:t>
      </w:r>
    </w:p>
    <w:p w14:paraId="10354FEA"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lastRenderedPageBreak/>
        <w:t>zhejiang</w:t>
      </w:r>
      <w:proofErr w:type="spellEnd"/>
      <w:r w:rsidRPr="00B845AF">
        <w:rPr>
          <w:rFonts w:asciiTheme="minorHAnsi" w:hAnsiTheme="minorHAnsi" w:cstheme="minorHAnsi"/>
          <w:color w:val="000000"/>
          <w:szCs w:val="22"/>
          <w:lang w:eastAsia="ja-JP"/>
        </w:rPr>
        <w:t xml:space="preserve"> ocean university</w:t>
      </w:r>
    </w:p>
    <w:p w14:paraId="684781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lecturer</w:t>
      </w:r>
    </w:p>
    <w:p w14:paraId="1A4C4F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itschang@foxmail.com</w:t>
      </w:r>
    </w:p>
    <w:p w14:paraId="7CA0FE24" w14:textId="77777777" w:rsidR="002601FA" w:rsidRPr="00B845AF" w:rsidRDefault="002601FA" w:rsidP="002601FA">
      <w:pPr>
        <w:rPr>
          <w:rFonts w:asciiTheme="minorHAnsi" w:eastAsiaTheme="minorEastAsia" w:hAnsiTheme="minorHAnsi" w:cstheme="minorHAnsi"/>
          <w:color w:val="000000"/>
          <w:szCs w:val="22"/>
          <w:lang w:eastAsia="ja-JP"/>
        </w:rPr>
      </w:pPr>
    </w:p>
    <w:p w14:paraId="4742AD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Dai Xiaojie</w:t>
      </w:r>
    </w:p>
    <w:p w14:paraId="63F3D80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1CB273A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Professor</w:t>
      </w:r>
    </w:p>
    <w:p w14:paraId="050ADC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xjdai1966@outlook.com</w:t>
      </w:r>
    </w:p>
    <w:p w14:paraId="0CB81660" w14:textId="77777777" w:rsidR="002601FA" w:rsidRPr="00B845AF" w:rsidRDefault="002601FA" w:rsidP="002601FA">
      <w:pPr>
        <w:rPr>
          <w:rFonts w:asciiTheme="minorHAnsi" w:eastAsiaTheme="minorEastAsia" w:hAnsiTheme="minorHAnsi" w:cstheme="minorHAnsi"/>
          <w:color w:val="000000"/>
          <w:szCs w:val="22"/>
          <w:lang w:eastAsia="ja-JP"/>
        </w:rPr>
      </w:pPr>
    </w:p>
    <w:p w14:paraId="0D3F1840"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Dongqi</w:t>
      </w:r>
      <w:proofErr w:type="spellEnd"/>
      <w:r w:rsidRPr="00B845AF">
        <w:rPr>
          <w:rFonts w:asciiTheme="minorHAnsi" w:hAnsiTheme="minorHAnsi" w:cstheme="minorHAnsi"/>
          <w:b/>
          <w:bCs/>
          <w:color w:val="000000"/>
          <w:szCs w:val="22"/>
          <w:lang w:eastAsia="ja-JP"/>
        </w:rPr>
        <w:t xml:space="preserve"> Lu</w:t>
      </w:r>
    </w:p>
    <w:p w14:paraId="48920BA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25D57BD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Scientist</w:t>
      </w:r>
    </w:p>
    <w:p w14:paraId="09FD3BE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ldq1336206908@163.com</w:t>
      </w:r>
    </w:p>
    <w:p w14:paraId="52EFE15C" w14:textId="77777777" w:rsidR="002601FA" w:rsidRPr="00B845AF" w:rsidRDefault="002601FA" w:rsidP="002601FA">
      <w:pPr>
        <w:rPr>
          <w:rFonts w:asciiTheme="minorHAnsi" w:eastAsiaTheme="minorEastAsia" w:hAnsiTheme="minorHAnsi" w:cstheme="minorHAnsi"/>
          <w:color w:val="000000"/>
          <w:szCs w:val="22"/>
          <w:lang w:eastAsia="ja-JP"/>
        </w:rPr>
      </w:pPr>
    </w:p>
    <w:p w14:paraId="57A57B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Fan </w:t>
      </w:r>
      <w:proofErr w:type="spellStart"/>
      <w:r w:rsidRPr="00B845AF">
        <w:rPr>
          <w:rFonts w:asciiTheme="minorHAnsi" w:hAnsiTheme="minorHAnsi" w:cstheme="minorHAnsi"/>
          <w:b/>
          <w:bCs/>
          <w:color w:val="000000"/>
          <w:szCs w:val="22"/>
          <w:lang w:eastAsia="ja-JP"/>
        </w:rPr>
        <w:t>Shuqi</w:t>
      </w:r>
      <w:proofErr w:type="spellEnd"/>
    </w:p>
    <w:p w14:paraId="027E2D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Shanghai Ocean </w:t>
      </w:r>
      <w:proofErr w:type="gramStart"/>
      <w:r w:rsidRPr="00B845AF">
        <w:rPr>
          <w:rFonts w:asciiTheme="minorHAnsi" w:hAnsiTheme="minorHAnsi" w:cstheme="minorHAnsi"/>
          <w:color w:val="000000"/>
          <w:szCs w:val="22"/>
          <w:lang w:eastAsia="ja-JP"/>
        </w:rPr>
        <w:t>university</w:t>
      </w:r>
      <w:proofErr w:type="gramEnd"/>
    </w:p>
    <w:p w14:paraId="3D93BEC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680B2E83" w14:textId="77777777" w:rsidR="002601FA" w:rsidRPr="00B845AF" w:rsidRDefault="002601FA" w:rsidP="002601FA">
      <w:pPr>
        <w:rPr>
          <w:rFonts w:asciiTheme="minorHAnsi" w:eastAsiaTheme="minorEastAsia" w:hAnsiTheme="minorHAnsi" w:cstheme="minorHAnsi"/>
          <w:color w:val="000000"/>
          <w:szCs w:val="22"/>
          <w:lang w:eastAsia="ja-JP"/>
        </w:rPr>
      </w:pPr>
    </w:p>
    <w:p w14:paraId="1004545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Fan Zhang</w:t>
      </w:r>
    </w:p>
    <w:p w14:paraId="11249E5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44DC53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 Scientist</w:t>
      </w:r>
    </w:p>
    <w:p w14:paraId="5374213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f-zhang@shou.edu.cn</w:t>
      </w:r>
    </w:p>
    <w:p w14:paraId="292BF575" w14:textId="77777777" w:rsidR="002601FA" w:rsidRPr="00B845AF" w:rsidRDefault="002601FA" w:rsidP="002601FA">
      <w:pPr>
        <w:rPr>
          <w:rFonts w:asciiTheme="minorHAnsi" w:eastAsiaTheme="minorEastAsia" w:hAnsiTheme="minorHAnsi" w:cstheme="minorHAnsi"/>
          <w:color w:val="000000"/>
          <w:szCs w:val="22"/>
          <w:lang w:eastAsia="ja-JP"/>
        </w:rPr>
      </w:pPr>
    </w:p>
    <w:p w14:paraId="16744A3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Jiangfeng Zhu</w:t>
      </w:r>
    </w:p>
    <w:p w14:paraId="065103F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6D11F39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Professor</w:t>
      </w:r>
    </w:p>
    <w:p w14:paraId="64BAF86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jiangfeng_zhu@yeah.net</w:t>
      </w:r>
    </w:p>
    <w:p w14:paraId="73D7FD00" w14:textId="77777777" w:rsidR="002601FA" w:rsidRPr="00B845AF" w:rsidRDefault="002601FA" w:rsidP="002601FA">
      <w:pPr>
        <w:rPr>
          <w:rFonts w:asciiTheme="minorHAnsi" w:eastAsiaTheme="minorEastAsia" w:hAnsiTheme="minorHAnsi" w:cstheme="minorHAnsi"/>
          <w:color w:val="000000"/>
          <w:szCs w:val="22"/>
          <w:lang w:eastAsia="ja-JP"/>
        </w:rPr>
      </w:pPr>
    </w:p>
    <w:p w14:paraId="4011DFB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Jiaqi Wang</w:t>
      </w:r>
    </w:p>
    <w:p w14:paraId="08BF31F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29ED829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Ecology Scientist</w:t>
      </w:r>
    </w:p>
    <w:p w14:paraId="17B79FD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jiaqiwang1108@gmail.com</w:t>
      </w:r>
    </w:p>
    <w:p w14:paraId="7A7CC649" w14:textId="77777777" w:rsidR="002601FA" w:rsidRPr="00B845AF" w:rsidRDefault="002601FA" w:rsidP="002601FA">
      <w:pPr>
        <w:rPr>
          <w:rFonts w:asciiTheme="minorHAnsi" w:eastAsiaTheme="minorEastAsia" w:hAnsiTheme="minorHAnsi" w:cstheme="minorHAnsi"/>
          <w:color w:val="000000"/>
          <w:szCs w:val="22"/>
          <w:lang w:eastAsia="ja-JP"/>
        </w:rPr>
      </w:pPr>
    </w:p>
    <w:p w14:paraId="1FCFD90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LI Yan</w:t>
      </w:r>
    </w:p>
    <w:p w14:paraId="03C5BAC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China Overseas Fisheries Association</w:t>
      </w:r>
    </w:p>
    <w:p w14:paraId="539B71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Deputy Director of </w:t>
      </w:r>
      <w:proofErr w:type="spellStart"/>
      <w:r w:rsidRPr="00B845AF">
        <w:rPr>
          <w:rFonts w:asciiTheme="minorHAnsi" w:hAnsiTheme="minorHAnsi" w:cstheme="minorHAnsi"/>
          <w:color w:val="000000"/>
          <w:szCs w:val="22"/>
          <w:lang w:eastAsia="ja-JP"/>
        </w:rPr>
        <w:t>Highseas</w:t>
      </w:r>
      <w:proofErr w:type="spellEnd"/>
      <w:r w:rsidRPr="00B845AF">
        <w:rPr>
          <w:rFonts w:asciiTheme="minorHAnsi" w:hAnsiTheme="minorHAnsi" w:cstheme="minorHAnsi"/>
          <w:color w:val="000000"/>
          <w:szCs w:val="22"/>
          <w:lang w:eastAsia="ja-JP"/>
        </w:rPr>
        <w:t xml:space="preserve"> Fisheries</w:t>
      </w:r>
    </w:p>
    <w:p w14:paraId="0D56B7B2" w14:textId="77777777" w:rsidR="002601FA" w:rsidRPr="00B845AF" w:rsidRDefault="002601FA" w:rsidP="002601FA">
      <w:pPr>
        <w:rPr>
          <w:rFonts w:asciiTheme="minorHAnsi" w:eastAsiaTheme="minorEastAsia" w:hAnsiTheme="minorHAnsi" w:cstheme="minorHAnsi"/>
          <w:color w:val="000000"/>
          <w:szCs w:val="22"/>
          <w:lang w:eastAsia="ja-JP"/>
        </w:rPr>
      </w:pPr>
    </w:p>
    <w:p w14:paraId="52D1F2E4"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Liangyu</w:t>
      </w:r>
      <w:proofErr w:type="spellEnd"/>
      <w:r w:rsidRPr="00B845AF">
        <w:rPr>
          <w:rFonts w:asciiTheme="minorHAnsi" w:hAnsiTheme="minorHAnsi" w:cstheme="minorHAnsi"/>
          <w:b/>
          <w:bCs/>
          <w:color w:val="000000"/>
          <w:szCs w:val="22"/>
          <w:lang w:eastAsia="ja-JP"/>
        </w:rPr>
        <w:t xml:space="preserve"> Du</w:t>
      </w:r>
    </w:p>
    <w:p w14:paraId="5B5FFCC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0C704F7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China- Shanghai</w:t>
      </w:r>
    </w:p>
    <w:p w14:paraId="4BA5F39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lydu@shou.edu.cn</w:t>
      </w:r>
    </w:p>
    <w:p w14:paraId="387E6310" w14:textId="77777777" w:rsidR="002601FA" w:rsidRPr="00B845AF" w:rsidRDefault="002601FA" w:rsidP="002601FA">
      <w:pPr>
        <w:rPr>
          <w:rFonts w:asciiTheme="minorHAnsi" w:eastAsiaTheme="minorEastAsia" w:hAnsiTheme="minorHAnsi" w:cstheme="minorHAnsi"/>
          <w:color w:val="000000"/>
          <w:szCs w:val="22"/>
          <w:lang w:eastAsia="ja-JP"/>
        </w:rPr>
      </w:pPr>
    </w:p>
    <w:p w14:paraId="63AB1E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Liwen Liu</w:t>
      </w:r>
    </w:p>
    <w:p w14:paraId="36C49FB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303063F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Scientist</w:t>
      </w:r>
    </w:p>
    <w:p w14:paraId="4B7883F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gfdyjava@163.com</w:t>
      </w:r>
    </w:p>
    <w:p w14:paraId="696BE7F5" w14:textId="77777777" w:rsidR="002601FA" w:rsidRPr="00B845AF" w:rsidRDefault="002601FA" w:rsidP="002601FA">
      <w:pPr>
        <w:rPr>
          <w:rFonts w:asciiTheme="minorHAnsi" w:eastAsiaTheme="minorEastAsia" w:hAnsiTheme="minorHAnsi" w:cstheme="minorHAnsi"/>
          <w:color w:val="000000"/>
          <w:szCs w:val="22"/>
          <w:lang w:eastAsia="ja-JP"/>
        </w:rPr>
      </w:pPr>
    </w:p>
    <w:p w14:paraId="6BAE8F8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Wei </w:t>
      </w:r>
      <w:proofErr w:type="spellStart"/>
      <w:r w:rsidRPr="00B845AF">
        <w:rPr>
          <w:rFonts w:asciiTheme="minorHAnsi" w:hAnsiTheme="minorHAnsi" w:cstheme="minorHAnsi"/>
          <w:b/>
          <w:bCs/>
          <w:color w:val="000000"/>
          <w:szCs w:val="22"/>
          <w:lang w:eastAsia="ja-JP"/>
        </w:rPr>
        <w:t>Jipeng</w:t>
      </w:r>
      <w:proofErr w:type="spellEnd"/>
    </w:p>
    <w:p w14:paraId="22C5DD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1BC10ACA" w14:textId="0A9A755D"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 No.999, </w:t>
      </w:r>
      <w:proofErr w:type="spellStart"/>
      <w:r w:rsidRPr="00B845AF">
        <w:rPr>
          <w:rFonts w:asciiTheme="minorHAnsi" w:hAnsiTheme="minorHAnsi" w:cstheme="minorHAnsi"/>
          <w:color w:val="000000"/>
          <w:szCs w:val="22"/>
          <w:lang w:eastAsia="ja-JP"/>
        </w:rPr>
        <w:t>Huchenghuan</w:t>
      </w:r>
      <w:proofErr w:type="spellEnd"/>
      <w:r w:rsidRPr="00B845AF">
        <w:rPr>
          <w:rFonts w:asciiTheme="minorHAnsi" w:hAnsiTheme="minorHAnsi" w:cstheme="minorHAnsi"/>
          <w:color w:val="000000"/>
          <w:szCs w:val="22"/>
          <w:lang w:eastAsia="ja-JP"/>
        </w:rPr>
        <w:t xml:space="preserve"> Rd, </w:t>
      </w:r>
      <w:proofErr w:type="spellStart"/>
      <w:r w:rsidRPr="00B845AF">
        <w:rPr>
          <w:rFonts w:asciiTheme="minorHAnsi" w:hAnsiTheme="minorHAnsi" w:cstheme="minorHAnsi"/>
          <w:color w:val="000000"/>
          <w:szCs w:val="22"/>
          <w:lang w:eastAsia="ja-JP"/>
        </w:rPr>
        <w:t>Nanhui</w:t>
      </w:r>
      <w:proofErr w:type="spellEnd"/>
      <w:r w:rsidRPr="00B845AF">
        <w:rPr>
          <w:rFonts w:asciiTheme="minorHAnsi" w:hAnsiTheme="minorHAnsi" w:cstheme="minorHAnsi"/>
          <w:color w:val="000000"/>
          <w:szCs w:val="22"/>
          <w:lang w:eastAsia="ja-JP"/>
        </w:rPr>
        <w:t xml:space="preserve"> New City, Shanghai, P.R. China</w:t>
      </w:r>
    </w:p>
    <w:p w14:paraId="57C7AC0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jpwei@shou.edu.cn</w:t>
      </w:r>
    </w:p>
    <w:p w14:paraId="221EFDFB" w14:textId="77777777" w:rsidR="002601FA" w:rsidRPr="00B845AF" w:rsidRDefault="002601FA" w:rsidP="002601FA">
      <w:pPr>
        <w:rPr>
          <w:rFonts w:asciiTheme="minorHAnsi" w:eastAsiaTheme="minorEastAsia" w:hAnsiTheme="minorHAnsi" w:cstheme="minorHAnsi"/>
          <w:color w:val="000000"/>
          <w:szCs w:val="22"/>
          <w:lang w:eastAsia="ja-JP"/>
        </w:rPr>
      </w:pPr>
    </w:p>
    <w:p w14:paraId="1A024893"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Yanxuedan</w:t>
      </w:r>
      <w:proofErr w:type="spellEnd"/>
      <w:r w:rsidRPr="00B845AF">
        <w:rPr>
          <w:rFonts w:asciiTheme="minorHAnsi" w:hAnsiTheme="minorHAnsi" w:cstheme="minorHAnsi"/>
          <w:b/>
          <w:bCs/>
          <w:color w:val="000000"/>
          <w:szCs w:val="22"/>
          <w:lang w:eastAsia="ja-JP"/>
        </w:rPr>
        <w:t xml:space="preserve"> Zhang</w:t>
      </w:r>
    </w:p>
    <w:p w14:paraId="64A6E0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70F8E7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Associate Professor</w:t>
      </w:r>
    </w:p>
    <w:p w14:paraId="17E1BC4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zyxd1985@hotmail.com</w:t>
      </w:r>
    </w:p>
    <w:p w14:paraId="49FFCB2D" w14:textId="77777777" w:rsidR="002601FA" w:rsidRPr="00B845AF" w:rsidRDefault="002601FA" w:rsidP="002601FA">
      <w:pPr>
        <w:rPr>
          <w:rFonts w:asciiTheme="minorHAnsi" w:eastAsiaTheme="minorEastAsia" w:hAnsiTheme="minorHAnsi" w:cstheme="minorHAnsi"/>
          <w:color w:val="000000"/>
          <w:szCs w:val="22"/>
          <w:lang w:eastAsia="ja-JP"/>
        </w:rPr>
      </w:pPr>
    </w:p>
    <w:p w14:paraId="752254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Zhou Cheng</w:t>
      </w:r>
    </w:p>
    <w:p w14:paraId="4118C26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Shanghai Ocean University</w:t>
      </w:r>
    </w:p>
    <w:p w14:paraId="6DE5CB3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Professor</w:t>
      </w:r>
    </w:p>
    <w:p w14:paraId="23B2F8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c-zhou@shou.edu.cn</w:t>
      </w:r>
    </w:p>
    <w:p w14:paraId="23FC739A" w14:textId="77777777" w:rsidR="002601FA" w:rsidRPr="00B845AF" w:rsidRDefault="002601FA" w:rsidP="002601FA">
      <w:pPr>
        <w:rPr>
          <w:rFonts w:asciiTheme="minorHAnsi" w:eastAsiaTheme="minorEastAsia" w:hAnsiTheme="minorHAnsi" w:cstheme="minorHAnsi"/>
          <w:color w:val="000000"/>
          <w:szCs w:val="22"/>
          <w:lang w:eastAsia="ja-JP"/>
        </w:rPr>
      </w:pPr>
    </w:p>
    <w:p w14:paraId="26EB9C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COOK ISLANDS</w:t>
      </w:r>
    </w:p>
    <w:p w14:paraId="37E89E35" w14:textId="77777777" w:rsidR="002601FA" w:rsidRPr="00B845AF" w:rsidRDefault="002601FA" w:rsidP="002601FA">
      <w:pPr>
        <w:rPr>
          <w:rFonts w:asciiTheme="minorHAnsi" w:eastAsiaTheme="minorEastAsia" w:hAnsiTheme="minorHAnsi" w:cstheme="minorHAnsi"/>
          <w:color w:val="000000"/>
          <w:szCs w:val="22"/>
          <w:lang w:eastAsia="ja-JP"/>
        </w:rPr>
      </w:pPr>
    </w:p>
    <w:p w14:paraId="720A1CC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Lualua Tua-Trood</w:t>
      </w:r>
    </w:p>
    <w:p w14:paraId="08FF3A7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Marine Resources, Government of the Cook Islands</w:t>
      </w:r>
    </w:p>
    <w:p w14:paraId="4271B8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 Offshore Fisheries Division</w:t>
      </w:r>
    </w:p>
    <w:p w14:paraId="1FBCE9F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l.tua@mmr.gov.ck</w:t>
      </w:r>
    </w:p>
    <w:p w14:paraId="2D697830" w14:textId="77777777" w:rsidR="002601FA" w:rsidRPr="00B845AF" w:rsidRDefault="002601FA" w:rsidP="002601FA">
      <w:pPr>
        <w:rPr>
          <w:rFonts w:asciiTheme="minorHAnsi" w:eastAsiaTheme="minorEastAsia" w:hAnsiTheme="minorHAnsi" w:cstheme="minorHAnsi"/>
          <w:color w:val="000000"/>
          <w:szCs w:val="22"/>
          <w:lang w:eastAsia="ja-JP"/>
        </w:rPr>
      </w:pPr>
    </w:p>
    <w:p w14:paraId="423484C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Tiare-Renee Nicholas</w:t>
      </w:r>
    </w:p>
    <w:p w14:paraId="73D6C11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Marine Resources Cook Islands</w:t>
      </w:r>
    </w:p>
    <w:p w14:paraId="10BAD1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Data Manager </w:t>
      </w:r>
    </w:p>
    <w:p w14:paraId="69F5619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t.nicholas@mmr.gov.ck</w:t>
      </w:r>
    </w:p>
    <w:p w14:paraId="05AE853A" w14:textId="77777777" w:rsidR="002601FA" w:rsidRPr="00B845AF" w:rsidRDefault="002601FA" w:rsidP="002601FA">
      <w:pPr>
        <w:rPr>
          <w:rFonts w:asciiTheme="minorHAnsi" w:eastAsiaTheme="minorEastAsia" w:hAnsiTheme="minorHAnsi" w:cstheme="minorHAnsi"/>
          <w:color w:val="000000"/>
          <w:szCs w:val="22"/>
          <w:lang w:eastAsia="ja-JP"/>
        </w:rPr>
      </w:pPr>
    </w:p>
    <w:p w14:paraId="1339B69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Tim Adams</w:t>
      </w:r>
    </w:p>
    <w:p w14:paraId="281ECB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Marine Resources</w:t>
      </w:r>
    </w:p>
    <w:p w14:paraId="407A3E4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South Pacific Group Adviser</w:t>
      </w:r>
    </w:p>
    <w:p w14:paraId="2CB38A2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tim.adams@gonedau.com</w:t>
      </w:r>
    </w:p>
    <w:p w14:paraId="7EC8A128" w14:textId="77777777" w:rsidR="002601FA" w:rsidRPr="00B845AF" w:rsidRDefault="002601FA" w:rsidP="002601FA">
      <w:pPr>
        <w:rPr>
          <w:rFonts w:asciiTheme="minorHAnsi" w:eastAsiaTheme="minorEastAsia" w:hAnsiTheme="minorHAnsi" w:cstheme="minorHAnsi"/>
          <w:color w:val="000000"/>
          <w:szCs w:val="22"/>
          <w:lang w:eastAsia="ja-JP"/>
        </w:rPr>
      </w:pPr>
    </w:p>
    <w:p w14:paraId="71DB804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EUROPEAN UNION</w:t>
      </w:r>
    </w:p>
    <w:p w14:paraId="0CD60515" w14:textId="77777777" w:rsidR="002601FA" w:rsidRPr="00B845AF" w:rsidRDefault="002601FA" w:rsidP="002601FA">
      <w:pPr>
        <w:rPr>
          <w:rFonts w:asciiTheme="minorHAnsi" w:eastAsiaTheme="minorEastAsia" w:hAnsiTheme="minorHAnsi" w:cstheme="minorHAnsi"/>
          <w:color w:val="000000"/>
          <w:szCs w:val="22"/>
          <w:lang w:eastAsia="ja-JP"/>
        </w:rPr>
      </w:pPr>
    </w:p>
    <w:p w14:paraId="098DBAE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Francisco J. Abascal</w:t>
      </w:r>
    </w:p>
    <w:p w14:paraId="1D478284" w14:textId="4727D411"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Spanish Institute of </w:t>
      </w:r>
      <w:r w:rsidR="00B845AF" w:rsidRPr="00B845AF">
        <w:rPr>
          <w:rFonts w:asciiTheme="minorHAnsi" w:hAnsiTheme="minorHAnsi" w:cstheme="minorHAnsi"/>
          <w:color w:val="000000"/>
          <w:szCs w:val="22"/>
          <w:lang w:eastAsia="ja-JP"/>
        </w:rPr>
        <w:t>Oceanography</w:t>
      </w:r>
    </w:p>
    <w:p w14:paraId="5B66B2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0DDDD38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francisco.abascal@ieo.csic.es</w:t>
      </w:r>
    </w:p>
    <w:p w14:paraId="12097E66" w14:textId="77777777" w:rsidR="002601FA" w:rsidRPr="00B845AF" w:rsidRDefault="002601FA" w:rsidP="002601FA">
      <w:pPr>
        <w:rPr>
          <w:rFonts w:asciiTheme="minorHAnsi" w:eastAsiaTheme="minorEastAsia" w:hAnsiTheme="minorHAnsi" w:cstheme="minorHAnsi"/>
          <w:color w:val="000000"/>
          <w:szCs w:val="22"/>
          <w:lang w:eastAsia="ja-JP"/>
        </w:rPr>
      </w:pPr>
    </w:p>
    <w:p w14:paraId="1142CF0C"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Aintzina</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Oihenarte</w:t>
      </w:r>
      <w:proofErr w:type="spellEnd"/>
      <w:r w:rsidRPr="00B845AF">
        <w:rPr>
          <w:rFonts w:asciiTheme="minorHAnsi" w:hAnsiTheme="minorHAnsi" w:cstheme="minorHAnsi"/>
          <w:b/>
          <w:bCs/>
          <w:color w:val="000000"/>
          <w:szCs w:val="22"/>
          <w:lang w:eastAsia="ja-JP"/>
        </w:rPr>
        <w:t xml:space="preserve"> Zubiaga</w:t>
      </w:r>
    </w:p>
    <w:p w14:paraId="4B0DB77B" w14:textId="5DFF643E"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FIP </w:t>
      </w:r>
      <w:r w:rsidR="00B845AF" w:rsidRPr="00B845AF">
        <w:rPr>
          <w:rFonts w:asciiTheme="minorHAnsi" w:hAnsiTheme="minorHAnsi" w:cstheme="minorHAnsi"/>
          <w:color w:val="000000"/>
          <w:szCs w:val="22"/>
          <w:lang w:eastAsia="ja-JP"/>
        </w:rPr>
        <w:t>Blues</w:t>
      </w:r>
      <w:r w:rsidR="00B845AF" w:rsidRPr="00B845AF">
        <w:rPr>
          <w:rFonts w:asciiTheme="minorHAnsi" w:hAnsiTheme="minorHAnsi" w:cstheme="minorHAnsi"/>
          <w:color w:val="000000"/>
          <w:szCs w:val="22"/>
          <w:lang w:eastAsia="ja-JP"/>
        </w:rPr>
        <w:t xml:space="preserve"> </w:t>
      </w:r>
      <w:r w:rsidRPr="00B845AF">
        <w:rPr>
          <w:rFonts w:asciiTheme="minorHAnsi" w:hAnsiTheme="minorHAnsi" w:cstheme="minorHAnsi"/>
          <w:color w:val="000000"/>
          <w:szCs w:val="22"/>
          <w:lang w:eastAsia="ja-JP"/>
        </w:rPr>
        <w:t>Spanish longline surface</w:t>
      </w:r>
    </w:p>
    <w:p w14:paraId="6844C56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MSC Technical consultant</w:t>
      </w:r>
    </w:p>
    <w:p w14:paraId="31559A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departamentotecnico@fipblues.com</w:t>
      </w:r>
    </w:p>
    <w:p w14:paraId="3C06565A" w14:textId="77777777" w:rsidR="002601FA" w:rsidRPr="00B845AF" w:rsidRDefault="002601FA" w:rsidP="002601FA">
      <w:pPr>
        <w:rPr>
          <w:rFonts w:asciiTheme="minorHAnsi" w:eastAsiaTheme="minorEastAsia" w:hAnsiTheme="minorHAnsi" w:cstheme="minorHAnsi"/>
          <w:color w:val="000000"/>
          <w:szCs w:val="22"/>
          <w:lang w:eastAsia="ja-JP"/>
        </w:rPr>
      </w:pPr>
    </w:p>
    <w:p w14:paraId="5A2B924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FEDERATED STATES OF MICRONESIA</w:t>
      </w:r>
    </w:p>
    <w:p w14:paraId="5497E152" w14:textId="77777777" w:rsidR="002601FA" w:rsidRPr="00B845AF" w:rsidRDefault="002601FA" w:rsidP="002601FA">
      <w:pPr>
        <w:rPr>
          <w:rFonts w:asciiTheme="minorHAnsi" w:eastAsiaTheme="minorEastAsia" w:hAnsiTheme="minorHAnsi" w:cstheme="minorHAnsi"/>
          <w:color w:val="000000"/>
          <w:szCs w:val="22"/>
          <w:lang w:eastAsia="ja-JP"/>
        </w:rPr>
      </w:pPr>
    </w:p>
    <w:p w14:paraId="61ABE8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Jamel T James</w:t>
      </w:r>
    </w:p>
    <w:p w14:paraId="1B0BC43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NORMA</w:t>
      </w:r>
    </w:p>
    <w:p w14:paraId="2D72747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Assistant Director </w:t>
      </w:r>
    </w:p>
    <w:p w14:paraId="1AEB3CA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jamel.james@norma.fm</w:t>
      </w:r>
    </w:p>
    <w:p w14:paraId="4D8254FE" w14:textId="77777777" w:rsidR="002601FA" w:rsidRPr="00B845AF" w:rsidRDefault="002601FA" w:rsidP="002601FA">
      <w:pPr>
        <w:rPr>
          <w:rFonts w:asciiTheme="minorHAnsi" w:eastAsiaTheme="minorEastAsia" w:hAnsiTheme="minorHAnsi" w:cstheme="minorHAnsi"/>
          <w:color w:val="000000"/>
          <w:szCs w:val="22"/>
          <w:lang w:eastAsia="ja-JP"/>
        </w:rPr>
      </w:pPr>
    </w:p>
    <w:p w14:paraId="1C035FF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Shawn Walter</w:t>
      </w:r>
    </w:p>
    <w:p w14:paraId="4884D8A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FSM National Oceanic Resource Management Authority</w:t>
      </w:r>
    </w:p>
    <w:p w14:paraId="2B783D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Biologist</w:t>
      </w:r>
    </w:p>
    <w:p w14:paraId="3ED4D3D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shawn.walter@norma.fm</w:t>
      </w:r>
    </w:p>
    <w:p w14:paraId="05CFDEA3" w14:textId="77777777" w:rsidR="002601FA" w:rsidRPr="00B845AF" w:rsidRDefault="002601FA" w:rsidP="002601FA">
      <w:pPr>
        <w:rPr>
          <w:rFonts w:asciiTheme="minorHAnsi" w:eastAsiaTheme="minorEastAsia" w:hAnsiTheme="minorHAnsi" w:cstheme="minorHAnsi"/>
          <w:color w:val="000000"/>
          <w:szCs w:val="22"/>
          <w:lang w:eastAsia="ja-JP"/>
        </w:rPr>
      </w:pPr>
    </w:p>
    <w:p w14:paraId="129CCC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FIJI</w:t>
      </w:r>
    </w:p>
    <w:p w14:paraId="245F7BE3" w14:textId="77777777" w:rsidR="002601FA" w:rsidRPr="00B845AF" w:rsidRDefault="002601FA" w:rsidP="002601FA">
      <w:pPr>
        <w:rPr>
          <w:rFonts w:asciiTheme="minorHAnsi" w:eastAsiaTheme="minorEastAsia" w:hAnsiTheme="minorHAnsi" w:cstheme="minorHAnsi"/>
          <w:color w:val="000000"/>
          <w:szCs w:val="22"/>
          <w:lang w:eastAsia="ja-JP"/>
        </w:rPr>
      </w:pPr>
    </w:p>
    <w:p w14:paraId="7E207E5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Moses Mataika</w:t>
      </w:r>
    </w:p>
    <w:p w14:paraId="3F9AD4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Ministry of Fisheries </w:t>
      </w:r>
    </w:p>
    <w:p w14:paraId="31E55B2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 - Data</w:t>
      </w:r>
    </w:p>
    <w:p w14:paraId="46E6055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mataika.moses@gmail.com</w:t>
      </w:r>
    </w:p>
    <w:p w14:paraId="01669F5D" w14:textId="77777777" w:rsidR="002601FA" w:rsidRPr="00B845AF" w:rsidRDefault="002601FA" w:rsidP="002601FA">
      <w:pPr>
        <w:rPr>
          <w:rFonts w:asciiTheme="minorHAnsi" w:eastAsiaTheme="minorEastAsia" w:hAnsiTheme="minorHAnsi" w:cstheme="minorHAnsi"/>
          <w:color w:val="000000"/>
          <w:szCs w:val="22"/>
          <w:lang w:eastAsia="ja-JP"/>
        </w:rPr>
      </w:pPr>
    </w:p>
    <w:p w14:paraId="58FC6955"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Nishall</w:t>
      </w:r>
      <w:proofErr w:type="spellEnd"/>
      <w:r w:rsidRPr="00B845AF">
        <w:rPr>
          <w:rFonts w:asciiTheme="minorHAnsi" w:hAnsiTheme="minorHAnsi" w:cstheme="minorHAnsi"/>
          <w:b/>
          <w:bCs/>
          <w:color w:val="000000"/>
          <w:szCs w:val="22"/>
          <w:lang w:eastAsia="ja-JP"/>
        </w:rPr>
        <w:t xml:space="preserve"> Roy</w:t>
      </w:r>
    </w:p>
    <w:p w14:paraId="6661C4B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Ministry of </w:t>
      </w:r>
      <w:proofErr w:type="gramStart"/>
      <w:r w:rsidRPr="00B845AF">
        <w:rPr>
          <w:rFonts w:asciiTheme="minorHAnsi" w:hAnsiTheme="minorHAnsi" w:cstheme="minorHAnsi"/>
          <w:color w:val="000000"/>
          <w:szCs w:val="22"/>
          <w:lang w:eastAsia="ja-JP"/>
        </w:rPr>
        <w:t>Fisheries,  Fiji</w:t>
      </w:r>
      <w:proofErr w:type="gramEnd"/>
      <w:r w:rsidRPr="00B845AF">
        <w:rPr>
          <w:rFonts w:asciiTheme="minorHAnsi" w:hAnsiTheme="minorHAnsi" w:cstheme="minorHAnsi"/>
          <w:color w:val="000000"/>
          <w:szCs w:val="22"/>
          <w:lang w:eastAsia="ja-JP"/>
        </w:rPr>
        <w:t xml:space="preserve"> </w:t>
      </w:r>
    </w:p>
    <w:p w14:paraId="4FC44F7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Technical Officer - Data </w:t>
      </w:r>
    </w:p>
    <w:p w14:paraId="392937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nishallroy5456@gmail.com</w:t>
      </w:r>
    </w:p>
    <w:p w14:paraId="7D4087CB" w14:textId="77777777" w:rsidR="002601FA" w:rsidRPr="00B845AF" w:rsidRDefault="002601FA" w:rsidP="002601FA">
      <w:pPr>
        <w:rPr>
          <w:rFonts w:asciiTheme="minorHAnsi" w:eastAsiaTheme="minorEastAsia" w:hAnsiTheme="minorHAnsi" w:cstheme="minorHAnsi"/>
          <w:color w:val="000000"/>
          <w:szCs w:val="22"/>
          <w:lang w:eastAsia="ja-JP"/>
        </w:rPr>
      </w:pPr>
    </w:p>
    <w:p w14:paraId="2FA67B3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INDONESIA</w:t>
      </w:r>
    </w:p>
    <w:p w14:paraId="20D1F294" w14:textId="77777777" w:rsidR="002601FA" w:rsidRPr="00B845AF" w:rsidRDefault="002601FA" w:rsidP="002601FA">
      <w:pPr>
        <w:rPr>
          <w:rFonts w:asciiTheme="minorHAnsi" w:eastAsiaTheme="minorEastAsia" w:hAnsiTheme="minorHAnsi" w:cstheme="minorHAnsi"/>
          <w:color w:val="000000"/>
          <w:szCs w:val="22"/>
          <w:lang w:eastAsia="ja-JP"/>
        </w:rPr>
      </w:pPr>
    </w:p>
    <w:p w14:paraId="3153EC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Fayakun Satria</w:t>
      </w:r>
    </w:p>
    <w:p w14:paraId="7BA241E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Research and Innovation Agency</w:t>
      </w:r>
    </w:p>
    <w:p w14:paraId="1AC724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Head of Research Center for Fishery</w:t>
      </w:r>
    </w:p>
    <w:p w14:paraId="64C16DA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fsatria70@gmail.com</w:t>
      </w:r>
    </w:p>
    <w:p w14:paraId="6B97DEC7" w14:textId="77777777" w:rsidR="002601FA" w:rsidRPr="00B845AF" w:rsidRDefault="002601FA" w:rsidP="002601FA">
      <w:pPr>
        <w:rPr>
          <w:rFonts w:asciiTheme="minorHAnsi" w:eastAsiaTheme="minorEastAsia" w:hAnsiTheme="minorHAnsi" w:cstheme="minorHAnsi"/>
          <w:color w:val="000000"/>
          <w:szCs w:val="22"/>
          <w:lang w:eastAsia="ja-JP"/>
        </w:rPr>
      </w:pPr>
    </w:p>
    <w:p w14:paraId="3C4A6C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Lilis Sadiyah</w:t>
      </w:r>
    </w:p>
    <w:p w14:paraId="0E42C5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Center for Fisheries Research (CFR)</w:t>
      </w:r>
    </w:p>
    <w:p w14:paraId="32AB184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68CFF8B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sadiyah.lilis2@gmail.com</w:t>
      </w:r>
    </w:p>
    <w:p w14:paraId="0D8688C3" w14:textId="77777777" w:rsidR="002601FA" w:rsidRPr="00B845AF" w:rsidRDefault="002601FA" w:rsidP="002601FA">
      <w:pPr>
        <w:rPr>
          <w:rFonts w:asciiTheme="minorHAnsi" w:eastAsiaTheme="minorEastAsia" w:hAnsiTheme="minorHAnsi" w:cstheme="minorHAnsi"/>
          <w:color w:val="000000"/>
          <w:szCs w:val="22"/>
          <w:lang w:eastAsia="ja-JP"/>
        </w:rPr>
      </w:pPr>
    </w:p>
    <w:p w14:paraId="7D395E5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Saraswati</w:t>
      </w:r>
    </w:p>
    <w:p w14:paraId="1CE5A7C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Marine Affairs and Fisheries of the Republic Indonesia</w:t>
      </w:r>
    </w:p>
    <w:p w14:paraId="3161FAD2" w14:textId="29B59716"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Capture Fisheries Production </w:t>
      </w:r>
      <w:r w:rsidR="00B845AF" w:rsidRPr="00B845AF">
        <w:rPr>
          <w:rFonts w:asciiTheme="minorHAnsi" w:hAnsiTheme="minorHAnsi" w:cstheme="minorHAnsi"/>
          <w:color w:val="000000"/>
          <w:szCs w:val="22"/>
          <w:lang w:eastAsia="ja-JP"/>
        </w:rPr>
        <w:t>Management</w:t>
      </w:r>
      <w:r w:rsidRPr="00B845AF">
        <w:rPr>
          <w:rFonts w:asciiTheme="minorHAnsi" w:hAnsiTheme="minorHAnsi" w:cstheme="minorHAnsi"/>
          <w:color w:val="000000"/>
          <w:szCs w:val="22"/>
          <w:lang w:eastAsia="ja-JP"/>
        </w:rPr>
        <w:t xml:space="preserve"> Junior Officer</w:t>
      </w:r>
    </w:p>
    <w:p w14:paraId="16E0245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cacasaras@gmail.com</w:t>
      </w:r>
    </w:p>
    <w:p w14:paraId="2FDF7746" w14:textId="77777777" w:rsidR="002601FA" w:rsidRPr="00B845AF" w:rsidRDefault="002601FA" w:rsidP="002601FA">
      <w:pPr>
        <w:rPr>
          <w:rFonts w:asciiTheme="minorHAnsi" w:eastAsiaTheme="minorEastAsia" w:hAnsiTheme="minorHAnsi" w:cstheme="minorHAnsi"/>
          <w:color w:val="000000"/>
          <w:szCs w:val="22"/>
          <w:lang w:eastAsia="ja-JP"/>
        </w:rPr>
      </w:pPr>
    </w:p>
    <w:p w14:paraId="2AEF85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JAPAN</w:t>
      </w:r>
    </w:p>
    <w:p w14:paraId="41DFA8DA" w14:textId="77777777" w:rsidR="002601FA" w:rsidRPr="00B845AF" w:rsidRDefault="002601FA" w:rsidP="002601FA">
      <w:pPr>
        <w:rPr>
          <w:rFonts w:asciiTheme="minorHAnsi" w:eastAsiaTheme="minorEastAsia" w:hAnsiTheme="minorHAnsi" w:cstheme="minorHAnsi"/>
          <w:color w:val="000000"/>
          <w:szCs w:val="22"/>
          <w:lang w:eastAsia="ja-JP"/>
        </w:rPr>
      </w:pPr>
    </w:p>
    <w:p w14:paraId="3C5D9AB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Akihito Fukuyama</w:t>
      </w:r>
    </w:p>
    <w:p w14:paraId="6E066C4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Japan Far Seas Purse Seine Fishing Association</w:t>
      </w:r>
    </w:p>
    <w:p w14:paraId="07749FE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Managing Director</w:t>
      </w:r>
    </w:p>
    <w:p w14:paraId="202859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fukuyama@kaimaki.or.jp</w:t>
      </w:r>
    </w:p>
    <w:p w14:paraId="470D0692" w14:textId="77777777" w:rsidR="002601FA" w:rsidRPr="00B845AF" w:rsidRDefault="002601FA" w:rsidP="002601FA">
      <w:pPr>
        <w:rPr>
          <w:rFonts w:asciiTheme="minorHAnsi" w:eastAsiaTheme="minorEastAsia" w:hAnsiTheme="minorHAnsi" w:cstheme="minorHAnsi"/>
          <w:color w:val="000000"/>
          <w:szCs w:val="22"/>
          <w:lang w:eastAsia="ja-JP"/>
        </w:rPr>
      </w:pPr>
    </w:p>
    <w:p w14:paraId="59C1F6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Daisuke Ochi</w:t>
      </w:r>
    </w:p>
    <w:p w14:paraId="010F7A6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 Institute, Japan Fisheries Research and Education Agency</w:t>
      </w:r>
    </w:p>
    <w:p w14:paraId="49D723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Group Head</w:t>
      </w:r>
    </w:p>
    <w:p w14:paraId="5D69541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ochi_daisuke36@fra.go.jp</w:t>
      </w:r>
    </w:p>
    <w:p w14:paraId="2CCBC089" w14:textId="77777777" w:rsidR="002601FA" w:rsidRPr="00B845AF" w:rsidRDefault="002601FA" w:rsidP="002601FA">
      <w:pPr>
        <w:rPr>
          <w:rFonts w:asciiTheme="minorHAnsi" w:eastAsiaTheme="minorEastAsia" w:hAnsiTheme="minorHAnsi" w:cstheme="minorHAnsi"/>
          <w:color w:val="000000"/>
          <w:szCs w:val="22"/>
          <w:lang w:eastAsia="ja-JP"/>
        </w:rPr>
      </w:pPr>
    </w:p>
    <w:p w14:paraId="1FA61AD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Hanna Kubota</w:t>
      </w:r>
    </w:p>
    <w:p w14:paraId="42617AF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 Japan Fisheries Research and Education Agency</w:t>
      </w:r>
    </w:p>
    <w:p w14:paraId="30B7E23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Associate Researcher</w:t>
      </w:r>
    </w:p>
    <w:p w14:paraId="196D916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kubota_hanna35@fra.go.jp</w:t>
      </w:r>
    </w:p>
    <w:p w14:paraId="1B6FCBDA" w14:textId="77777777" w:rsidR="002601FA" w:rsidRPr="00B845AF" w:rsidRDefault="002601FA" w:rsidP="002601FA">
      <w:pPr>
        <w:rPr>
          <w:rFonts w:asciiTheme="minorHAnsi" w:eastAsiaTheme="minorEastAsia" w:hAnsiTheme="minorHAnsi" w:cstheme="minorHAnsi"/>
          <w:color w:val="000000"/>
          <w:szCs w:val="22"/>
          <w:lang w:eastAsia="ja-JP"/>
        </w:rPr>
      </w:pPr>
    </w:p>
    <w:p w14:paraId="2AEC1C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Hidetada Kiyofuji</w:t>
      </w:r>
    </w:p>
    <w:p w14:paraId="3F1B829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w:t>
      </w:r>
    </w:p>
    <w:p w14:paraId="1D6D48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Highly Migratory Resource Division, Fisheries Stock Assessment Center</w:t>
      </w:r>
    </w:p>
    <w:p w14:paraId="0474BD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kiyofuji_hidetada20@fra.go.jp</w:t>
      </w:r>
    </w:p>
    <w:p w14:paraId="0D9F7B10" w14:textId="77777777" w:rsidR="002601FA" w:rsidRPr="00B845AF" w:rsidRDefault="002601FA" w:rsidP="002601FA">
      <w:pPr>
        <w:rPr>
          <w:rFonts w:asciiTheme="minorHAnsi" w:eastAsiaTheme="minorEastAsia" w:hAnsiTheme="minorHAnsi" w:cstheme="minorHAnsi"/>
          <w:color w:val="000000"/>
          <w:szCs w:val="22"/>
          <w:lang w:eastAsia="ja-JP"/>
        </w:rPr>
      </w:pPr>
    </w:p>
    <w:p w14:paraId="3A40DD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Hiromu Fukuda</w:t>
      </w:r>
    </w:p>
    <w:p w14:paraId="65756C5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Research and Education Agency of Japan, Fisheries Resources Institute</w:t>
      </w:r>
    </w:p>
    <w:p w14:paraId="64CA425C" w14:textId="3671E46F"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Head, Bluefin Tunas </w:t>
      </w:r>
      <w:proofErr w:type="gramStart"/>
      <w:r w:rsidRPr="00B845AF">
        <w:rPr>
          <w:rFonts w:asciiTheme="minorHAnsi" w:hAnsiTheme="minorHAnsi" w:cstheme="minorHAnsi"/>
          <w:color w:val="000000"/>
          <w:szCs w:val="22"/>
          <w:lang w:eastAsia="ja-JP"/>
        </w:rPr>
        <w:t>Group,  Highly</w:t>
      </w:r>
      <w:proofErr w:type="gramEnd"/>
      <w:r w:rsidRPr="00B845AF">
        <w:rPr>
          <w:rFonts w:asciiTheme="minorHAnsi" w:hAnsiTheme="minorHAnsi" w:cstheme="minorHAnsi"/>
          <w:color w:val="000000"/>
          <w:szCs w:val="22"/>
          <w:lang w:eastAsia="ja-JP"/>
        </w:rPr>
        <w:t xml:space="preserve"> </w:t>
      </w:r>
      <w:r w:rsidR="00B845AF" w:rsidRPr="00B845AF">
        <w:rPr>
          <w:rFonts w:asciiTheme="minorHAnsi" w:hAnsiTheme="minorHAnsi" w:cstheme="minorHAnsi"/>
          <w:color w:val="000000"/>
          <w:szCs w:val="22"/>
          <w:lang w:eastAsia="ja-JP"/>
        </w:rPr>
        <w:t>Migratory</w:t>
      </w:r>
      <w:r w:rsidR="00B845AF" w:rsidRPr="00B845AF">
        <w:rPr>
          <w:rFonts w:asciiTheme="minorHAnsi" w:hAnsiTheme="minorHAnsi" w:cstheme="minorHAnsi"/>
          <w:color w:val="000000"/>
          <w:szCs w:val="22"/>
          <w:lang w:eastAsia="ja-JP"/>
        </w:rPr>
        <w:t xml:space="preserve"> </w:t>
      </w:r>
      <w:r w:rsidRPr="00B845AF">
        <w:rPr>
          <w:rFonts w:asciiTheme="minorHAnsi" w:hAnsiTheme="minorHAnsi" w:cstheme="minorHAnsi"/>
          <w:color w:val="000000"/>
          <w:szCs w:val="22"/>
          <w:lang w:eastAsia="ja-JP"/>
        </w:rPr>
        <w:t>Resources Division</w:t>
      </w:r>
    </w:p>
    <w:p w14:paraId="3E60AD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fukuda_hiromu57@fra.go.jp</w:t>
      </w:r>
    </w:p>
    <w:p w14:paraId="1DF9286F" w14:textId="77777777" w:rsidR="002601FA" w:rsidRPr="00B845AF" w:rsidRDefault="002601FA" w:rsidP="002601FA">
      <w:pPr>
        <w:rPr>
          <w:rFonts w:asciiTheme="minorHAnsi" w:eastAsiaTheme="minorEastAsia" w:hAnsiTheme="minorHAnsi" w:cstheme="minorHAnsi"/>
          <w:color w:val="000000"/>
          <w:szCs w:val="22"/>
          <w:lang w:eastAsia="ja-JP"/>
        </w:rPr>
      </w:pPr>
    </w:p>
    <w:p w14:paraId="7A90E75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Hirotaka Ijima</w:t>
      </w:r>
    </w:p>
    <w:p w14:paraId="2406E2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Research Institute of Far Seas Fisheries, Japan</w:t>
      </w:r>
    </w:p>
    <w:p w14:paraId="3734940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771F62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ijima_hirotaka69@fra.go.jp</w:t>
      </w:r>
    </w:p>
    <w:p w14:paraId="0A081FD1" w14:textId="77777777" w:rsidR="002601FA" w:rsidRPr="00B845AF" w:rsidRDefault="002601FA" w:rsidP="002601FA">
      <w:pPr>
        <w:rPr>
          <w:rFonts w:asciiTheme="minorHAnsi" w:eastAsiaTheme="minorEastAsia" w:hAnsiTheme="minorHAnsi" w:cstheme="minorHAnsi"/>
          <w:color w:val="000000"/>
          <w:szCs w:val="22"/>
          <w:lang w:eastAsia="ja-JP"/>
        </w:rPr>
      </w:pPr>
    </w:p>
    <w:p w14:paraId="74B959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Kazushige Hazama</w:t>
      </w:r>
    </w:p>
    <w:p w14:paraId="059F4C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Offshore Tuna Fisheries Association of Japan</w:t>
      </w:r>
    </w:p>
    <w:p w14:paraId="4B38186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Manager</w:t>
      </w:r>
    </w:p>
    <w:p w14:paraId="420D0AC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hazama@kinkatsukyo.or.jp</w:t>
      </w:r>
    </w:p>
    <w:p w14:paraId="0963223A" w14:textId="77777777" w:rsidR="002601FA" w:rsidRPr="00B845AF" w:rsidRDefault="002601FA" w:rsidP="002601FA">
      <w:pPr>
        <w:rPr>
          <w:rFonts w:asciiTheme="minorHAnsi" w:eastAsiaTheme="minorEastAsia" w:hAnsiTheme="minorHAnsi" w:cstheme="minorHAnsi"/>
          <w:color w:val="000000"/>
          <w:szCs w:val="22"/>
          <w:lang w:eastAsia="ja-JP"/>
        </w:rPr>
      </w:pPr>
    </w:p>
    <w:p w14:paraId="3B24CBC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Kei Okamoto</w:t>
      </w:r>
    </w:p>
    <w:p w14:paraId="0DAB9BA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Highly Migratory Resources Division, Fisheries Resources Institute, Japan Fisheries Research and Education Agency</w:t>
      </w:r>
    </w:p>
    <w:p w14:paraId="0B7EBB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Scientist</w:t>
      </w:r>
    </w:p>
    <w:p w14:paraId="17E9C83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okamoto_kei98@fra.go.jp</w:t>
      </w:r>
    </w:p>
    <w:p w14:paraId="7EB31B4E" w14:textId="77777777" w:rsidR="002601FA" w:rsidRPr="00B845AF" w:rsidRDefault="002601FA" w:rsidP="002601FA">
      <w:pPr>
        <w:rPr>
          <w:rFonts w:asciiTheme="minorHAnsi" w:eastAsiaTheme="minorEastAsia" w:hAnsiTheme="minorHAnsi" w:cstheme="minorHAnsi"/>
          <w:color w:val="000000"/>
          <w:szCs w:val="22"/>
          <w:lang w:eastAsia="ja-JP"/>
        </w:rPr>
      </w:pPr>
    </w:p>
    <w:p w14:paraId="382B6F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Keisuke Satoh</w:t>
      </w:r>
    </w:p>
    <w:p w14:paraId="75503F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 Japan Fisheries Research and Education Agency</w:t>
      </w:r>
    </w:p>
    <w:p w14:paraId="229A72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Head, Bigeye and Yellowfin tunas Group, Highly Migratory Resources Division</w:t>
      </w:r>
    </w:p>
    <w:p w14:paraId="1A1A06B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sato_keisuke31@fra.go.jp</w:t>
      </w:r>
    </w:p>
    <w:p w14:paraId="7380EF20" w14:textId="77777777" w:rsidR="002601FA" w:rsidRPr="00B845AF" w:rsidRDefault="002601FA" w:rsidP="002601FA">
      <w:pPr>
        <w:rPr>
          <w:rFonts w:asciiTheme="minorHAnsi" w:eastAsiaTheme="minorEastAsia" w:hAnsiTheme="minorHAnsi" w:cstheme="minorHAnsi"/>
          <w:color w:val="000000"/>
          <w:szCs w:val="22"/>
          <w:lang w:eastAsia="ja-JP"/>
        </w:rPr>
      </w:pPr>
    </w:p>
    <w:p w14:paraId="34628B7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Makoto Nishimoto</w:t>
      </w:r>
    </w:p>
    <w:p w14:paraId="438E5E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Japan Fisheries Research and Education Agency</w:t>
      </w:r>
    </w:p>
    <w:p w14:paraId="47BDED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Skipjack and albacore group, National Research Institute of Far Sea Fisheries, </w:t>
      </w:r>
    </w:p>
    <w:p w14:paraId="5C498B5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nishimoto_makoto44@fra.go.jp</w:t>
      </w:r>
    </w:p>
    <w:p w14:paraId="0C7288C8" w14:textId="77777777" w:rsidR="002601FA" w:rsidRPr="00B845AF" w:rsidRDefault="002601FA" w:rsidP="002601FA">
      <w:pPr>
        <w:rPr>
          <w:rFonts w:asciiTheme="minorHAnsi" w:eastAsiaTheme="minorEastAsia" w:hAnsiTheme="minorHAnsi" w:cstheme="minorHAnsi"/>
          <w:color w:val="000000"/>
          <w:szCs w:val="22"/>
          <w:lang w:eastAsia="ja-JP"/>
        </w:rPr>
      </w:pPr>
    </w:p>
    <w:p w14:paraId="20F618C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Marko Jusup</w:t>
      </w:r>
    </w:p>
    <w:p w14:paraId="1C21660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Research and Education Agency of Japan, Fisheries Resources Institute</w:t>
      </w:r>
    </w:p>
    <w:p w14:paraId="48531AC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Scientist, Billfish, Shark, and Bycatch Group, Highly Migratory Resources Division</w:t>
      </w:r>
    </w:p>
    <w:p w14:paraId="37379CD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jusup_marko00@fra.go.jp</w:t>
      </w:r>
    </w:p>
    <w:p w14:paraId="6B889555" w14:textId="77777777" w:rsidR="002601FA" w:rsidRPr="00B845AF" w:rsidRDefault="002601FA" w:rsidP="002601FA">
      <w:pPr>
        <w:rPr>
          <w:rFonts w:asciiTheme="minorHAnsi" w:eastAsiaTheme="minorEastAsia" w:hAnsiTheme="minorHAnsi" w:cstheme="minorHAnsi"/>
          <w:color w:val="000000"/>
          <w:szCs w:val="22"/>
          <w:lang w:eastAsia="ja-JP"/>
        </w:rPr>
      </w:pPr>
    </w:p>
    <w:p w14:paraId="71D5C4A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Meiko Kawahara</w:t>
      </w:r>
    </w:p>
    <w:p w14:paraId="30E72925"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Umios</w:t>
      </w:r>
      <w:proofErr w:type="spellEnd"/>
      <w:r w:rsidRPr="00B845AF">
        <w:rPr>
          <w:rFonts w:asciiTheme="minorHAnsi" w:hAnsiTheme="minorHAnsi" w:cstheme="minorHAnsi"/>
          <w:color w:val="000000"/>
          <w:szCs w:val="22"/>
          <w:lang w:eastAsia="ja-JP"/>
        </w:rPr>
        <w:t xml:space="preserve"> Corporation</w:t>
      </w:r>
    </w:p>
    <w:p w14:paraId="2F22338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General Manager</w:t>
      </w:r>
    </w:p>
    <w:p w14:paraId="4E1EA52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m-kawahara2wbvw@umios.com</w:t>
      </w:r>
    </w:p>
    <w:p w14:paraId="08B248A6" w14:textId="77777777" w:rsidR="002601FA" w:rsidRPr="00B845AF" w:rsidRDefault="002601FA" w:rsidP="002601FA">
      <w:pPr>
        <w:rPr>
          <w:rFonts w:asciiTheme="minorHAnsi" w:eastAsiaTheme="minorEastAsia" w:hAnsiTheme="minorHAnsi" w:cstheme="minorHAnsi"/>
          <w:color w:val="000000"/>
          <w:szCs w:val="22"/>
          <w:lang w:eastAsia="ja-JP"/>
        </w:rPr>
      </w:pPr>
    </w:p>
    <w:p w14:paraId="3A99B15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Mikihiko Kai</w:t>
      </w:r>
    </w:p>
    <w:p w14:paraId="35362B4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w:t>
      </w:r>
    </w:p>
    <w:p w14:paraId="7A28261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Head, Billfish, Shark, and Bycatch Group</w:t>
      </w:r>
    </w:p>
    <w:p w14:paraId="714A9A5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kai_mikihiko61@fra.go.jp</w:t>
      </w:r>
    </w:p>
    <w:p w14:paraId="560F24C3" w14:textId="77777777" w:rsidR="002601FA" w:rsidRPr="00B845AF" w:rsidRDefault="002601FA" w:rsidP="002601FA">
      <w:pPr>
        <w:rPr>
          <w:rFonts w:asciiTheme="minorHAnsi" w:eastAsiaTheme="minorEastAsia" w:hAnsiTheme="minorHAnsi" w:cstheme="minorHAnsi"/>
          <w:color w:val="000000"/>
          <w:szCs w:val="22"/>
          <w:lang w:eastAsia="ja-JP"/>
        </w:rPr>
      </w:pPr>
    </w:p>
    <w:p w14:paraId="1E02391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Satoshi Kaneda</w:t>
      </w:r>
    </w:p>
    <w:p w14:paraId="5655D31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"Japan Far Seas Purse Seine Fishing Association"</w:t>
      </w:r>
    </w:p>
    <w:p w14:paraId="358F229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Adviser</w:t>
      </w:r>
    </w:p>
    <w:p w14:paraId="4F2EFEE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kaneda@kaimaki.or.jp</w:t>
      </w:r>
    </w:p>
    <w:p w14:paraId="58F4D986" w14:textId="77777777" w:rsidR="002601FA" w:rsidRPr="00B845AF" w:rsidRDefault="002601FA" w:rsidP="002601FA">
      <w:pPr>
        <w:rPr>
          <w:rFonts w:asciiTheme="minorHAnsi" w:eastAsiaTheme="minorEastAsia" w:hAnsiTheme="minorHAnsi" w:cstheme="minorHAnsi"/>
          <w:color w:val="000000"/>
          <w:szCs w:val="22"/>
          <w:lang w:eastAsia="ja-JP"/>
        </w:rPr>
      </w:pPr>
    </w:p>
    <w:p w14:paraId="4449D71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Shoma Takahashi</w:t>
      </w:r>
    </w:p>
    <w:p w14:paraId="5FCCD53C" w14:textId="51CAFBBC"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w:t>
      </w:r>
      <w:r w:rsidR="00B845AF" w:rsidRPr="00B845AF">
        <w:rPr>
          <w:rFonts w:asciiTheme="minorHAnsi" w:hAnsiTheme="minorHAnsi" w:cstheme="minorHAnsi"/>
          <w:color w:val="000000"/>
          <w:szCs w:val="22"/>
          <w:lang w:eastAsia="ja-JP"/>
        </w:rPr>
        <w:t xml:space="preserve"> </w:t>
      </w:r>
      <w:r w:rsidRPr="00B845AF">
        <w:rPr>
          <w:rFonts w:asciiTheme="minorHAnsi" w:hAnsiTheme="minorHAnsi" w:cstheme="minorHAnsi"/>
          <w:color w:val="000000"/>
          <w:szCs w:val="22"/>
          <w:lang w:eastAsia="ja-JP"/>
        </w:rPr>
        <w:t>FRA</w:t>
      </w:r>
    </w:p>
    <w:p w14:paraId="501D36C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0BCABA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takahashi_shoma84@fra.go.jp</w:t>
      </w:r>
    </w:p>
    <w:p w14:paraId="7B530496" w14:textId="77777777" w:rsidR="002601FA" w:rsidRPr="00B845AF" w:rsidRDefault="002601FA" w:rsidP="002601FA">
      <w:pPr>
        <w:rPr>
          <w:rFonts w:asciiTheme="minorHAnsi" w:eastAsiaTheme="minorEastAsia" w:hAnsiTheme="minorHAnsi" w:cstheme="minorHAnsi"/>
          <w:color w:val="000000"/>
          <w:szCs w:val="22"/>
          <w:lang w:eastAsia="ja-JP"/>
        </w:rPr>
      </w:pPr>
    </w:p>
    <w:p w14:paraId="3AE3D9B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Shuya Nakatsuka</w:t>
      </w:r>
    </w:p>
    <w:p w14:paraId="5224189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w:t>
      </w:r>
    </w:p>
    <w:p w14:paraId="4DD16F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Director, Highly Migratory Resources Division</w:t>
      </w:r>
    </w:p>
    <w:p w14:paraId="76A0A6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nakatsuka_shuya49@fra.go.jp</w:t>
      </w:r>
    </w:p>
    <w:p w14:paraId="0C148CE8" w14:textId="77777777" w:rsidR="002601FA" w:rsidRPr="00B845AF" w:rsidRDefault="002601FA" w:rsidP="002601FA">
      <w:pPr>
        <w:rPr>
          <w:rFonts w:asciiTheme="minorHAnsi" w:eastAsiaTheme="minorEastAsia" w:hAnsiTheme="minorHAnsi" w:cstheme="minorHAnsi"/>
          <w:color w:val="000000"/>
          <w:szCs w:val="22"/>
          <w:lang w:eastAsia="ja-JP"/>
        </w:rPr>
      </w:pPr>
    </w:p>
    <w:p w14:paraId="0B6E515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Takaaki Hasegawa</w:t>
      </w:r>
    </w:p>
    <w:p w14:paraId="22340F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Research and Education Agency of Japan, Fisheries Resources Institute</w:t>
      </w:r>
    </w:p>
    <w:p w14:paraId="423B4D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Scientist, Bigeye and Yellowfin tunas Group, Highly Migratory Resources Division</w:t>
      </w:r>
    </w:p>
    <w:p w14:paraId="782067E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hasegawa_takaaki53@fra.go.jp</w:t>
      </w:r>
    </w:p>
    <w:p w14:paraId="0E3ED247" w14:textId="77777777" w:rsidR="002601FA" w:rsidRPr="00B845AF" w:rsidRDefault="002601FA" w:rsidP="002601FA">
      <w:pPr>
        <w:rPr>
          <w:rFonts w:asciiTheme="minorHAnsi" w:eastAsiaTheme="minorEastAsia" w:hAnsiTheme="minorHAnsi" w:cstheme="minorHAnsi"/>
          <w:color w:val="000000"/>
          <w:szCs w:val="22"/>
          <w:lang w:eastAsia="ja-JP"/>
        </w:rPr>
      </w:pPr>
    </w:p>
    <w:p w14:paraId="1B159AA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Takahiro Fukushima</w:t>
      </w:r>
    </w:p>
    <w:p w14:paraId="26DBB1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Agency of Japan</w:t>
      </w:r>
    </w:p>
    <w:p w14:paraId="5526B6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Section Chief</w:t>
      </w:r>
    </w:p>
    <w:p w14:paraId="493AB81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takahiro_fukushim820@maff.go.jp</w:t>
      </w:r>
    </w:p>
    <w:p w14:paraId="6CB5B28E" w14:textId="77777777" w:rsidR="002601FA" w:rsidRPr="00B845AF" w:rsidRDefault="002601FA" w:rsidP="002601FA">
      <w:pPr>
        <w:rPr>
          <w:rFonts w:asciiTheme="minorHAnsi" w:eastAsiaTheme="minorEastAsia" w:hAnsiTheme="minorHAnsi" w:cstheme="minorHAnsi"/>
          <w:color w:val="000000"/>
          <w:szCs w:val="22"/>
          <w:lang w:eastAsia="ja-JP"/>
        </w:rPr>
      </w:pPr>
    </w:p>
    <w:p w14:paraId="118FEE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Takeshi Miwa</w:t>
      </w:r>
    </w:p>
    <w:p w14:paraId="59AECA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Agency of Japan</w:t>
      </w:r>
    </w:p>
    <w:p w14:paraId="219D019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Counsellor</w:t>
      </w:r>
    </w:p>
    <w:p w14:paraId="1F523E6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takeshi_miwa090@maff.go.jp</w:t>
      </w:r>
    </w:p>
    <w:p w14:paraId="313061F0" w14:textId="77777777" w:rsidR="002601FA" w:rsidRPr="00B845AF" w:rsidRDefault="002601FA" w:rsidP="002601FA">
      <w:pPr>
        <w:rPr>
          <w:rFonts w:asciiTheme="minorHAnsi" w:eastAsiaTheme="minorEastAsia" w:hAnsiTheme="minorHAnsi" w:cstheme="minorHAnsi"/>
          <w:color w:val="000000"/>
          <w:szCs w:val="22"/>
          <w:lang w:eastAsia="ja-JP"/>
        </w:rPr>
      </w:pPr>
    </w:p>
    <w:p w14:paraId="282A055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Takuto Kimura</w:t>
      </w:r>
    </w:p>
    <w:p w14:paraId="6F1B83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Research Institute of Far Seas Fisheries, Japan</w:t>
      </w:r>
    </w:p>
    <w:p w14:paraId="0D85C0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5F25A2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kimura_takuto68@fra.go.jp</w:t>
      </w:r>
    </w:p>
    <w:p w14:paraId="41CFDC7B" w14:textId="77777777" w:rsidR="002601FA" w:rsidRPr="00B845AF" w:rsidRDefault="002601FA" w:rsidP="002601FA">
      <w:pPr>
        <w:rPr>
          <w:rFonts w:asciiTheme="minorHAnsi" w:eastAsiaTheme="minorEastAsia" w:hAnsiTheme="minorHAnsi" w:cstheme="minorHAnsi"/>
          <w:color w:val="000000"/>
          <w:szCs w:val="22"/>
          <w:lang w:eastAsia="ja-JP"/>
        </w:rPr>
      </w:pPr>
    </w:p>
    <w:p w14:paraId="5E4A2E3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Yasuko Semba</w:t>
      </w:r>
    </w:p>
    <w:p w14:paraId="5EDC55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Resources Institute, Highly Migratory Resources Division</w:t>
      </w:r>
    </w:p>
    <w:p w14:paraId="45BDF9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Scientist</w:t>
      </w:r>
    </w:p>
    <w:p w14:paraId="2410A13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semba_yasuko25@fra.go.jp</w:t>
      </w:r>
    </w:p>
    <w:p w14:paraId="2D046F1A" w14:textId="77777777" w:rsidR="002601FA" w:rsidRPr="00B845AF" w:rsidRDefault="002601FA" w:rsidP="002601FA">
      <w:pPr>
        <w:rPr>
          <w:rFonts w:asciiTheme="minorHAnsi" w:eastAsiaTheme="minorEastAsia" w:hAnsiTheme="minorHAnsi" w:cstheme="minorHAnsi"/>
          <w:color w:val="000000"/>
          <w:szCs w:val="22"/>
          <w:lang w:eastAsia="ja-JP"/>
        </w:rPr>
      </w:pPr>
    </w:p>
    <w:p w14:paraId="1E2708E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Yayoi Otani</w:t>
      </w:r>
    </w:p>
    <w:p w14:paraId="5A8DFC5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Agency of Japan</w:t>
      </w:r>
    </w:p>
    <w:p w14:paraId="141718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Section Chief</w:t>
      </w:r>
    </w:p>
    <w:p w14:paraId="552175A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yayoi_otani420@maff.go.jp</w:t>
      </w:r>
    </w:p>
    <w:p w14:paraId="7FAC722B" w14:textId="77777777" w:rsidR="002601FA" w:rsidRPr="00B845AF" w:rsidRDefault="002601FA" w:rsidP="002601FA">
      <w:pPr>
        <w:rPr>
          <w:rFonts w:asciiTheme="minorHAnsi" w:eastAsiaTheme="minorEastAsia" w:hAnsiTheme="minorHAnsi" w:cstheme="minorHAnsi"/>
          <w:color w:val="000000"/>
          <w:szCs w:val="22"/>
          <w:lang w:eastAsia="ja-JP"/>
        </w:rPr>
      </w:pPr>
    </w:p>
    <w:p w14:paraId="15A4D34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Yoshinori Aoki</w:t>
      </w:r>
    </w:p>
    <w:p w14:paraId="6F4A4E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Japan Fisheries Research and Education Agency</w:t>
      </w:r>
    </w:p>
    <w:p w14:paraId="10A4A4E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Skipjack and albacore group, National Research Institute of Far Sea Fisheries, </w:t>
      </w:r>
    </w:p>
    <w:p w14:paraId="1756118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aoki_yoshinori04@fra.go.jp</w:t>
      </w:r>
    </w:p>
    <w:p w14:paraId="5BEA1318" w14:textId="77777777" w:rsidR="002601FA" w:rsidRPr="00B845AF" w:rsidRDefault="002601FA" w:rsidP="002601FA">
      <w:pPr>
        <w:rPr>
          <w:rFonts w:asciiTheme="minorHAnsi" w:eastAsiaTheme="minorEastAsia" w:hAnsiTheme="minorHAnsi" w:cstheme="minorHAnsi"/>
          <w:color w:val="000000"/>
          <w:szCs w:val="22"/>
          <w:lang w:eastAsia="ja-JP"/>
        </w:rPr>
      </w:pPr>
    </w:p>
    <w:p w14:paraId="3DEB776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Yuji </w:t>
      </w:r>
      <w:proofErr w:type="spellStart"/>
      <w:r w:rsidRPr="00B845AF">
        <w:rPr>
          <w:rFonts w:asciiTheme="minorHAnsi" w:hAnsiTheme="minorHAnsi" w:cstheme="minorHAnsi"/>
          <w:b/>
          <w:bCs/>
          <w:color w:val="000000"/>
          <w:szCs w:val="22"/>
          <w:lang w:eastAsia="ja-JP"/>
        </w:rPr>
        <w:t>Uozumi</w:t>
      </w:r>
      <w:proofErr w:type="spellEnd"/>
    </w:p>
    <w:p w14:paraId="0D4FA1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Japan Tuna Fisheries Co-operative Association</w:t>
      </w:r>
    </w:p>
    <w:p w14:paraId="42E611A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Adviser</w:t>
      </w:r>
    </w:p>
    <w:p w14:paraId="0F3F6419" w14:textId="77777777" w:rsidR="002601FA" w:rsidRPr="00B845AF" w:rsidRDefault="002601FA" w:rsidP="002601FA">
      <w:pPr>
        <w:rPr>
          <w:rFonts w:asciiTheme="minorHAnsi" w:eastAsiaTheme="minorEastAsia" w:hAnsiTheme="minorHAnsi" w:cstheme="minorHAnsi"/>
          <w:color w:val="000000"/>
          <w:szCs w:val="22"/>
          <w:lang w:eastAsia="ja-JP"/>
        </w:rPr>
      </w:pPr>
    </w:p>
    <w:p w14:paraId="0DEFCA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Yuto </w:t>
      </w:r>
      <w:proofErr w:type="spellStart"/>
      <w:r w:rsidRPr="00B845AF">
        <w:rPr>
          <w:rFonts w:asciiTheme="minorHAnsi" w:hAnsiTheme="minorHAnsi" w:cstheme="minorHAnsi"/>
          <w:b/>
          <w:bCs/>
          <w:color w:val="000000"/>
          <w:szCs w:val="22"/>
          <w:lang w:eastAsia="ja-JP"/>
        </w:rPr>
        <w:t>Furuzono</w:t>
      </w:r>
      <w:proofErr w:type="spellEnd"/>
    </w:p>
    <w:p w14:paraId="4330E72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Agency of Japan</w:t>
      </w:r>
    </w:p>
    <w:p w14:paraId="4620B4AF"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Internatinal</w:t>
      </w:r>
      <w:proofErr w:type="spellEnd"/>
      <w:r w:rsidRPr="00B845AF">
        <w:rPr>
          <w:rFonts w:asciiTheme="minorHAnsi" w:hAnsiTheme="minorHAnsi" w:cstheme="minorHAnsi"/>
          <w:color w:val="000000"/>
          <w:szCs w:val="22"/>
          <w:lang w:eastAsia="ja-JP"/>
        </w:rPr>
        <w:t xml:space="preserve"> Affairs Division </w:t>
      </w:r>
    </w:p>
    <w:p w14:paraId="6FC07E8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yuto_furuzono650@maff.go.jp</w:t>
      </w:r>
    </w:p>
    <w:p w14:paraId="46C302E5" w14:textId="77777777" w:rsidR="002601FA" w:rsidRPr="00B845AF" w:rsidRDefault="002601FA" w:rsidP="002601FA">
      <w:pPr>
        <w:rPr>
          <w:rFonts w:asciiTheme="minorHAnsi" w:eastAsiaTheme="minorEastAsia" w:hAnsiTheme="minorHAnsi" w:cstheme="minorHAnsi"/>
          <w:color w:val="000000"/>
          <w:szCs w:val="22"/>
          <w:lang w:eastAsia="ja-JP"/>
        </w:rPr>
      </w:pPr>
    </w:p>
    <w:p w14:paraId="4252DCC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KIRIBATI</w:t>
      </w:r>
    </w:p>
    <w:p w14:paraId="7FED03CD" w14:textId="77777777" w:rsidR="002601FA" w:rsidRPr="00B845AF" w:rsidRDefault="002601FA" w:rsidP="002601FA">
      <w:pPr>
        <w:rPr>
          <w:rFonts w:asciiTheme="minorHAnsi" w:eastAsiaTheme="minorEastAsia" w:hAnsiTheme="minorHAnsi" w:cstheme="minorHAnsi"/>
          <w:color w:val="000000"/>
          <w:szCs w:val="22"/>
          <w:lang w:eastAsia="ja-JP"/>
        </w:rPr>
      </w:pPr>
    </w:p>
    <w:p w14:paraId="42B7C82F"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Tiura</w:t>
      </w:r>
      <w:proofErr w:type="spellEnd"/>
      <w:r w:rsidRPr="00B845AF">
        <w:rPr>
          <w:rFonts w:asciiTheme="minorHAnsi" w:hAnsiTheme="minorHAnsi" w:cstheme="minorHAnsi"/>
          <w:b/>
          <w:bCs/>
          <w:color w:val="000000"/>
          <w:szCs w:val="22"/>
          <w:lang w:eastAsia="ja-JP"/>
        </w:rPr>
        <w:t xml:space="preserve"> Takenimakin</w:t>
      </w:r>
    </w:p>
    <w:p w14:paraId="1F877E8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Ministry of Fisheries and Ocean Resources (MFOR)</w:t>
      </w:r>
    </w:p>
    <w:p w14:paraId="2C0DD78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Licensing Officer</w:t>
      </w:r>
    </w:p>
    <w:p w14:paraId="2A11879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tiurat@mfor.gov.ki</w:t>
      </w:r>
    </w:p>
    <w:p w14:paraId="7D8BA53C" w14:textId="77777777" w:rsidR="002601FA" w:rsidRPr="00B845AF" w:rsidRDefault="002601FA" w:rsidP="002601FA">
      <w:pPr>
        <w:rPr>
          <w:rFonts w:asciiTheme="minorHAnsi" w:eastAsiaTheme="minorEastAsia" w:hAnsiTheme="minorHAnsi" w:cstheme="minorHAnsi"/>
          <w:color w:val="000000"/>
          <w:szCs w:val="22"/>
          <w:lang w:eastAsia="ja-JP"/>
        </w:rPr>
      </w:pPr>
    </w:p>
    <w:p w14:paraId="714EF8E3"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Kobure</w:t>
      </w:r>
      <w:proofErr w:type="spellEnd"/>
      <w:r w:rsidRPr="00B845AF">
        <w:rPr>
          <w:rFonts w:asciiTheme="minorHAnsi" w:hAnsiTheme="minorHAnsi" w:cstheme="minorHAnsi"/>
          <w:b/>
          <w:bCs/>
          <w:color w:val="000000"/>
          <w:szCs w:val="22"/>
          <w:lang w:eastAsia="ja-JP"/>
        </w:rPr>
        <w:t xml:space="preserve"> Norman</w:t>
      </w:r>
    </w:p>
    <w:p w14:paraId="7DAF13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 and Ocean Resources (MFOR)</w:t>
      </w:r>
    </w:p>
    <w:p w14:paraId="4092AD6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License Officer</w:t>
      </w:r>
    </w:p>
    <w:p w14:paraId="56128B3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koburen@mfor.gov.ki</w:t>
      </w:r>
    </w:p>
    <w:p w14:paraId="2073145F" w14:textId="77777777" w:rsidR="002601FA" w:rsidRPr="00B845AF" w:rsidRDefault="002601FA" w:rsidP="002601FA">
      <w:pPr>
        <w:rPr>
          <w:rFonts w:asciiTheme="minorHAnsi" w:eastAsiaTheme="minorEastAsia" w:hAnsiTheme="minorHAnsi" w:cstheme="minorHAnsi"/>
          <w:color w:val="000000"/>
          <w:szCs w:val="22"/>
          <w:lang w:eastAsia="ja-JP"/>
        </w:rPr>
      </w:pPr>
    </w:p>
    <w:p w14:paraId="79E1491D"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Raubane</w:t>
      </w:r>
      <w:proofErr w:type="spellEnd"/>
      <w:r w:rsidRPr="00B845AF">
        <w:rPr>
          <w:rFonts w:asciiTheme="minorHAnsi" w:hAnsiTheme="minorHAnsi" w:cstheme="minorHAnsi"/>
          <w:b/>
          <w:bCs/>
          <w:color w:val="000000"/>
          <w:szCs w:val="22"/>
          <w:lang w:eastAsia="ja-JP"/>
        </w:rPr>
        <w:t xml:space="preserve"> Matiera</w:t>
      </w:r>
    </w:p>
    <w:p w14:paraId="52BEDE1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 and Ocean Resources (MFOR)</w:t>
      </w:r>
    </w:p>
    <w:p w14:paraId="7F5BCCA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License Officer</w:t>
      </w:r>
    </w:p>
    <w:p w14:paraId="7FC840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raubanem@mfor.gov.ki</w:t>
      </w:r>
    </w:p>
    <w:p w14:paraId="4067C975" w14:textId="77777777" w:rsidR="002601FA" w:rsidRPr="00B845AF" w:rsidRDefault="002601FA" w:rsidP="002601FA">
      <w:pPr>
        <w:rPr>
          <w:rFonts w:asciiTheme="minorHAnsi" w:eastAsiaTheme="minorEastAsia" w:hAnsiTheme="minorHAnsi" w:cstheme="minorHAnsi"/>
          <w:color w:val="000000"/>
          <w:szCs w:val="22"/>
          <w:lang w:eastAsia="ja-JP"/>
        </w:rPr>
      </w:pPr>
    </w:p>
    <w:p w14:paraId="68A855A8" w14:textId="5395BEB0" w:rsidR="002601FA" w:rsidRPr="00B845AF" w:rsidRDefault="002601FA" w:rsidP="002601FA">
      <w:pPr>
        <w:rPr>
          <w:rFonts w:asciiTheme="minorHAnsi" w:eastAsia="MS Mincho" w:hAnsiTheme="minorHAnsi" w:cstheme="minorHAnsi"/>
          <w:color w:val="000000"/>
          <w:szCs w:val="22"/>
          <w:lang w:eastAsia="ja-JP"/>
        </w:rPr>
      </w:pPr>
      <w:r w:rsidRPr="00B845AF">
        <w:rPr>
          <w:rFonts w:asciiTheme="minorHAnsi" w:hAnsiTheme="minorHAnsi" w:cstheme="minorHAnsi"/>
          <w:b/>
          <w:bCs/>
          <w:color w:val="000000"/>
          <w:szCs w:val="22"/>
          <w:lang w:eastAsia="ja-JP"/>
        </w:rPr>
        <w:t>NA</w:t>
      </w:r>
      <w:r w:rsidR="00812835" w:rsidRPr="00B845AF">
        <w:rPr>
          <w:rFonts w:asciiTheme="minorHAnsi" w:eastAsia="MS Mincho" w:hAnsiTheme="minorHAnsi" w:cstheme="minorHAnsi"/>
          <w:b/>
          <w:bCs/>
          <w:color w:val="000000"/>
          <w:szCs w:val="22"/>
          <w:lang w:eastAsia="ja-JP"/>
        </w:rPr>
        <w:t>OERO</w:t>
      </w:r>
    </w:p>
    <w:p w14:paraId="1CEB0B2A" w14:textId="77777777" w:rsidR="002601FA" w:rsidRPr="00B845AF" w:rsidRDefault="002601FA" w:rsidP="002601FA">
      <w:pPr>
        <w:rPr>
          <w:rFonts w:asciiTheme="minorHAnsi" w:eastAsiaTheme="minorEastAsia" w:hAnsiTheme="minorHAnsi" w:cstheme="minorHAnsi"/>
          <w:color w:val="000000"/>
          <w:szCs w:val="22"/>
          <w:lang w:eastAsia="ja-JP"/>
        </w:rPr>
      </w:pPr>
    </w:p>
    <w:p w14:paraId="00180AC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Ezekiel Capelle</w:t>
      </w:r>
    </w:p>
    <w:p w14:paraId="3562107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Nauru Fisheries and Marine Resources Authority </w:t>
      </w:r>
    </w:p>
    <w:p w14:paraId="0E1E8A7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Observer Data Clerk</w:t>
      </w:r>
    </w:p>
    <w:p w14:paraId="44B2A1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reignjcapelle@gmail.com</w:t>
      </w:r>
    </w:p>
    <w:p w14:paraId="13DEA3DA" w14:textId="77777777" w:rsidR="002601FA" w:rsidRPr="00B845AF" w:rsidRDefault="002601FA" w:rsidP="002601FA">
      <w:pPr>
        <w:rPr>
          <w:rFonts w:asciiTheme="minorHAnsi" w:eastAsiaTheme="minorEastAsia" w:hAnsiTheme="minorHAnsi" w:cstheme="minorHAnsi"/>
          <w:color w:val="000000"/>
          <w:szCs w:val="22"/>
          <w:lang w:eastAsia="ja-JP"/>
        </w:rPr>
      </w:pPr>
    </w:p>
    <w:p w14:paraId="5F40ADD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June-Teena Benjamin</w:t>
      </w:r>
    </w:p>
    <w:p w14:paraId="4F5B2F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Nauru Fisheries Marine and Resource Authority</w:t>
      </w:r>
    </w:p>
    <w:p w14:paraId="7835A79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Assistant Flag </w:t>
      </w:r>
      <w:proofErr w:type="gramStart"/>
      <w:r w:rsidRPr="00B845AF">
        <w:rPr>
          <w:rFonts w:asciiTheme="minorHAnsi" w:hAnsiTheme="minorHAnsi" w:cstheme="minorHAnsi"/>
          <w:color w:val="000000"/>
          <w:szCs w:val="22"/>
          <w:lang w:eastAsia="ja-JP"/>
        </w:rPr>
        <w:t>state</w:t>
      </w:r>
      <w:proofErr w:type="gramEnd"/>
      <w:r w:rsidRPr="00B845AF">
        <w:rPr>
          <w:rFonts w:asciiTheme="minorHAnsi" w:hAnsiTheme="minorHAnsi" w:cstheme="minorHAnsi"/>
          <w:color w:val="000000"/>
          <w:szCs w:val="22"/>
          <w:lang w:eastAsia="ja-JP"/>
        </w:rPr>
        <w:t xml:space="preserve"> Officer</w:t>
      </w:r>
    </w:p>
    <w:p w14:paraId="3D6BB97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juneteenabenjamin@gmail.com</w:t>
      </w:r>
    </w:p>
    <w:p w14:paraId="68B67061" w14:textId="77777777" w:rsidR="002601FA" w:rsidRPr="00B845AF" w:rsidRDefault="002601FA" w:rsidP="002601FA">
      <w:pPr>
        <w:rPr>
          <w:rFonts w:asciiTheme="minorHAnsi" w:eastAsiaTheme="minorEastAsia" w:hAnsiTheme="minorHAnsi" w:cstheme="minorHAnsi"/>
          <w:color w:val="000000"/>
          <w:szCs w:val="22"/>
          <w:lang w:eastAsia="ja-JP"/>
        </w:rPr>
      </w:pPr>
    </w:p>
    <w:p w14:paraId="3A021FE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Karlick Agir </w:t>
      </w:r>
    </w:p>
    <w:p w14:paraId="7E8E41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Nauru</w:t>
      </w:r>
    </w:p>
    <w:p w14:paraId="328006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Catch Data Officer </w:t>
      </w:r>
    </w:p>
    <w:p w14:paraId="7494CDA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k.agir1957@gmail.com</w:t>
      </w:r>
    </w:p>
    <w:p w14:paraId="0BA2CA21" w14:textId="77777777" w:rsidR="002601FA" w:rsidRPr="00B845AF" w:rsidRDefault="002601FA" w:rsidP="002601FA">
      <w:pPr>
        <w:rPr>
          <w:rFonts w:asciiTheme="minorHAnsi" w:eastAsiaTheme="minorEastAsia" w:hAnsiTheme="minorHAnsi" w:cstheme="minorHAnsi"/>
          <w:color w:val="000000"/>
          <w:szCs w:val="22"/>
          <w:lang w:eastAsia="ja-JP"/>
        </w:rPr>
      </w:pPr>
    </w:p>
    <w:p w14:paraId="7F30FFAB"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Salodina</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Thoma</w:t>
      </w:r>
      <w:proofErr w:type="spellEnd"/>
    </w:p>
    <w:p w14:paraId="15CD3F5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Nauru Fisheries and Marine Resources Authority</w:t>
      </w:r>
    </w:p>
    <w:p w14:paraId="7E043FD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VDS Officer</w:t>
      </w:r>
    </w:p>
    <w:p w14:paraId="041183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salodina.thoma13@gmail.com</w:t>
      </w:r>
    </w:p>
    <w:p w14:paraId="2EF19D68" w14:textId="77777777" w:rsidR="002601FA" w:rsidRPr="00B845AF" w:rsidRDefault="002601FA" w:rsidP="002601FA">
      <w:pPr>
        <w:rPr>
          <w:rFonts w:asciiTheme="minorHAnsi" w:eastAsiaTheme="minorEastAsia" w:hAnsiTheme="minorHAnsi" w:cstheme="minorHAnsi"/>
          <w:color w:val="000000"/>
          <w:szCs w:val="22"/>
          <w:lang w:eastAsia="ja-JP"/>
        </w:rPr>
      </w:pPr>
    </w:p>
    <w:p w14:paraId="063074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Taesha Aliklik</w:t>
      </w:r>
    </w:p>
    <w:p w14:paraId="0BE0E55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Naoero Fisheries and Marine Resources Authority </w:t>
      </w:r>
    </w:p>
    <w:p w14:paraId="4DCA69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Joint Venture and Compliance Officer </w:t>
      </w:r>
    </w:p>
    <w:p w14:paraId="6939B25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taeshaaliklik02@gmail.com</w:t>
      </w:r>
    </w:p>
    <w:p w14:paraId="657B6FFF" w14:textId="77777777" w:rsidR="002601FA" w:rsidRPr="00B845AF" w:rsidRDefault="002601FA" w:rsidP="002601FA">
      <w:pPr>
        <w:rPr>
          <w:rFonts w:asciiTheme="minorHAnsi" w:eastAsiaTheme="minorEastAsia" w:hAnsiTheme="minorHAnsi" w:cstheme="minorHAnsi"/>
          <w:color w:val="000000"/>
          <w:szCs w:val="22"/>
          <w:lang w:eastAsia="ja-JP"/>
        </w:rPr>
      </w:pPr>
    </w:p>
    <w:p w14:paraId="4B8472E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NEW ZEALAND</w:t>
      </w:r>
    </w:p>
    <w:p w14:paraId="3339365A" w14:textId="77777777" w:rsidR="002601FA" w:rsidRPr="00B845AF" w:rsidRDefault="002601FA" w:rsidP="002601FA">
      <w:pPr>
        <w:rPr>
          <w:rFonts w:asciiTheme="minorHAnsi" w:eastAsiaTheme="minorEastAsia" w:hAnsiTheme="minorHAnsi" w:cstheme="minorHAnsi"/>
          <w:color w:val="000000"/>
          <w:szCs w:val="22"/>
          <w:lang w:eastAsia="ja-JP"/>
        </w:rPr>
      </w:pPr>
    </w:p>
    <w:p w14:paraId="34E6EF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Leyla Knittweis</w:t>
      </w:r>
    </w:p>
    <w:p w14:paraId="1A7106C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for Primary Industries</w:t>
      </w:r>
    </w:p>
    <w:p w14:paraId="7D1CE9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Scientist</w:t>
      </w:r>
    </w:p>
    <w:p w14:paraId="592F7BAD" w14:textId="77777777" w:rsidR="002601FA" w:rsidRPr="00B845AF" w:rsidRDefault="002601FA" w:rsidP="002601FA">
      <w:pPr>
        <w:rPr>
          <w:rFonts w:asciiTheme="minorHAnsi" w:eastAsiaTheme="minorEastAsia" w:hAnsiTheme="minorHAnsi" w:cstheme="minorHAnsi"/>
          <w:color w:val="000000"/>
          <w:szCs w:val="22"/>
          <w:lang w:eastAsia="ja-JP"/>
        </w:rPr>
      </w:pPr>
    </w:p>
    <w:p w14:paraId="0DA87EF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Campbell Murray</w:t>
      </w:r>
    </w:p>
    <w:p w14:paraId="141C229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for Primary Industries</w:t>
      </w:r>
    </w:p>
    <w:p w14:paraId="16672E8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0F6FE12F" w14:textId="77777777" w:rsidR="002601FA" w:rsidRPr="00B845AF" w:rsidRDefault="002601FA" w:rsidP="002601FA">
      <w:pPr>
        <w:rPr>
          <w:rFonts w:asciiTheme="minorHAnsi" w:eastAsiaTheme="minorEastAsia" w:hAnsiTheme="minorHAnsi" w:cstheme="minorHAnsi"/>
          <w:color w:val="000000"/>
          <w:szCs w:val="22"/>
          <w:lang w:eastAsia="ja-JP"/>
        </w:rPr>
      </w:pPr>
    </w:p>
    <w:p w14:paraId="521E85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Daniel Kerrigan</w:t>
      </w:r>
    </w:p>
    <w:p w14:paraId="77E6915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for Primary Industries</w:t>
      </w:r>
    </w:p>
    <w:p w14:paraId="636299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Adviser, International Fisheries</w:t>
      </w:r>
    </w:p>
    <w:p w14:paraId="58AAE7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daniel.kerrigan@mpi.govt.nz</w:t>
      </w:r>
    </w:p>
    <w:p w14:paraId="2F7B76EA" w14:textId="77777777" w:rsidR="002601FA" w:rsidRPr="00B845AF" w:rsidRDefault="002601FA" w:rsidP="002601FA">
      <w:pPr>
        <w:rPr>
          <w:rFonts w:asciiTheme="minorHAnsi" w:eastAsiaTheme="minorEastAsia" w:hAnsiTheme="minorHAnsi" w:cstheme="minorHAnsi"/>
          <w:color w:val="000000"/>
          <w:szCs w:val="22"/>
          <w:lang w:eastAsia="ja-JP"/>
        </w:rPr>
      </w:pPr>
    </w:p>
    <w:p w14:paraId="2E8DC0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Darcy Webber</w:t>
      </w:r>
    </w:p>
    <w:p w14:paraId="0F1D0CFE"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Quantifish</w:t>
      </w:r>
      <w:proofErr w:type="spellEnd"/>
      <w:r w:rsidRPr="00B845AF">
        <w:rPr>
          <w:rFonts w:asciiTheme="minorHAnsi" w:hAnsiTheme="minorHAnsi" w:cstheme="minorHAnsi"/>
          <w:color w:val="000000"/>
          <w:szCs w:val="22"/>
          <w:lang w:eastAsia="ja-JP"/>
        </w:rPr>
        <w:t xml:space="preserve"> Ltd</w:t>
      </w:r>
    </w:p>
    <w:p w14:paraId="6888207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495399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darcy@quantifish.co.nz</w:t>
      </w:r>
    </w:p>
    <w:p w14:paraId="27265D88" w14:textId="77777777" w:rsidR="002601FA" w:rsidRPr="00B845AF" w:rsidRDefault="002601FA" w:rsidP="002601FA">
      <w:pPr>
        <w:rPr>
          <w:rFonts w:asciiTheme="minorHAnsi" w:eastAsiaTheme="minorEastAsia" w:hAnsiTheme="minorHAnsi" w:cstheme="minorHAnsi"/>
          <w:color w:val="000000"/>
          <w:szCs w:val="22"/>
          <w:lang w:eastAsia="ja-JP"/>
        </w:rPr>
      </w:pPr>
    </w:p>
    <w:p w14:paraId="05DEFC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Simon Hoyle</w:t>
      </w:r>
    </w:p>
    <w:p w14:paraId="5684E42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Hoyle Consulting Ltd</w:t>
      </w:r>
    </w:p>
    <w:p w14:paraId="4330F6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w:t>
      </w:r>
    </w:p>
    <w:p w14:paraId="4879A3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simon.hoyle@gmail.com</w:t>
      </w:r>
    </w:p>
    <w:p w14:paraId="7D83C962" w14:textId="77777777" w:rsidR="002601FA" w:rsidRPr="00B845AF" w:rsidRDefault="002601FA" w:rsidP="002601FA">
      <w:pPr>
        <w:rPr>
          <w:rFonts w:asciiTheme="minorHAnsi" w:eastAsiaTheme="minorEastAsia" w:hAnsiTheme="minorHAnsi" w:cstheme="minorHAnsi"/>
          <w:color w:val="000000"/>
          <w:szCs w:val="22"/>
          <w:lang w:eastAsia="ja-JP"/>
        </w:rPr>
      </w:pPr>
    </w:p>
    <w:p w14:paraId="43D1B6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Vivita Matanimeke</w:t>
      </w:r>
    </w:p>
    <w:p w14:paraId="5F45D24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MPI</w:t>
      </w:r>
    </w:p>
    <w:p w14:paraId="149FEA8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Senior Policy Analyst </w:t>
      </w:r>
    </w:p>
    <w:p w14:paraId="55F4C12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vivita.matanimeke@mpi.govt.nz</w:t>
      </w:r>
    </w:p>
    <w:p w14:paraId="29A341B9" w14:textId="77777777" w:rsidR="002601FA" w:rsidRPr="00B845AF" w:rsidRDefault="002601FA" w:rsidP="002601FA">
      <w:pPr>
        <w:rPr>
          <w:rFonts w:asciiTheme="minorHAnsi" w:eastAsiaTheme="minorEastAsia" w:hAnsiTheme="minorHAnsi" w:cstheme="minorHAnsi"/>
          <w:color w:val="000000"/>
          <w:szCs w:val="22"/>
          <w:lang w:eastAsia="ja-JP"/>
        </w:rPr>
      </w:pPr>
    </w:p>
    <w:p w14:paraId="771D2B6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NIUE</w:t>
      </w:r>
    </w:p>
    <w:p w14:paraId="3516D60D" w14:textId="77777777" w:rsidR="002601FA" w:rsidRPr="00B845AF" w:rsidRDefault="002601FA" w:rsidP="002601FA">
      <w:pPr>
        <w:rPr>
          <w:rFonts w:asciiTheme="minorHAnsi" w:eastAsiaTheme="minorEastAsia" w:hAnsiTheme="minorHAnsi" w:cstheme="minorHAnsi"/>
          <w:color w:val="000000"/>
          <w:szCs w:val="22"/>
          <w:lang w:eastAsia="ja-JP"/>
        </w:rPr>
      </w:pPr>
    </w:p>
    <w:p w14:paraId="481E7D13"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Launoa</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Gataua</w:t>
      </w:r>
      <w:proofErr w:type="spellEnd"/>
    </w:p>
    <w:p w14:paraId="54B11F4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Natural Resource</w:t>
      </w:r>
    </w:p>
    <w:p w14:paraId="2A09339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Officer</w:t>
      </w:r>
    </w:p>
    <w:p w14:paraId="3E0E0BE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launoa.gataua@gov.nu</w:t>
      </w:r>
    </w:p>
    <w:p w14:paraId="3BEBEFD7" w14:textId="77777777" w:rsidR="002601FA" w:rsidRPr="00B845AF" w:rsidRDefault="002601FA" w:rsidP="002601FA">
      <w:pPr>
        <w:rPr>
          <w:rFonts w:asciiTheme="minorHAnsi" w:eastAsiaTheme="minorEastAsia" w:hAnsiTheme="minorHAnsi" w:cstheme="minorHAnsi"/>
          <w:color w:val="000000"/>
          <w:szCs w:val="22"/>
          <w:lang w:eastAsia="ja-JP"/>
        </w:rPr>
      </w:pPr>
    </w:p>
    <w:p w14:paraId="655CF128"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Poimatagi</w:t>
      </w:r>
      <w:proofErr w:type="spellEnd"/>
      <w:r w:rsidRPr="00B845AF">
        <w:rPr>
          <w:rFonts w:asciiTheme="minorHAnsi" w:hAnsiTheme="minorHAnsi" w:cstheme="minorHAnsi"/>
          <w:b/>
          <w:bCs/>
          <w:color w:val="000000"/>
          <w:szCs w:val="22"/>
          <w:lang w:eastAsia="ja-JP"/>
        </w:rPr>
        <w:t xml:space="preserve"> Okesene</w:t>
      </w:r>
    </w:p>
    <w:p w14:paraId="399C748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Department of Agriculture, Forestry and Fisheries-Niue Government </w:t>
      </w:r>
    </w:p>
    <w:p w14:paraId="422E650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w:t>
      </w:r>
    </w:p>
    <w:p w14:paraId="08E7D5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poi.okesene@gov.nu</w:t>
      </w:r>
    </w:p>
    <w:p w14:paraId="40F1B76A" w14:textId="77777777" w:rsidR="002601FA" w:rsidRPr="00B845AF" w:rsidRDefault="002601FA" w:rsidP="002601FA">
      <w:pPr>
        <w:rPr>
          <w:rFonts w:asciiTheme="minorHAnsi" w:eastAsiaTheme="minorEastAsia" w:hAnsiTheme="minorHAnsi" w:cstheme="minorHAnsi"/>
          <w:color w:val="000000"/>
          <w:szCs w:val="22"/>
          <w:lang w:eastAsia="ja-JP"/>
        </w:rPr>
      </w:pPr>
    </w:p>
    <w:p w14:paraId="14163AC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PALAU</w:t>
      </w:r>
    </w:p>
    <w:p w14:paraId="33DA5D0E" w14:textId="77777777" w:rsidR="002601FA" w:rsidRPr="00B845AF" w:rsidRDefault="002601FA" w:rsidP="002601FA">
      <w:pPr>
        <w:rPr>
          <w:rFonts w:asciiTheme="minorHAnsi" w:eastAsiaTheme="minorEastAsia" w:hAnsiTheme="minorHAnsi" w:cstheme="minorHAnsi"/>
          <w:color w:val="000000"/>
          <w:szCs w:val="22"/>
          <w:lang w:eastAsia="ja-JP"/>
        </w:rPr>
      </w:pPr>
    </w:p>
    <w:p w14:paraId="5B30BD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Zilah D. </w:t>
      </w:r>
      <w:proofErr w:type="spellStart"/>
      <w:r w:rsidRPr="00B845AF">
        <w:rPr>
          <w:rFonts w:asciiTheme="minorHAnsi" w:hAnsiTheme="minorHAnsi" w:cstheme="minorHAnsi"/>
          <w:b/>
          <w:bCs/>
          <w:color w:val="000000"/>
          <w:szCs w:val="22"/>
          <w:lang w:eastAsia="ja-JP"/>
        </w:rPr>
        <w:t>OiterongiChin</w:t>
      </w:r>
      <w:proofErr w:type="spellEnd"/>
    </w:p>
    <w:p w14:paraId="77EB41A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Agriculture, Fisheries and Environment</w:t>
      </w:r>
    </w:p>
    <w:p w14:paraId="1743005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Licensing and Revenue Officer</w:t>
      </w:r>
    </w:p>
    <w:p w14:paraId="0070942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lastRenderedPageBreak/>
        <w:t>dirremeang@gmail.com</w:t>
      </w:r>
    </w:p>
    <w:p w14:paraId="79F126E9" w14:textId="77777777" w:rsidR="002601FA" w:rsidRPr="00B845AF" w:rsidRDefault="002601FA" w:rsidP="002601FA">
      <w:pPr>
        <w:rPr>
          <w:rFonts w:asciiTheme="minorHAnsi" w:eastAsiaTheme="minorEastAsia" w:hAnsiTheme="minorHAnsi" w:cstheme="minorHAnsi"/>
          <w:color w:val="000000"/>
          <w:szCs w:val="22"/>
          <w:lang w:eastAsia="ja-JP"/>
        </w:rPr>
      </w:pPr>
    </w:p>
    <w:p w14:paraId="336EAB1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PAPUA NEW GUINEA</w:t>
      </w:r>
    </w:p>
    <w:p w14:paraId="37A551EA" w14:textId="77777777" w:rsidR="002601FA" w:rsidRPr="00B845AF" w:rsidRDefault="002601FA" w:rsidP="002601FA">
      <w:pPr>
        <w:rPr>
          <w:rFonts w:asciiTheme="minorHAnsi" w:eastAsiaTheme="minorEastAsia" w:hAnsiTheme="minorHAnsi" w:cstheme="minorHAnsi"/>
          <w:color w:val="000000"/>
          <w:szCs w:val="22"/>
          <w:lang w:eastAsia="ja-JP"/>
        </w:rPr>
      </w:pPr>
    </w:p>
    <w:p w14:paraId="5C44545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Benthly Sabub</w:t>
      </w:r>
    </w:p>
    <w:p w14:paraId="4463D7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Fisheries Authority (NFA)</w:t>
      </w:r>
    </w:p>
    <w:p w14:paraId="45524A6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Manager, Tuna Fishery</w:t>
      </w:r>
    </w:p>
    <w:p w14:paraId="00FCC15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bsabub@fisheries.gov.pg</w:t>
      </w:r>
    </w:p>
    <w:p w14:paraId="7B90CB83" w14:textId="77777777" w:rsidR="002601FA" w:rsidRPr="00B845AF" w:rsidRDefault="002601FA" w:rsidP="002601FA">
      <w:pPr>
        <w:rPr>
          <w:rFonts w:asciiTheme="minorHAnsi" w:eastAsiaTheme="minorEastAsia" w:hAnsiTheme="minorHAnsi" w:cstheme="minorHAnsi"/>
          <w:color w:val="000000"/>
          <w:szCs w:val="22"/>
          <w:lang w:eastAsia="ja-JP"/>
        </w:rPr>
      </w:pPr>
    </w:p>
    <w:p w14:paraId="7CDC5C4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Anna Conchon</w:t>
      </w:r>
    </w:p>
    <w:p w14:paraId="2CCDB0C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CLS</w:t>
      </w:r>
    </w:p>
    <w:p w14:paraId="6A0425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NFA fisheries advisor</w:t>
      </w:r>
    </w:p>
    <w:p w14:paraId="3C2CE85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anna.conchon@gmail.com</w:t>
      </w:r>
    </w:p>
    <w:p w14:paraId="21D9809C" w14:textId="77777777" w:rsidR="002601FA" w:rsidRPr="00B845AF" w:rsidRDefault="002601FA" w:rsidP="002601FA">
      <w:pPr>
        <w:rPr>
          <w:rFonts w:asciiTheme="minorHAnsi" w:eastAsiaTheme="minorEastAsia" w:hAnsiTheme="minorHAnsi" w:cstheme="minorHAnsi"/>
          <w:color w:val="000000"/>
          <w:szCs w:val="22"/>
          <w:lang w:eastAsia="ja-JP"/>
        </w:rPr>
      </w:pPr>
    </w:p>
    <w:p w14:paraId="3027ACF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David Maua</w:t>
      </w:r>
    </w:p>
    <w:p w14:paraId="7D22BC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PNG National Fisheries Authority</w:t>
      </w:r>
    </w:p>
    <w:p w14:paraId="38ACD68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59AE83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dmaua@fisheries.gov.pg</w:t>
      </w:r>
    </w:p>
    <w:p w14:paraId="16F602DD" w14:textId="77777777" w:rsidR="002601FA" w:rsidRPr="00B845AF" w:rsidRDefault="002601FA" w:rsidP="002601FA">
      <w:pPr>
        <w:rPr>
          <w:rFonts w:asciiTheme="minorHAnsi" w:eastAsiaTheme="minorEastAsia" w:hAnsiTheme="minorHAnsi" w:cstheme="minorHAnsi"/>
          <w:color w:val="000000"/>
          <w:szCs w:val="22"/>
          <w:lang w:eastAsia="ja-JP"/>
        </w:rPr>
      </w:pPr>
    </w:p>
    <w:p w14:paraId="76D886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Esmond Dalle</w:t>
      </w:r>
    </w:p>
    <w:p w14:paraId="6BA1D31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National Fisheries Authority </w:t>
      </w:r>
    </w:p>
    <w:p w14:paraId="3A2BA4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Monitoring Control &amp; Surveillance</w:t>
      </w:r>
    </w:p>
    <w:p w14:paraId="37421F7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edalle@fisheries.gov.pg</w:t>
      </w:r>
    </w:p>
    <w:p w14:paraId="7EBE7C75" w14:textId="77777777" w:rsidR="002601FA" w:rsidRPr="00B845AF" w:rsidRDefault="002601FA" w:rsidP="002601FA">
      <w:pPr>
        <w:rPr>
          <w:rFonts w:asciiTheme="minorHAnsi" w:eastAsiaTheme="minorEastAsia" w:hAnsiTheme="minorHAnsi" w:cstheme="minorHAnsi"/>
          <w:color w:val="000000"/>
          <w:szCs w:val="22"/>
          <w:lang w:eastAsia="ja-JP"/>
        </w:rPr>
      </w:pPr>
    </w:p>
    <w:p w14:paraId="6CB99F5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Greg Maiva</w:t>
      </w:r>
    </w:p>
    <w:p w14:paraId="2822E32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PNG National Fisheries Authority</w:t>
      </w:r>
    </w:p>
    <w:p w14:paraId="5D708C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Management Officer - Tuna Fishery</w:t>
      </w:r>
    </w:p>
    <w:p w14:paraId="41C751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gmaiva@fisheries.gov.pg</w:t>
      </w:r>
    </w:p>
    <w:p w14:paraId="1695B9F6" w14:textId="77777777" w:rsidR="002601FA" w:rsidRPr="00B845AF" w:rsidRDefault="002601FA" w:rsidP="002601FA">
      <w:pPr>
        <w:rPr>
          <w:rFonts w:asciiTheme="minorHAnsi" w:eastAsiaTheme="minorEastAsia" w:hAnsiTheme="minorHAnsi" w:cstheme="minorHAnsi"/>
          <w:color w:val="000000"/>
          <w:szCs w:val="22"/>
          <w:lang w:eastAsia="ja-JP"/>
        </w:rPr>
      </w:pPr>
    </w:p>
    <w:p w14:paraId="090BD0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Lorna Timothy</w:t>
      </w:r>
    </w:p>
    <w:p w14:paraId="25584E2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Fisheries Authority</w:t>
      </w:r>
    </w:p>
    <w:p w14:paraId="47BA296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Management Officer-Tuna</w:t>
      </w:r>
    </w:p>
    <w:p w14:paraId="4BD2E6A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ltimothy@fisheries.gov.pg</w:t>
      </w:r>
    </w:p>
    <w:p w14:paraId="74E66748" w14:textId="77777777" w:rsidR="002601FA" w:rsidRPr="00B845AF" w:rsidRDefault="002601FA" w:rsidP="002601FA">
      <w:pPr>
        <w:rPr>
          <w:rFonts w:asciiTheme="minorHAnsi" w:eastAsiaTheme="minorEastAsia" w:hAnsiTheme="minorHAnsi" w:cstheme="minorHAnsi"/>
          <w:color w:val="000000"/>
          <w:szCs w:val="22"/>
          <w:lang w:eastAsia="ja-JP"/>
        </w:rPr>
      </w:pPr>
    </w:p>
    <w:p w14:paraId="4615293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Lucas Tarapik</w:t>
      </w:r>
    </w:p>
    <w:p w14:paraId="34DB31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Fisheries Authority</w:t>
      </w:r>
    </w:p>
    <w:p w14:paraId="57F83B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Observer Debriefing Coordinator </w:t>
      </w:r>
    </w:p>
    <w:p w14:paraId="6916CF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ltarapik@gmail.com</w:t>
      </w:r>
    </w:p>
    <w:p w14:paraId="2B20E93C" w14:textId="77777777" w:rsidR="002601FA" w:rsidRPr="00B845AF" w:rsidRDefault="002601FA" w:rsidP="002601FA">
      <w:pPr>
        <w:rPr>
          <w:rFonts w:asciiTheme="minorHAnsi" w:eastAsiaTheme="minorEastAsia" w:hAnsiTheme="minorHAnsi" w:cstheme="minorHAnsi"/>
          <w:color w:val="000000"/>
          <w:szCs w:val="22"/>
          <w:lang w:eastAsia="ja-JP"/>
        </w:rPr>
      </w:pPr>
    </w:p>
    <w:p w14:paraId="28A06BB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Sai </w:t>
      </w:r>
      <w:proofErr w:type="spellStart"/>
      <w:r w:rsidRPr="00B845AF">
        <w:rPr>
          <w:rFonts w:asciiTheme="minorHAnsi" w:hAnsiTheme="minorHAnsi" w:cstheme="minorHAnsi"/>
          <w:b/>
          <w:bCs/>
          <w:color w:val="000000"/>
          <w:szCs w:val="22"/>
          <w:lang w:eastAsia="ja-JP"/>
        </w:rPr>
        <w:t>Ugufa</w:t>
      </w:r>
      <w:proofErr w:type="spellEnd"/>
    </w:p>
    <w:p w14:paraId="2D50A8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Fisheries Authority of Papua New Guinea</w:t>
      </w:r>
    </w:p>
    <w:p w14:paraId="0A4E449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Manager - VDS</w:t>
      </w:r>
    </w:p>
    <w:p w14:paraId="77A934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sugufa@fisheries.gov.pg</w:t>
      </w:r>
    </w:p>
    <w:p w14:paraId="31618361" w14:textId="77777777" w:rsidR="002601FA" w:rsidRPr="00B845AF" w:rsidRDefault="002601FA" w:rsidP="002601FA">
      <w:pPr>
        <w:rPr>
          <w:rFonts w:asciiTheme="minorHAnsi" w:eastAsiaTheme="minorEastAsia" w:hAnsiTheme="minorHAnsi" w:cstheme="minorHAnsi"/>
          <w:color w:val="000000"/>
          <w:szCs w:val="22"/>
          <w:lang w:eastAsia="ja-JP"/>
        </w:rPr>
      </w:pPr>
    </w:p>
    <w:p w14:paraId="04F9FB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PHILIPPINES</w:t>
      </w:r>
    </w:p>
    <w:p w14:paraId="0523E121" w14:textId="77777777" w:rsidR="002601FA" w:rsidRPr="00B845AF" w:rsidRDefault="002601FA" w:rsidP="002601FA">
      <w:pPr>
        <w:rPr>
          <w:rFonts w:asciiTheme="minorHAnsi" w:eastAsiaTheme="minorEastAsia" w:hAnsiTheme="minorHAnsi" w:cstheme="minorHAnsi"/>
          <w:color w:val="000000"/>
          <w:szCs w:val="22"/>
          <w:lang w:eastAsia="ja-JP"/>
        </w:rPr>
      </w:pPr>
    </w:p>
    <w:p w14:paraId="4C80750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Isidro M. </w:t>
      </w:r>
      <w:proofErr w:type="spellStart"/>
      <w:r w:rsidRPr="00B845AF">
        <w:rPr>
          <w:rFonts w:asciiTheme="minorHAnsi" w:hAnsiTheme="minorHAnsi" w:cstheme="minorHAnsi"/>
          <w:b/>
          <w:bCs/>
          <w:color w:val="000000"/>
          <w:szCs w:val="22"/>
          <w:lang w:eastAsia="ja-JP"/>
        </w:rPr>
        <w:t>Velayo</w:t>
      </w:r>
      <w:proofErr w:type="spellEnd"/>
      <w:r w:rsidRPr="00B845AF">
        <w:rPr>
          <w:rFonts w:asciiTheme="minorHAnsi" w:hAnsiTheme="minorHAnsi" w:cstheme="minorHAnsi"/>
          <w:b/>
          <w:bCs/>
          <w:color w:val="000000"/>
          <w:szCs w:val="22"/>
          <w:lang w:eastAsia="ja-JP"/>
        </w:rPr>
        <w:t>, Jr.</w:t>
      </w:r>
    </w:p>
    <w:p w14:paraId="771720D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DA-Bureau of Fisheries and Aquatic Resources </w:t>
      </w:r>
    </w:p>
    <w:p w14:paraId="4D534C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OIC, National Director </w:t>
      </w:r>
    </w:p>
    <w:p w14:paraId="0F9ED2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sidvelayo@gmail.com</w:t>
      </w:r>
    </w:p>
    <w:p w14:paraId="5AF6163B" w14:textId="77777777" w:rsidR="002601FA" w:rsidRPr="00B845AF" w:rsidRDefault="002601FA" w:rsidP="002601FA">
      <w:pPr>
        <w:rPr>
          <w:rFonts w:asciiTheme="minorHAnsi" w:eastAsiaTheme="minorEastAsia" w:hAnsiTheme="minorHAnsi" w:cstheme="minorHAnsi"/>
          <w:color w:val="000000"/>
          <w:szCs w:val="22"/>
          <w:lang w:eastAsia="ja-JP"/>
        </w:rPr>
      </w:pPr>
    </w:p>
    <w:p w14:paraId="2DBFBBDD" w14:textId="45D6CA2A"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Alma C.</w:t>
      </w:r>
      <w:r w:rsidR="00B845AF" w:rsidRPr="00B845AF">
        <w:rPr>
          <w:rFonts w:asciiTheme="minorHAnsi" w:hAnsiTheme="minorHAnsi" w:cstheme="minorHAnsi"/>
          <w:b/>
          <w:bCs/>
          <w:color w:val="000000"/>
          <w:szCs w:val="22"/>
          <w:lang w:eastAsia="ja-JP"/>
        </w:rPr>
        <w:t xml:space="preserve"> </w:t>
      </w:r>
      <w:r w:rsidRPr="00B845AF">
        <w:rPr>
          <w:rFonts w:asciiTheme="minorHAnsi" w:hAnsiTheme="minorHAnsi" w:cstheme="minorHAnsi"/>
          <w:b/>
          <w:bCs/>
          <w:color w:val="000000"/>
          <w:szCs w:val="22"/>
          <w:lang w:eastAsia="ja-JP"/>
        </w:rPr>
        <w:t>Dickson</w:t>
      </w:r>
    </w:p>
    <w:p w14:paraId="2F96CC6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Bureau of Fisheries and Aquatic Resources </w:t>
      </w:r>
    </w:p>
    <w:p w14:paraId="472B567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Consultant </w:t>
      </w:r>
    </w:p>
    <w:p w14:paraId="64A0FA0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alma_dickson@yahoo.com</w:t>
      </w:r>
    </w:p>
    <w:p w14:paraId="0EA4E6D7" w14:textId="77777777" w:rsidR="002601FA" w:rsidRPr="00B845AF" w:rsidRDefault="002601FA" w:rsidP="002601FA">
      <w:pPr>
        <w:rPr>
          <w:rFonts w:asciiTheme="minorHAnsi" w:eastAsiaTheme="minorEastAsia" w:hAnsiTheme="minorHAnsi" w:cstheme="minorHAnsi"/>
          <w:color w:val="000000"/>
          <w:szCs w:val="22"/>
          <w:lang w:eastAsia="ja-JP"/>
        </w:rPr>
      </w:pPr>
    </w:p>
    <w:p w14:paraId="6738891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Isidro Tanangonan</w:t>
      </w:r>
    </w:p>
    <w:p w14:paraId="7EF0200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Bureau of Fisheries and Aquatic Resources </w:t>
      </w:r>
    </w:p>
    <w:p w14:paraId="5D09A33A"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Aquaculturist</w:t>
      </w:r>
      <w:proofErr w:type="spellEnd"/>
      <w:r w:rsidRPr="00B845AF">
        <w:rPr>
          <w:rFonts w:asciiTheme="minorHAnsi" w:hAnsiTheme="minorHAnsi" w:cstheme="minorHAnsi"/>
          <w:color w:val="000000"/>
          <w:szCs w:val="22"/>
          <w:lang w:eastAsia="ja-JP"/>
        </w:rPr>
        <w:t xml:space="preserve"> II</w:t>
      </w:r>
    </w:p>
    <w:p w14:paraId="55C7DD7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itanangonan@bfar.da.gov.ph</w:t>
      </w:r>
    </w:p>
    <w:p w14:paraId="6F88A9B9" w14:textId="77777777" w:rsidR="002601FA" w:rsidRPr="00B845AF" w:rsidRDefault="002601FA" w:rsidP="002601FA">
      <w:pPr>
        <w:rPr>
          <w:rFonts w:asciiTheme="minorHAnsi" w:eastAsiaTheme="minorEastAsia" w:hAnsiTheme="minorHAnsi" w:cstheme="minorHAnsi"/>
          <w:color w:val="000000"/>
          <w:szCs w:val="22"/>
          <w:lang w:eastAsia="ja-JP"/>
        </w:rPr>
      </w:pPr>
    </w:p>
    <w:p w14:paraId="68E4099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Joeren Yleana</w:t>
      </w:r>
    </w:p>
    <w:p w14:paraId="0F5057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Bureau of Fisheries and Aquatic Resources</w:t>
      </w:r>
    </w:p>
    <w:p w14:paraId="1846D4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Supervising </w:t>
      </w:r>
      <w:proofErr w:type="spellStart"/>
      <w:r w:rsidRPr="00B845AF">
        <w:rPr>
          <w:rFonts w:asciiTheme="minorHAnsi" w:hAnsiTheme="minorHAnsi" w:cstheme="minorHAnsi"/>
          <w:color w:val="000000"/>
          <w:szCs w:val="22"/>
          <w:lang w:eastAsia="ja-JP"/>
        </w:rPr>
        <w:t>Aquaculturist</w:t>
      </w:r>
      <w:proofErr w:type="spellEnd"/>
      <w:r w:rsidRPr="00B845AF">
        <w:rPr>
          <w:rFonts w:asciiTheme="minorHAnsi" w:hAnsiTheme="minorHAnsi" w:cstheme="minorHAnsi"/>
          <w:color w:val="000000"/>
          <w:szCs w:val="22"/>
          <w:lang w:eastAsia="ja-JP"/>
        </w:rPr>
        <w:t xml:space="preserve"> </w:t>
      </w:r>
    </w:p>
    <w:p w14:paraId="70562D2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joerenyleana@yahoo.com</w:t>
      </w:r>
    </w:p>
    <w:p w14:paraId="350FD10B" w14:textId="77777777" w:rsidR="002601FA" w:rsidRPr="00B845AF" w:rsidRDefault="002601FA" w:rsidP="002601FA">
      <w:pPr>
        <w:rPr>
          <w:rFonts w:asciiTheme="minorHAnsi" w:eastAsiaTheme="minorEastAsia" w:hAnsiTheme="minorHAnsi" w:cstheme="minorHAnsi"/>
          <w:color w:val="000000"/>
          <w:szCs w:val="22"/>
          <w:lang w:eastAsia="ja-JP"/>
        </w:rPr>
      </w:pPr>
    </w:p>
    <w:p w14:paraId="3AD367B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Marlo Demo-os</w:t>
      </w:r>
    </w:p>
    <w:p w14:paraId="5B3FA8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DA-BFAR</w:t>
      </w:r>
    </w:p>
    <w:p w14:paraId="3424DE55"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Aquaculturist</w:t>
      </w:r>
      <w:proofErr w:type="spellEnd"/>
      <w:r w:rsidRPr="00B845AF">
        <w:rPr>
          <w:rFonts w:asciiTheme="minorHAnsi" w:hAnsiTheme="minorHAnsi" w:cstheme="minorHAnsi"/>
          <w:color w:val="000000"/>
          <w:szCs w:val="22"/>
          <w:lang w:eastAsia="ja-JP"/>
        </w:rPr>
        <w:t xml:space="preserve"> II</w:t>
      </w:r>
    </w:p>
    <w:p w14:paraId="05723DF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mbdemoos@gmail.com</w:t>
      </w:r>
    </w:p>
    <w:p w14:paraId="0AC10E52" w14:textId="77777777" w:rsidR="002601FA" w:rsidRPr="00B845AF" w:rsidRDefault="002601FA" w:rsidP="002601FA">
      <w:pPr>
        <w:rPr>
          <w:rFonts w:asciiTheme="minorHAnsi" w:eastAsiaTheme="minorEastAsia" w:hAnsiTheme="minorHAnsi" w:cstheme="minorHAnsi"/>
          <w:color w:val="000000"/>
          <w:szCs w:val="22"/>
          <w:lang w:eastAsia="ja-JP"/>
        </w:rPr>
      </w:pPr>
    </w:p>
    <w:p w14:paraId="2B4F197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Rosanna Bernadette B. Contreras </w:t>
      </w:r>
    </w:p>
    <w:p w14:paraId="14917EA5" w14:textId="4A554E11"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Socsksargen</w:t>
      </w:r>
      <w:proofErr w:type="spellEnd"/>
      <w:r w:rsidRPr="00B845AF">
        <w:rPr>
          <w:rFonts w:asciiTheme="minorHAnsi" w:hAnsiTheme="minorHAnsi" w:cstheme="minorHAnsi"/>
          <w:color w:val="000000"/>
          <w:szCs w:val="22"/>
          <w:lang w:eastAsia="ja-JP"/>
        </w:rPr>
        <w:t xml:space="preserve"> Federation </w:t>
      </w:r>
      <w:r w:rsidR="00B845AF" w:rsidRPr="00B845AF">
        <w:rPr>
          <w:rFonts w:asciiTheme="minorHAnsi" w:hAnsiTheme="minorHAnsi" w:cstheme="minorHAnsi"/>
          <w:color w:val="000000"/>
          <w:szCs w:val="22"/>
          <w:lang w:eastAsia="ja-JP"/>
        </w:rPr>
        <w:t>of Fishing</w:t>
      </w:r>
      <w:r w:rsidRPr="00B845AF">
        <w:rPr>
          <w:rFonts w:asciiTheme="minorHAnsi" w:hAnsiTheme="minorHAnsi" w:cstheme="minorHAnsi"/>
          <w:color w:val="000000"/>
          <w:szCs w:val="22"/>
          <w:lang w:eastAsia="ja-JP"/>
        </w:rPr>
        <w:t xml:space="preserve"> and Allied Industries, Inc.</w:t>
      </w:r>
    </w:p>
    <w:p w14:paraId="2CB436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Executive Director</w:t>
      </w:r>
    </w:p>
    <w:p w14:paraId="188FBCC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fishing.federation@gmail.com</w:t>
      </w:r>
    </w:p>
    <w:p w14:paraId="5D4938D7" w14:textId="77777777" w:rsidR="002601FA" w:rsidRPr="00B845AF" w:rsidRDefault="002601FA" w:rsidP="002601FA">
      <w:pPr>
        <w:rPr>
          <w:rFonts w:asciiTheme="minorHAnsi" w:eastAsiaTheme="minorEastAsia" w:hAnsiTheme="minorHAnsi" w:cstheme="minorHAnsi"/>
          <w:color w:val="000000"/>
          <w:szCs w:val="22"/>
          <w:lang w:eastAsia="ja-JP"/>
        </w:rPr>
      </w:pPr>
    </w:p>
    <w:p w14:paraId="5D166C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Suzette B. Barcoma</w:t>
      </w:r>
    </w:p>
    <w:p w14:paraId="404176B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Fisheries Research and Development Institute</w:t>
      </w:r>
    </w:p>
    <w:p w14:paraId="2A73CE9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Science Research Specialist</w:t>
      </w:r>
    </w:p>
    <w:p w14:paraId="37C9C36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suzettebarcoma@gmail.com</w:t>
      </w:r>
    </w:p>
    <w:p w14:paraId="525A6856" w14:textId="77777777" w:rsidR="002601FA" w:rsidRPr="00B845AF" w:rsidRDefault="002601FA" w:rsidP="002601FA">
      <w:pPr>
        <w:rPr>
          <w:rFonts w:asciiTheme="minorHAnsi" w:eastAsiaTheme="minorEastAsia" w:hAnsiTheme="minorHAnsi" w:cstheme="minorHAnsi"/>
          <w:color w:val="000000"/>
          <w:szCs w:val="22"/>
          <w:lang w:eastAsia="ja-JP"/>
        </w:rPr>
      </w:pPr>
    </w:p>
    <w:p w14:paraId="7161993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REPUBLIC OF KOREA</w:t>
      </w:r>
    </w:p>
    <w:p w14:paraId="48408583" w14:textId="77777777" w:rsidR="002601FA" w:rsidRPr="00B845AF" w:rsidRDefault="002601FA" w:rsidP="002601FA">
      <w:pPr>
        <w:rPr>
          <w:rFonts w:asciiTheme="minorHAnsi" w:eastAsiaTheme="minorEastAsia" w:hAnsiTheme="minorHAnsi" w:cstheme="minorHAnsi"/>
          <w:color w:val="000000"/>
          <w:szCs w:val="22"/>
          <w:lang w:eastAsia="ja-JP"/>
        </w:rPr>
      </w:pPr>
    </w:p>
    <w:p w14:paraId="6E4ED006"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Hawsun</w:t>
      </w:r>
      <w:proofErr w:type="spellEnd"/>
      <w:r w:rsidRPr="00B845AF">
        <w:rPr>
          <w:rFonts w:asciiTheme="minorHAnsi" w:hAnsiTheme="minorHAnsi" w:cstheme="minorHAnsi"/>
          <w:b/>
          <w:bCs/>
          <w:color w:val="000000"/>
          <w:szCs w:val="22"/>
          <w:lang w:eastAsia="ja-JP"/>
        </w:rPr>
        <w:t xml:space="preserve"> Sohn</w:t>
      </w:r>
    </w:p>
    <w:p w14:paraId="608F63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Institute of Fisheries Science, Korea</w:t>
      </w:r>
    </w:p>
    <w:p w14:paraId="526BF3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sohn.hawsun@gmail.com</w:t>
      </w:r>
    </w:p>
    <w:p w14:paraId="125EAC26" w14:textId="77777777" w:rsidR="002601FA" w:rsidRPr="00B845AF" w:rsidRDefault="002601FA" w:rsidP="002601FA">
      <w:pPr>
        <w:rPr>
          <w:rFonts w:asciiTheme="minorHAnsi" w:eastAsiaTheme="minorEastAsia" w:hAnsiTheme="minorHAnsi" w:cstheme="minorHAnsi"/>
          <w:color w:val="000000"/>
          <w:szCs w:val="22"/>
          <w:lang w:eastAsia="ja-JP"/>
        </w:rPr>
      </w:pPr>
    </w:p>
    <w:p w14:paraId="54FEEA7F"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Heewon</w:t>
      </w:r>
      <w:proofErr w:type="spellEnd"/>
      <w:r w:rsidRPr="00B845AF">
        <w:rPr>
          <w:rFonts w:asciiTheme="minorHAnsi" w:hAnsiTheme="minorHAnsi" w:cstheme="minorHAnsi"/>
          <w:b/>
          <w:bCs/>
          <w:color w:val="000000"/>
          <w:szCs w:val="22"/>
          <w:lang w:eastAsia="ja-JP"/>
        </w:rPr>
        <w:t xml:space="preserve"> Park</w:t>
      </w:r>
    </w:p>
    <w:p w14:paraId="5276E8E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Institute of Fisheries Science</w:t>
      </w:r>
    </w:p>
    <w:p w14:paraId="36D276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Scientist</w:t>
      </w:r>
    </w:p>
    <w:p w14:paraId="432A6AF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heewon81@korea.kr</w:t>
      </w:r>
    </w:p>
    <w:p w14:paraId="4D55ACDD" w14:textId="77777777" w:rsidR="002601FA" w:rsidRPr="00B845AF" w:rsidRDefault="002601FA" w:rsidP="002601FA">
      <w:pPr>
        <w:rPr>
          <w:rFonts w:asciiTheme="minorHAnsi" w:eastAsiaTheme="minorEastAsia" w:hAnsiTheme="minorHAnsi" w:cstheme="minorHAnsi"/>
          <w:color w:val="000000"/>
          <w:szCs w:val="22"/>
          <w:lang w:eastAsia="ja-JP"/>
        </w:rPr>
      </w:pPr>
    </w:p>
    <w:p w14:paraId="6AD58A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lastRenderedPageBreak/>
        <w:t>Jihyun Eom</w:t>
      </w:r>
    </w:p>
    <w:p w14:paraId="1D21DB4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Institute of Fisheries Science</w:t>
      </w:r>
    </w:p>
    <w:p w14:paraId="36E5F5D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Assistance Researcher</w:t>
      </w:r>
    </w:p>
    <w:p w14:paraId="2F159BD7" w14:textId="77777777" w:rsidR="002601FA" w:rsidRPr="00B845AF" w:rsidRDefault="002601FA" w:rsidP="002601FA">
      <w:pPr>
        <w:rPr>
          <w:rFonts w:asciiTheme="minorHAnsi" w:eastAsiaTheme="minorEastAsia" w:hAnsiTheme="minorHAnsi" w:cstheme="minorHAnsi"/>
          <w:color w:val="000000"/>
          <w:szCs w:val="22"/>
          <w:lang w:eastAsia="ja-JP"/>
        </w:rPr>
      </w:pPr>
    </w:p>
    <w:p w14:paraId="6B08534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Jiwon Kim</w:t>
      </w:r>
    </w:p>
    <w:p w14:paraId="3970CD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Korea Overseas Fisheries Association</w:t>
      </w:r>
    </w:p>
    <w:p w14:paraId="377A0CC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Staff</w:t>
      </w:r>
    </w:p>
    <w:p w14:paraId="60492B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jwkim@kosfa.org</w:t>
      </w:r>
    </w:p>
    <w:p w14:paraId="7213B51C" w14:textId="77777777" w:rsidR="002601FA" w:rsidRPr="00B845AF" w:rsidRDefault="002601FA" w:rsidP="002601FA">
      <w:pPr>
        <w:rPr>
          <w:rFonts w:asciiTheme="minorHAnsi" w:eastAsiaTheme="minorEastAsia" w:hAnsiTheme="minorHAnsi" w:cstheme="minorHAnsi"/>
          <w:color w:val="000000"/>
          <w:szCs w:val="22"/>
          <w:lang w:eastAsia="ja-JP"/>
        </w:rPr>
      </w:pPr>
    </w:p>
    <w:p w14:paraId="7917DC1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Mi Kyung Lee</w:t>
      </w:r>
    </w:p>
    <w:p w14:paraId="236283C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Institute of Fisheries Science</w:t>
      </w:r>
    </w:p>
    <w:p w14:paraId="1565DF5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Scientist</w:t>
      </w:r>
    </w:p>
    <w:p w14:paraId="00356D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ccmklee@korea.kr</w:t>
      </w:r>
    </w:p>
    <w:p w14:paraId="1CAE6635" w14:textId="77777777" w:rsidR="002601FA" w:rsidRPr="00B845AF" w:rsidRDefault="002601FA" w:rsidP="002601FA">
      <w:pPr>
        <w:rPr>
          <w:rFonts w:asciiTheme="minorHAnsi" w:eastAsiaTheme="minorEastAsia" w:hAnsiTheme="minorHAnsi" w:cstheme="minorHAnsi"/>
          <w:color w:val="000000"/>
          <w:szCs w:val="22"/>
          <w:lang w:eastAsia="ja-JP"/>
        </w:rPr>
      </w:pPr>
    </w:p>
    <w:p w14:paraId="6993CD2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Na-</w:t>
      </w:r>
      <w:proofErr w:type="spellStart"/>
      <w:r w:rsidRPr="00B845AF">
        <w:rPr>
          <w:rFonts w:asciiTheme="minorHAnsi" w:hAnsiTheme="minorHAnsi" w:cstheme="minorHAnsi"/>
          <w:b/>
          <w:bCs/>
          <w:color w:val="000000"/>
          <w:szCs w:val="22"/>
          <w:lang w:eastAsia="ja-JP"/>
        </w:rPr>
        <w:t>yun</w:t>
      </w:r>
      <w:proofErr w:type="spellEnd"/>
      <w:r w:rsidRPr="00B845AF">
        <w:rPr>
          <w:rFonts w:asciiTheme="minorHAnsi" w:hAnsiTheme="minorHAnsi" w:cstheme="minorHAnsi"/>
          <w:b/>
          <w:bCs/>
          <w:color w:val="000000"/>
          <w:szCs w:val="22"/>
          <w:lang w:eastAsia="ja-JP"/>
        </w:rPr>
        <w:t>, Tak</w:t>
      </w:r>
    </w:p>
    <w:p w14:paraId="66334256"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Daehae</w:t>
      </w:r>
      <w:proofErr w:type="spellEnd"/>
      <w:r w:rsidRPr="00B845AF">
        <w:rPr>
          <w:rFonts w:asciiTheme="minorHAnsi" w:hAnsiTheme="minorHAnsi" w:cstheme="minorHAnsi"/>
          <w:color w:val="000000"/>
          <w:szCs w:val="22"/>
          <w:lang w:eastAsia="ja-JP"/>
        </w:rPr>
        <w:t xml:space="preserve"> Fisheries Co., Ltd.</w:t>
      </w:r>
    </w:p>
    <w:p w14:paraId="5784DB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Manager</w:t>
      </w:r>
    </w:p>
    <w:p w14:paraId="1EDCD3D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daehaefc@outlook.com</w:t>
      </w:r>
    </w:p>
    <w:p w14:paraId="18B7968E" w14:textId="77777777" w:rsidR="002601FA" w:rsidRPr="00B845AF" w:rsidRDefault="002601FA" w:rsidP="002601FA">
      <w:pPr>
        <w:rPr>
          <w:rFonts w:asciiTheme="minorHAnsi" w:eastAsiaTheme="minorEastAsia" w:hAnsiTheme="minorHAnsi" w:cstheme="minorHAnsi"/>
          <w:color w:val="000000"/>
          <w:szCs w:val="22"/>
          <w:lang w:eastAsia="ja-JP"/>
        </w:rPr>
      </w:pPr>
    </w:p>
    <w:p w14:paraId="561788F2"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Sanggyu</w:t>
      </w:r>
      <w:proofErr w:type="spellEnd"/>
      <w:r w:rsidRPr="00B845AF">
        <w:rPr>
          <w:rFonts w:asciiTheme="minorHAnsi" w:hAnsiTheme="minorHAnsi" w:cstheme="minorHAnsi"/>
          <w:b/>
          <w:bCs/>
          <w:color w:val="000000"/>
          <w:szCs w:val="22"/>
          <w:lang w:eastAsia="ja-JP"/>
        </w:rPr>
        <w:t xml:space="preserve"> Shin</w:t>
      </w:r>
    </w:p>
    <w:p w14:paraId="5FED911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Institute of Fisheries Science, Korea</w:t>
      </w:r>
    </w:p>
    <w:p w14:paraId="37E31B4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Advisor</w:t>
      </w:r>
    </w:p>
    <w:p w14:paraId="1E9983E7" w14:textId="77777777" w:rsidR="002601FA" w:rsidRPr="00B845AF" w:rsidRDefault="002601FA" w:rsidP="002601FA">
      <w:pPr>
        <w:rPr>
          <w:rFonts w:asciiTheme="minorHAnsi" w:eastAsiaTheme="minorEastAsia" w:hAnsiTheme="minorHAnsi" w:cstheme="minorHAnsi"/>
          <w:color w:val="000000"/>
          <w:szCs w:val="22"/>
          <w:lang w:eastAsia="ja-JP"/>
        </w:rPr>
      </w:pPr>
    </w:p>
    <w:p w14:paraId="0265EEFE"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Sangjin</w:t>
      </w:r>
      <w:proofErr w:type="spellEnd"/>
      <w:r w:rsidRPr="00B845AF">
        <w:rPr>
          <w:rFonts w:asciiTheme="minorHAnsi" w:hAnsiTheme="minorHAnsi" w:cstheme="minorHAnsi"/>
          <w:b/>
          <w:bCs/>
          <w:color w:val="000000"/>
          <w:szCs w:val="22"/>
          <w:lang w:eastAsia="ja-JP"/>
        </w:rPr>
        <w:t xml:space="preserve"> Baek</w:t>
      </w:r>
    </w:p>
    <w:p w14:paraId="1B8E30F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Korea Overseas Fisheries Association</w:t>
      </w:r>
    </w:p>
    <w:p w14:paraId="38F9FB8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Manager</w:t>
      </w:r>
    </w:p>
    <w:p w14:paraId="6934566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sjbaek@kosfa.org</w:t>
      </w:r>
    </w:p>
    <w:p w14:paraId="17E42CED" w14:textId="77777777" w:rsidR="002601FA" w:rsidRPr="00B845AF" w:rsidRDefault="002601FA" w:rsidP="002601FA">
      <w:pPr>
        <w:rPr>
          <w:rFonts w:asciiTheme="minorHAnsi" w:eastAsiaTheme="minorEastAsia" w:hAnsiTheme="minorHAnsi" w:cstheme="minorHAnsi"/>
          <w:color w:val="000000"/>
          <w:szCs w:val="22"/>
          <w:lang w:eastAsia="ja-JP"/>
        </w:rPr>
      </w:pPr>
    </w:p>
    <w:p w14:paraId="279C42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REPUBLIC OF MARSHALL ISLANDS</w:t>
      </w:r>
    </w:p>
    <w:p w14:paraId="30B805F4" w14:textId="77777777" w:rsidR="002601FA" w:rsidRPr="00B845AF" w:rsidRDefault="002601FA" w:rsidP="002601FA">
      <w:pPr>
        <w:rPr>
          <w:rFonts w:asciiTheme="minorHAnsi" w:eastAsiaTheme="minorEastAsia" w:hAnsiTheme="minorHAnsi" w:cstheme="minorHAnsi"/>
          <w:color w:val="000000"/>
          <w:szCs w:val="22"/>
          <w:lang w:eastAsia="ja-JP"/>
        </w:rPr>
      </w:pPr>
    </w:p>
    <w:p w14:paraId="1EC920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Beau Bigler</w:t>
      </w:r>
    </w:p>
    <w:p w14:paraId="24E55E6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Marshall Islands Marine Resources Authority</w:t>
      </w:r>
    </w:p>
    <w:p w14:paraId="0E647F4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Chief Fisheries Officer </w:t>
      </w:r>
    </w:p>
    <w:p w14:paraId="4072733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bbigler@mimra.com</w:t>
      </w:r>
    </w:p>
    <w:p w14:paraId="01BA20CE" w14:textId="77777777" w:rsidR="002601FA" w:rsidRPr="00B845AF" w:rsidRDefault="002601FA" w:rsidP="002601FA">
      <w:pPr>
        <w:rPr>
          <w:rFonts w:asciiTheme="minorHAnsi" w:eastAsiaTheme="minorEastAsia" w:hAnsiTheme="minorHAnsi" w:cstheme="minorHAnsi"/>
          <w:color w:val="000000"/>
          <w:szCs w:val="22"/>
          <w:lang w:eastAsia="ja-JP"/>
        </w:rPr>
      </w:pPr>
    </w:p>
    <w:p w14:paraId="5C8937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Berry Muller</w:t>
      </w:r>
    </w:p>
    <w:p w14:paraId="17338F0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Marshall Islands Marine Resources Authority</w:t>
      </w:r>
    </w:p>
    <w:p w14:paraId="30033A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Director - Oceanic and Industrial Affairs Division</w:t>
      </w:r>
    </w:p>
    <w:p w14:paraId="06E7AE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bmuller@mimra.com</w:t>
      </w:r>
    </w:p>
    <w:p w14:paraId="0124A71F" w14:textId="77777777" w:rsidR="002601FA" w:rsidRPr="00B845AF" w:rsidRDefault="002601FA" w:rsidP="002601FA">
      <w:pPr>
        <w:rPr>
          <w:rFonts w:asciiTheme="minorHAnsi" w:eastAsiaTheme="minorEastAsia" w:hAnsiTheme="minorHAnsi" w:cstheme="minorHAnsi"/>
          <w:color w:val="000000"/>
          <w:szCs w:val="22"/>
          <w:lang w:eastAsia="ja-JP"/>
        </w:rPr>
      </w:pPr>
    </w:p>
    <w:p w14:paraId="762C114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Dike Poznanski</w:t>
      </w:r>
    </w:p>
    <w:p w14:paraId="13A083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Marshall Islands Marine Resources Authority</w:t>
      </w:r>
    </w:p>
    <w:p w14:paraId="0FF1EF1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Chief Officer</w:t>
      </w:r>
    </w:p>
    <w:p w14:paraId="4F6E36F2" w14:textId="77777777" w:rsidR="002601FA" w:rsidRPr="00B845AF" w:rsidRDefault="002601FA" w:rsidP="002601FA">
      <w:pPr>
        <w:rPr>
          <w:rFonts w:asciiTheme="minorHAnsi" w:eastAsiaTheme="minorEastAsia" w:hAnsiTheme="minorHAnsi" w:cstheme="minorHAnsi"/>
          <w:color w:val="000000"/>
          <w:szCs w:val="22"/>
          <w:lang w:eastAsia="ja-JP"/>
        </w:rPr>
      </w:pPr>
    </w:p>
    <w:p w14:paraId="523EC9D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Francisco Blaha</w:t>
      </w:r>
    </w:p>
    <w:p w14:paraId="4DD2147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MIMRA</w:t>
      </w:r>
    </w:p>
    <w:p w14:paraId="0F6837DB"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Ofsshore</w:t>
      </w:r>
      <w:proofErr w:type="spellEnd"/>
      <w:r w:rsidRPr="00B845AF">
        <w:rPr>
          <w:rFonts w:asciiTheme="minorHAnsi" w:hAnsiTheme="minorHAnsi" w:cstheme="minorHAnsi"/>
          <w:color w:val="000000"/>
          <w:szCs w:val="22"/>
          <w:lang w:eastAsia="ja-JP"/>
        </w:rPr>
        <w:t xml:space="preserve"> Fisheries Advisor</w:t>
      </w:r>
    </w:p>
    <w:p w14:paraId="2C3394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fblaha@mimra.com</w:t>
      </w:r>
    </w:p>
    <w:p w14:paraId="51D467A2" w14:textId="77777777" w:rsidR="002601FA" w:rsidRPr="00B845AF" w:rsidRDefault="002601FA" w:rsidP="002601FA">
      <w:pPr>
        <w:rPr>
          <w:rFonts w:asciiTheme="minorHAnsi" w:eastAsiaTheme="minorEastAsia" w:hAnsiTheme="minorHAnsi" w:cstheme="minorHAnsi"/>
          <w:color w:val="000000"/>
          <w:szCs w:val="22"/>
          <w:lang w:eastAsia="ja-JP"/>
        </w:rPr>
      </w:pPr>
    </w:p>
    <w:p w14:paraId="5C98A51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SAMOA</w:t>
      </w:r>
    </w:p>
    <w:p w14:paraId="67024B21" w14:textId="77777777" w:rsidR="002601FA" w:rsidRPr="00B845AF" w:rsidRDefault="002601FA" w:rsidP="002601FA">
      <w:pPr>
        <w:rPr>
          <w:rFonts w:asciiTheme="minorHAnsi" w:eastAsiaTheme="minorEastAsia" w:hAnsiTheme="minorHAnsi" w:cstheme="minorHAnsi"/>
          <w:color w:val="000000"/>
          <w:szCs w:val="22"/>
          <w:lang w:eastAsia="ja-JP"/>
        </w:rPr>
      </w:pPr>
    </w:p>
    <w:p w14:paraId="5E0920C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Betty Sailivale</w:t>
      </w:r>
    </w:p>
    <w:p w14:paraId="1F3B72C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MAF</w:t>
      </w:r>
    </w:p>
    <w:p w14:paraId="46AFC34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5FE3DD2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betty.sailivale@maf.gov.ws</w:t>
      </w:r>
    </w:p>
    <w:p w14:paraId="43A7F0E4" w14:textId="77777777" w:rsidR="002601FA" w:rsidRPr="00B845AF" w:rsidRDefault="002601FA" w:rsidP="002601FA">
      <w:pPr>
        <w:rPr>
          <w:rFonts w:asciiTheme="minorHAnsi" w:eastAsiaTheme="minorEastAsia" w:hAnsiTheme="minorHAnsi" w:cstheme="minorHAnsi"/>
          <w:color w:val="000000"/>
          <w:szCs w:val="22"/>
          <w:lang w:eastAsia="ja-JP"/>
        </w:rPr>
      </w:pPr>
    </w:p>
    <w:p w14:paraId="1CD13E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Junior Ajawas</w:t>
      </w:r>
    </w:p>
    <w:p w14:paraId="226544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 and Agriculture</w:t>
      </w:r>
    </w:p>
    <w:p w14:paraId="21F667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officer, Observer Coordinator </w:t>
      </w:r>
    </w:p>
    <w:p w14:paraId="04E4768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junior.ajawas@maf.gov.ws</w:t>
      </w:r>
    </w:p>
    <w:p w14:paraId="4BA3857C" w14:textId="77777777" w:rsidR="002601FA" w:rsidRPr="00B845AF" w:rsidRDefault="002601FA" w:rsidP="002601FA">
      <w:pPr>
        <w:rPr>
          <w:rFonts w:asciiTheme="minorHAnsi" w:eastAsiaTheme="minorEastAsia" w:hAnsiTheme="minorHAnsi" w:cstheme="minorHAnsi"/>
          <w:color w:val="000000"/>
          <w:szCs w:val="22"/>
          <w:lang w:eastAsia="ja-JP"/>
        </w:rPr>
      </w:pPr>
    </w:p>
    <w:p w14:paraId="5B44D6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Moli Amosa Iakopo</w:t>
      </w:r>
    </w:p>
    <w:p w14:paraId="7AE931F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Agriculture Fisheries</w:t>
      </w:r>
    </w:p>
    <w:p w14:paraId="5F2E21F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Officer</w:t>
      </w:r>
    </w:p>
    <w:p w14:paraId="07DA407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moli.iakopo@maf.gov.ws</w:t>
      </w:r>
    </w:p>
    <w:p w14:paraId="5AE834D4" w14:textId="77777777" w:rsidR="002601FA" w:rsidRPr="00B845AF" w:rsidRDefault="002601FA" w:rsidP="002601FA">
      <w:pPr>
        <w:rPr>
          <w:rFonts w:asciiTheme="minorHAnsi" w:eastAsiaTheme="minorEastAsia" w:hAnsiTheme="minorHAnsi" w:cstheme="minorHAnsi"/>
          <w:color w:val="000000"/>
          <w:szCs w:val="22"/>
          <w:lang w:eastAsia="ja-JP"/>
        </w:rPr>
      </w:pPr>
    </w:p>
    <w:p w14:paraId="193F7ED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Roseti Tile Imo</w:t>
      </w:r>
    </w:p>
    <w:p w14:paraId="33F0A4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Agriculture and Fisheries</w:t>
      </w:r>
    </w:p>
    <w:p w14:paraId="31D8A3B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Chief Executive Officer</w:t>
      </w:r>
    </w:p>
    <w:p w14:paraId="5F0DF6E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roseti.imo@maf.gov.ws</w:t>
      </w:r>
    </w:p>
    <w:p w14:paraId="35C6D291" w14:textId="77777777" w:rsidR="002601FA" w:rsidRPr="00B845AF" w:rsidRDefault="002601FA" w:rsidP="002601FA">
      <w:pPr>
        <w:rPr>
          <w:rFonts w:asciiTheme="minorHAnsi" w:eastAsiaTheme="minorEastAsia" w:hAnsiTheme="minorHAnsi" w:cstheme="minorHAnsi"/>
          <w:color w:val="000000"/>
          <w:szCs w:val="22"/>
          <w:lang w:eastAsia="ja-JP"/>
        </w:rPr>
      </w:pPr>
    </w:p>
    <w:p w14:paraId="2788D0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Serafina Ah </w:t>
      </w:r>
      <w:proofErr w:type="spellStart"/>
      <w:r w:rsidRPr="00B845AF">
        <w:rPr>
          <w:rFonts w:asciiTheme="minorHAnsi" w:hAnsiTheme="minorHAnsi" w:cstheme="minorHAnsi"/>
          <w:b/>
          <w:bCs/>
          <w:color w:val="000000"/>
          <w:szCs w:val="22"/>
          <w:lang w:eastAsia="ja-JP"/>
        </w:rPr>
        <w:t>fook</w:t>
      </w:r>
      <w:proofErr w:type="spellEnd"/>
    </w:p>
    <w:p w14:paraId="46BF374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Agriculture &amp; Fisheries (Fisheries Division)</w:t>
      </w:r>
    </w:p>
    <w:p w14:paraId="30B9048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Senior Fisheries Officer </w:t>
      </w:r>
    </w:p>
    <w:p w14:paraId="44EF5F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serafina.ahfook@maf.gov.ws</w:t>
      </w:r>
    </w:p>
    <w:p w14:paraId="2E1F1FF0" w14:textId="77777777" w:rsidR="002601FA" w:rsidRPr="00B845AF" w:rsidRDefault="002601FA" w:rsidP="002601FA">
      <w:pPr>
        <w:rPr>
          <w:rFonts w:asciiTheme="minorHAnsi" w:eastAsiaTheme="minorEastAsia" w:hAnsiTheme="minorHAnsi" w:cstheme="minorHAnsi"/>
          <w:color w:val="000000"/>
          <w:szCs w:val="22"/>
          <w:lang w:eastAsia="ja-JP"/>
        </w:rPr>
      </w:pPr>
    </w:p>
    <w:p w14:paraId="7B191153"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Summyrossie</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Paselu</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Nonoa</w:t>
      </w:r>
      <w:proofErr w:type="spellEnd"/>
    </w:p>
    <w:p w14:paraId="0BBAA6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Agriculture and Fisheries</w:t>
      </w:r>
    </w:p>
    <w:p w14:paraId="12A08D7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345F902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summyrossie.nonoa@maf.gov.ws</w:t>
      </w:r>
    </w:p>
    <w:p w14:paraId="512B03E9" w14:textId="77777777" w:rsidR="002601FA" w:rsidRPr="00B845AF" w:rsidRDefault="002601FA" w:rsidP="002601FA">
      <w:pPr>
        <w:rPr>
          <w:rFonts w:asciiTheme="minorHAnsi" w:eastAsiaTheme="minorEastAsia" w:hAnsiTheme="minorHAnsi" w:cstheme="minorHAnsi"/>
          <w:color w:val="000000"/>
          <w:szCs w:val="22"/>
          <w:lang w:eastAsia="ja-JP"/>
        </w:rPr>
      </w:pPr>
    </w:p>
    <w:p w14:paraId="7A41DB4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SOLOMON ISLANDS</w:t>
      </w:r>
    </w:p>
    <w:p w14:paraId="4B85561B" w14:textId="77777777" w:rsidR="002601FA" w:rsidRPr="00B845AF" w:rsidRDefault="002601FA" w:rsidP="002601FA">
      <w:pPr>
        <w:rPr>
          <w:rFonts w:asciiTheme="minorHAnsi" w:eastAsiaTheme="minorEastAsia" w:hAnsiTheme="minorHAnsi" w:cstheme="minorHAnsi"/>
          <w:color w:val="000000"/>
          <w:szCs w:val="22"/>
          <w:lang w:eastAsia="ja-JP"/>
        </w:rPr>
      </w:pPr>
    </w:p>
    <w:p w14:paraId="55452FA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James Teri</w:t>
      </w:r>
    </w:p>
    <w:p w14:paraId="5A41544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 and Marine Resources</w:t>
      </w:r>
    </w:p>
    <w:p w14:paraId="174B46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Secretary Technical</w:t>
      </w:r>
    </w:p>
    <w:p w14:paraId="3DE4BE4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jteri@fisheries.gov.sb</w:t>
      </w:r>
    </w:p>
    <w:p w14:paraId="0B64CE44" w14:textId="77777777" w:rsidR="002601FA" w:rsidRPr="00B845AF" w:rsidRDefault="002601FA" w:rsidP="002601FA">
      <w:pPr>
        <w:rPr>
          <w:rFonts w:asciiTheme="minorHAnsi" w:eastAsiaTheme="minorEastAsia" w:hAnsiTheme="minorHAnsi" w:cstheme="minorHAnsi"/>
          <w:color w:val="000000"/>
          <w:szCs w:val="22"/>
          <w:lang w:eastAsia="ja-JP"/>
        </w:rPr>
      </w:pPr>
    </w:p>
    <w:p w14:paraId="3549AEB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Charlyn Golu</w:t>
      </w:r>
    </w:p>
    <w:p w14:paraId="66C07C2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 and Marine Resources</w:t>
      </w:r>
    </w:p>
    <w:p w14:paraId="016867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Director Offshore</w:t>
      </w:r>
    </w:p>
    <w:p w14:paraId="1D5FDF7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gcharlyn@fisheries.gov.sb</w:t>
      </w:r>
    </w:p>
    <w:p w14:paraId="020D18CD" w14:textId="77777777" w:rsidR="002601FA" w:rsidRPr="00B845AF" w:rsidRDefault="002601FA" w:rsidP="002601FA">
      <w:pPr>
        <w:rPr>
          <w:rFonts w:asciiTheme="minorHAnsi" w:eastAsiaTheme="minorEastAsia" w:hAnsiTheme="minorHAnsi" w:cstheme="minorHAnsi"/>
          <w:color w:val="000000"/>
          <w:szCs w:val="22"/>
          <w:lang w:eastAsia="ja-JP"/>
        </w:rPr>
      </w:pPr>
    </w:p>
    <w:p w14:paraId="4B7D28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Claudius Ralph Halumwane</w:t>
      </w:r>
    </w:p>
    <w:p w14:paraId="1B83FB4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Ministry of Fisheries and Marine Resources</w:t>
      </w:r>
    </w:p>
    <w:p w14:paraId="314AE1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Chief Fisheries </w:t>
      </w:r>
      <w:proofErr w:type="gramStart"/>
      <w:r w:rsidRPr="00B845AF">
        <w:rPr>
          <w:rFonts w:asciiTheme="minorHAnsi" w:hAnsiTheme="minorHAnsi" w:cstheme="minorHAnsi"/>
          <w:color w:val="000000"/>
          <w:szCs w:val="22"/>
          <w:lang w:eastAsia="ja-JP"/>
        </w:rPr>
        <w:t>Officer-Statistics</w:t>
      </w:r>
      <w:proofErr w:type="gramEnd"/>
    </w:p>
    <w:p w14:paraId="20AB73C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chalumwane@fisheries.gov.sb</w:t>
      </w:r>
    </w:p>
    <w:p w14:paraId="6C854307" w14:textId="77777777" w:rsidR="002601FA" w:rsidRPr="00B845AF" w:rsidRDefault="002601FA" w:rsidP="002601FA">
      <w:pPr>
        <w:rPr>
          <w:rFonts w:asciiTheme="minorHAnsi" w:eastAsiaTheme="minorEastAsia" w:hAnsiTheme="minorHAnsi" w:cstheme="minorHAnsi"/>
          <w:color w:val="000000"/>
          <w:szCs w:val="22"/>
          <w:lang w:eastAsia="ja-JP"/>
        </w:rPr>
      </w:pPr>
    </w:p>
    <w:p w14:paraId="4F69440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CHINESE TAIPEI</w:t>
      </w:r>
    </w:p>
    <w:p w14:paraId="14647EC4" w14:textId="77777777" w:rsidR="002601FA" w:rsidRPr="00B845AF" w:rsidRDefault="002601FA" w:rsidP="002601FA">
      <w:pPr>
        <w:rPr>
          <w:rFonts w:asciiTheme="minorHAnsi" w:eastAsiaTheme="minorEastAsia" w:hAnsiTheme="minorHAnsi" w:cstheme="minorHAnsi"/>
          <w:color w:val="000000"/>
          <w:szCs w:val="22"/>
          <w:lang w:eastAsia="ja-JP"/>
        </w:rPr>
      </w:pPr>
    </w:p>
    <w:p w14:paraId="6E5FE91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Ren-Fen Wu</w:t>
      </w:r>
    </w:p>
    <w:p w14:paraId="707DE08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Overseas Fisheries Development Council</w:t>
      </w:r>
    </w:p>
    <w:p w14:paraId="281CB99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 of Information Division</w:t>
      </w:r>
    </w:p>
    <w:p w14:paraId="7109E35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fan@ofdc.org.tw</w:t>
      </w:r>
    </w:p>
    <w:p w14:paraId="2363BE53" w14:textId="77777777" w:rsidR="002601FA" w:rsidRPr="00B845AF" w:rsidRDefault="002601FA" w:rsidP="002601FA">
      <w:pPr>
        <w:rPr>
          <w:rFonts w:asciiTheme="minorHAnsi" w:eastAsiaTheme="minorEastAsia" w:hAnsiTheme="minorHAnsi" w:cstheme="minorHAnsi"/>
          <w:color w:val="000000"/>
          <w:szCs w:val="22"/>
          <w:lang w:eastAsia="ja-JP"/>
        </w:rPr>
      </w:pPr>
    </w:p>
    <w:p w14:paraId="44894CB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Shui-Kai Chang</w:t>
      </w:r>
    </w:p>
    <w:p w14:paraId="62501AA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Sun Yat-sen University</w:t>
      </w:r>
    </w:p>
    <w:p w14:paraId="361AAE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Professor</w:t>
      </w:r>
    </w:p>
    <w:p w14:paraId="389672A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skchang@faculty.nsysu.edu.tw</w:t>
      </w:r>
    </w:p>
    <w:p w14:paraId="7EB8CAD3" w14:textId="77777777" w:rsidR="002601FA" w:rsidRPr="00B845AF" w:rsidRDefault="002601FA" w:rsidP="002601FA">
      <w:pPr>
        <w:rPr>
          <w:rFonts w:asciiTheme="minorHAnsi" w:eastAsiaTheme="minorEastAsia" w:hAnsiTheme="minorHAnsi" w:cstheme="minorHAnsi"/>
          <w:color w:val="000000"/>
          <w:szCs w:val="22"/>
          <w:lang w:eastAsia="ja-JP"/>
        </w:rPr>
      </w:pPr>
    </w:p>
    <w:p w14:paraId="124A0B4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Yi-Jay Chang</w:t>
      </w:r>
    </w:p>
    <w:p w14:paraId="3D9F31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National Taiwan University</w:t>
      </w:r>
    </w:p>
    <w:p w14:paraId="1F37265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Associate Professor</w:t>
      </w:r>
    </w:p>
    <w:p w14:paraId="21C7B7D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yjchang@ntu.edu.tw</w:t>
      </w:r>
    </w:p>
    <w:p w14:paraId="05E4AF31" w14:textId="77777777" w:rsidR="002601FA" w:rsidRPr="00B845AF" w:rsidRDefault="002601FA" w:rsidP="002601FA">
      <w:pPr>
        <w:rPr>
          <w:rFonts w:asciiTheme="minorHAnsi" w:eastAsiaTheme="minorEastAsia" w:hAnsiTheme="minorHAnsi" w:cstheme="minorHAnsi"/>
          <w:color w:val="000000"/>
          <w:szCs w:val="22"/>
          <w:lang w:eastAsia="ja-JP"/>
        </w:rPr>
      </w:pPr>
    </w:p>
    <w:p w14:paraId="3121967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TONGA</w:t>
      </w:r>
    </w:p>
    <w:p w14:paraId="7096E8E9" w14:textId="77777777" w:rsidR="002601FA" w:rsidRPr="00B845AF" w:rsidRDefault="002601FA" w:rsidP="002601FA">
      <w:pPr>
        <w:rPr>
          <w:rFonts w:asciiTheme="minorHAnsi" w:eastAsiaTheme="minorEastAsia" w:hAnsiTheme="minorHAnsi" w:cstheme="minorHAnsi"/>
          <w:color w:val="000000"/>
          <w:szCs w:val="22"/>
          <w:lang w:eastAsia="ja-JP"/>
        </w:rPr>
      </w:pPr>
    </w:p>
    <w:p w14:paraId="687238F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Sione Vailala </w:t>
      </w:r>
      <w:proofErr w:type="spellStart"/>
      <w:r w:rsidRPr="00B845AF">
        <w:rPr>
          <w:rFonts w:asciiTheme="minorHAnsi" w:hAnsiTheme="minorHAnsi" w:cstheme="minorHAnsi"/>
          <w:b/>
          <w:bCs/>
          <w:color w:val="000000"/>
          <w:szCs w:val="22"/>
          <w:lang w:eastAsia="ja-JP"/>
        </w:rPr>
        <w:t>Matoto</w:t>
      </w:r>
      <w:proofErr w:type="spellEnd"/>
    </w:p>
    <w:p w14:paraId="010135F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w:t>
      </w:r>
    </w:p>
    <w:p w14:paraId="2680792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Chief Executive Officer - CEO, Head of Fisheries</w:t>
      </w:r>
    </w:p>
    <w:p w14:paraId="29B4DC5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vailalam@yahoo.com</w:t>
      </w:r>
    </w:p>
    <w:p w14:paraId="1A7678D3" w14:textId="77777777" w:rsidR="002601FA" w:rsidRPr="00B845AF" w:rsidRDefault="002601FA" w:rsidP="002601FA">
      <w:pPr>
        <w:rPr>
          <w:rFonts w:asciiTheme="minorHAnsi" w:eastAsiaTheme="minorEastAsia" w:hAnsiTheme="minorHAnsi" w:cstheme="minorHAnsi"/>
          <w:color w:val="000000"/>
          <w:szCs w:val="22"/>
          <w:lang w:eastAsia="ja-JP"/>
        </w:rPr>
      </w:pPr>
    </w:p>
    <w:p w14:paraId="4E05E5B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Lavinia Vaipuna</w:t>
      </w:r>
    </w:p>
    <w:p w14:paraId="534B9D3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w:t>
      </w:r>
    </w:p>
    <w:p w14:paraId="16DB8B2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7F75D2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nia.vaipuna@gmail.com</w:t>
      </w:r>
    </w:p>
    <w:p w14:paraId="66174E9B" w14:textId="77777777" w:rsidR="002601FA" w:rsidRPr="00B845AF" w:rsidRDefault="002601FA" w:rsidP="002601FA">
      <w:pPr>
        <w:rPr>
          <w:rFonts w:asciiTheme="minorHAnsi" w:eastAsiaTheme="minorEastAsia" w:hAnsiTheme="minorHAnsi" w:cstheme="minorHAnsi"/>
          <w:color w:val="000000"/>
          <w:szCs w:val="22"/>
          <w:lang w:eastAsia="ja-JP"/>
        </w:rPr>
      </w:pPr>
    </w:p>
    <w:p w14:paraId="272F7F6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Makeleta Malimali</w:t>
      </w:r>
    </w:p>
    <w:p w14:paraId="643860B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w:t>
      </w:r>
    </w:p>
    <w:p w14:paraId="61E46BA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1302F7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eneiomalimali@gmail.com</w:t>
      </w:r>
    </w:p>
    <w:p w14:paraId="73EE2E83" w14:textId="77777777" w:rsidR="002601FA" w:rsidRPr="00B845AF" w:rsidRDefault="002601FA" w:rsidP="002601FA">
      <w:pPr>
        <w:rPr>
          <w:rFonts w:asciiTheme="minorHAnsi" w:eastAsiaTheme="minorEastAsia" w:hAnsiTheme="minorHAnsi" w:cstheme="minorHAnsi"/>
          <w:color w:val="000000"/>
          <w:szCs w:val="22"/>
          <w:lang w:eastAsia="ja-JP"/>
        </w:rPr>
      </w:pPr>
    </w:p>
    <w:p w14:paraId="137B5B9E"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Matini</w:t>
      </w:r>
      <w:proofErr w:type="spellEnd"/>
      <w:r w:rsidRPr="00B845AF">
        <w:rPr>
          <w:rFonts w:asciiTheme="minorHAnsi" w:hAnsiTheme="minorHAnsi" w:cstheme="minorHAnsi"/>
          <w:b/>
          <w:bCs/>
          <w:color w:val="000000"/>
          <w:szCs w:val="22"/>
          <w:lang w:eastAsia="ja-JP"/>
        </w:rPr>
        <w:t xml:space="preserve"> Finau</w:t>
      </w:r>
    </w:p>
    <w:p w14:paraId="7E7671F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Ministry of Fisheries</w:t>
      </w:r>
    </w:p>
    <w:p w14:paraId="20FF326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CEO Fisheries Science Division</w:t>
      </w:r>
    </w:p>
    <w:p w14:paraId="793E58D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finau.martin@gmail.com</w:t>
      </w:r>
    </w:p>
    <w:p w14:paraId="67E2F064" w14:textId="77777777" w:rsidR="002601FA" w:rsidRPr="00B845AF" w:rsidRDefault="002601FA" w:rsidP="002601FA">
      <w:pPr>
        <w:rPr>
          <w:rFonts w:asciiTheme="minorHAnsi" w:eastAsiaTheme="minorEastAsia" w:hAnsiTheme="minorHAnsi" w:cstheme="minorHAnsi"/>
          <w:color w:val="000000"/>
          <w:szCs w:val="22"/>
          <w:lang w:eastAsia="ja-JP"/>
        </w:rPr>
      </w:pPr>
    </w:p>
    <w:p w14:paraId="082D26D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TUVALU</w:t>
      </w:r>
    </w:p>
    <w:p w14:paraId="4737B8E8" w14:textId="77777777" w:rsidR="002601FA" w:rsidRPr="00B845AF" w:rsidRDefault="002601FA" w:rsidP="002601FA">
      <w:pPr>
        <w:rPr>
          <w:rFonts w:asciiTheme="minorHAnsi" w:eastAsiaTheme="minorEastAsia" w:hAnsiTheme="minorHAnsi" w:cstheme="minorHAnsi"/>
          <w:color w:val="000000"/>
          <w:szCs w:val="22"/>
          <w:lang w:eastAsia="ja-JP"/>
        </w:rPr>
      </w:pPr>
    </w:p>
    <w:p w14:paraId="3FBD7BF7"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Manuao</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Taufilo</w:t>
      </w:r>
      <w:proofErr w:type="spellEnd"/>
    </w:p>
    <w:p w14:paraId="63498AD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Tuvalu Fisheries Department</w:t>
      </w:r>
    </w:p>
    <w:p w14:paraId="176071B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SFO Compliance/Enforcement</w:t>
      </w:r>
    </w:p>
    <w:p w14:paraId="69F6320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mtaufilo@gmail.com</w:t>
      </w:r>
    </w:p>
    <w:p w14:paraId="24E9D5CA" w14:textId="77777777" w:rsidR="002601FA" w:rsidRPr="00B845AF" w:rsidRDefault="002601FA" w:rsidP="002601FA">
      <w:pPr>
        <w:rPr>
          <w:rFonts w:asciiTheme="minorHAnsi" w:eastAsiaTheme="minorEastAsia" w:hAnsiTheme="minorHAnsi" w:cstheme="minorHAnsi"/>
          <w:color w:val="000000"/>
          <w:szCs w:val="22"/>
          <w:lang w:eastAsia="ja-JP"/>
        </w:rPr>
      </w:pPr>
    </w:p>
    <w:p w14:paraId="39BB76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Rosalia </w:t>
      </w:r>
      <w:proofErr w:type="spellStart"/>
      <w:r w:rsidRPr="00B845AF">
        <w:rPr>
          <w:rFonts w:asciiTheme="minorHAnsi" w:hAnsiTheme="minorHAnsi" w:cstheme="minorHAnsi"/>
          <w:b/>
          <w:bCs/>
          <w:color w:val="000000"/>
          <w:szCs w:val="22"/>
          <w:lang w:eastAsia="ja-JP"/>
        </w:rPr>
        <w:t>Uoka</w:t>
      </w:r>
      <w:proofErr w:type="spellEnd"/>
    </w:p>
    <w:p w14:paraId="67BA4D5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Tuvalu Fisheries Authority</w:t>
      </w:r>
    </w:p>
    <w:p w14:paraId="71351EF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FO - Licensing and Data </w:t>
      </w:r>
    </w:p>
    <w:p w14:paraId="1DF13A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rosaliau@tuvalufisheries.tv</w:t>
      </w:r>
    </w:p>
    <w:p w14:paraId="4A50B6F8" w14:textId="77777777" w:rsidR="002601FA" w:rsidRPr="00B845AF" w:rsidRDefault="002601FA" w:rsidP="002601FA">
      <w:pPr>
        <w:rPr>
          <w:rFonts w:asciiTheme="minorHAnsi" w:eastAsiaTheme="minorEastAsia" w:hAnsiTheme="minorHAnsi" w:cstheme="minorHAnsi"/>
          <w:color w:val="000000"/>
          <w:szCs w:val="22"/>
          <w:lang w:eastAsia="ja-JP"/>
        </w:rPr>
      </w:pPr>
    </w:p>
    <w:p w14:paraId="158828E7"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Siouala</w:t>
      </w:r>
      <w:proofErr w:type="spellEnd"/>
      <w:r w:rsidRPr="00B845AF">
        <w:rPr>
          <w:rFonts w:asciiTheme="minorHAnsi" w:hAnsiTheme="minorHAnsi" w:cstheme="minorHAnsi"/>
          <w:b/>
          <w:bCs/>
          <w:color w:val="000000"/>
          <w:szCs w:val="22"/>
          <w:lang w:eastAsia="ja-JP"/>
        </w:rPr>
        <w:t xml:space="preserve"> Malua</w:t>
      </w:r>
    </w:p>
    <w:p w14:paraId="2395F37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Tuvalu Fisheries Authority</w:t>
      </w:r>
    </w:p>
    <w:p w14:paraId="4AAA1C5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Officer (Licensing &amp; Data)</w:t>
      </w:r>
    </w:p>
    <w:p w14:paraId="7B0EC0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sioualam@tuvalufisheries.tv</w:t>
      </w:r>
    </w:p>
    <w:p w14:paraId="7FED6922" w14:textId="77777777" w:rsidR="002601FA" w:rsidRPr="00B845AF" w:rsidRDefault="002601FA" w:rsidP="002601FA">
      <w:pPr>
        <w:rPr>
          <w:rFonts w:asciiTheme="minorHAnsi" w:eastAsiaTheme="minorEastAsia" w:hAnsiTheme="minorHAnsi" w:cstheme="minorHAnsi"/>
          <w:color w:val="000000"/>
          <w:szCs w:val="22"/>
          <w:lang w:eastAsia="ja-JP"/>
        </w:rPr>
      </w:pPr>
    </w:p>
    <w:p w14:paraId="51E7319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UNITED STATES OF AMERICA</w:t>
      </w:r>
    </w:p>
    <w:p w14:paraId="2D655707" w14:textId="77777777" w:rsidR="002601FA" w:rsidRPr="00B845AF" w:rsidRDefault="002601FA" w:rsidP="002601FA">
      <w:pPr>
        <w:rPr>
          <w:rFonts w:asciiTheme="minorHAnsi" w:eastAsiaTheme="minorEastAsia" w:hAnsiTheme="minorHAnsi" w:cstheme="minorHAnsi"/>
          <w:color w:val="000000"/>
          <w:szCs w:val="22"/>
          <w:lang w:eastAsia="ja-JP"/>
        </w:rPr>
      </w:pPr>
    </w:p>
    <w:p w14:paraId="23C868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Felipe Carvalho</w:t>
      </w:r>
    </w:p>
    <w:p w14:paraId="5A66A8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PIFSC</w:t>
      </w:r>
    </w:p>
    <w:p w14:paraId="2F6766C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Supervisory Fisheries Scientist</w:t>
      </w:r>
    </w:p>
    <w:p w14:paraId="2CDF3F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felipe.carvalho@noaa.gov</w:t>
      </w:r>
    </w:p>
    <w:p w14:paraId="0B9F954F" w14:textId="77777777" w:rsidR="002601FA" w:rsidRPr="00B845AF" w:rsidRDefault="002601FA" w:rsidP="002601FA">
      <w:pPr>
        <w:rPr>
          <w:rFonts w:asciiTheme="minorHAnsi" w:eastAsiaTheme="minorEastAsia" w:hAnsiTheme="minorHAnsi" w:cstheme="minorHAnsi"/>
          <w:color w:val="000000"/>
          <w:szCs w:val="22"/>
          <w:lang w:eastAsia="ja-JP"/>
        </w:rPr>
      </w:pPr>
    </w:p>
    <w:p w14:paraId="042FB88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Jacey Van Wert</w:t>
      </w:r>
    </w:p>
    <w:p w14:paraId="35C6580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w:t>
      </w:r>
    </w:p>
    <w:p w14:paraId="152ACCB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Postdoctoral associate</w:t>
      </w:r>
    </w:p>
    <w:p w14:paraId="25FD7F9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jacey.van.wert@noaa.gov</w:t>
      </w:r>
    </w:p>
    <w:p w14:paraId="0913E91F" w14:textId="77777777" w:rsidR="002601FA" w:rsidRPr="00B845AF" w:rsidRDefault="002601FA" w:rsidP="002601FA">
      <w:pPr>
        <w:rPr>
          <w:rFonts w:asciiTheme="minorHAnsi" w:eastAsiaTheme="minorEastAsia" w:hAnsiTheme="minorHAnsi" w:cstheme="minorHAnsi"/>
          <w:color w:val="000000"/>
          <w:szCs w:val="22"/>
          <w:lang w:eastAsia="ja-JP"/>
        </w:rPr>
      </w:pPr>
    </w:p>
    <w:p w14:paraId="5BE2FF0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Lesley Hawn</w:t>
      </w:r>
    </w:p>
    <w:p w14:paraId="2E5DEB2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Fisheries</w:t>
      </w:r>
    </w:p>
    <w:p w14:paraId="641257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 and Wildlife Administrator (Observer Program)</w:t>
      </w:r>
    </w:p>
    <w:p w14:paraId="2EB02BB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Lesley.Hawn@noaa.gov</w:t>
      </w:r>
    </w:p>
    <w:p w14:paraId="378ACE46" w14:textId="77777777" w:rsidR="002601FA" w:rsidRPr="00B845AF" w:rsidRDefault="002601FA" w:rsidP="002601FA">
      <w:pPr>
        <w:rPr>
          <w:rFonts w:asciiTheme="minorHAnsi" w:eastAsiaTheme="minorEastAsia" w:hAnsiTheme="minorHAnsi" w:cstheme="minorHAnsi"/>
          <w:color w:val="000000"/>
          <w:szCs w:val="22"/>
          <w:lang w:eastAsia="ja-JP"/>
        </w:rPr>
      </w:pPr>
    </w:p>
    <w:p w14:paraId="63181A6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Michelle Sculley</w:t>
      </w:r>
    </w:p>
    <w:p w14:paraId="2EB922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w:t>
      </w:r>
    </w:p>
    <w:p w14:paraId="0F66CC9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Stock Assessment Scientist</w:t>
      </w:r>
    </w:p>
    <w:p w14:paraId="75C412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michelle.sculley@noaa.gov</w:t>
      </w:r>
    </w:p>
    <w:p w14:paraId="7E14060A" w14:textId="77777777" w:rsidR="002601FA" w:rsidRPr="00B845AF" w:rsidRDefault="002601FA" w:rsidP="002601FA">
      <w:pPr>
        <w:rPr>
          <w:rFonts w:asciiTheme="minorHAnsi" w:eastAsiaTheme="minorEastAsia" w:hAnsiTheme="minorHAnsi" w:cstheme="minorHAnsi"/>
          <w:color w:val="000000"/>
          <w:szCs w:val="22"/>
          <w:lang w:eastAsia="ja-JP"/>
        </w:rPr>
      </w:pPr>
    </w:p>
    <w:p w14:paraId="6138AD8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Nicholas Ducharme-Barth</w:t>
      </w:r>
    </w:p>
    <w:p w14:paraId="56663D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Fisheries</w:t>
      </w:r>
    </w:p>
    <w:p w14:paraId="2B3F40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 Mathematical Statistician</w:t>
      </w:r>
    </w:p>
    <w:p w14:paraId="348EF9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nicholas.ducharme-barth@noaa.gov</w:t>
      </w:r>
    </w:p>
    <w:p w14:paraId="6C144722" w14:textId="77777777" w:rsidR="002601FA" w:rsidRPr="00B845AF" w:rsidRDefault="002601FA" w:rsidP="002601FA">
      <w:pPr>
        <w:rPr>
          <w:rFonts w:asciiTheme="minorHAnsi" w:eastAsiaTheme="minorEastAsia" w:hAnsiTheme="minorHAnsi" w:cstheme="minorHAnsi"/>
          <w:color w:val="000000"/>
          <w:szCs w:val="22"/>
          <w:lang w:eastAsia="ja-JP"/>
        </w:rPr>
      </w:pPr>
    </w:p>
    <w:p w14:paraId="60F9D7D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Peter Kuriyama</w:t>
      </w:r>
    </w:p>
    <w:p w14:paraId="6BDB248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SWFSC</w:t>
      </w:r>
    </w:p>
    <w:p w14:paraId="5114664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 Mathematical Statistician</w:t>
      </w:r>
    </w:p>
    <w:p w14:paraId="16A527C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peter.kuriyama@noaa.gov</w:t>
      </w:r>
    </w:p>
    <w:p w14:paraId="58F40A02" w14:textId="77777777" w:rsidR="002601FA" w:rsidRPr="00B845AF" w:rsidRDefault="002601FA" w:rsidP="002601FA">
      <w:pPr>
        <w:rPr>
          <w:rFonts w:asciiTheme="minorHAnsi" w:eastAsiaTheme="minorEastAsia" w:hAnsiTheme="minorHAnsi" w:cstheme="minorHAnsi"/>
          <w:color w:val="000000"/>
          <w:szCs w:val="22"/>
          <w:lang w:eastAsia="ja-JP"/>
        </w:rPr>
      </w:pPr>
    </w:p>
    <w:p w14:paraId="2530CD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Roger Dang</w:t>
      </w:r>
    </w:p>
    <w:p w14:paraId="5C3D6C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Fresh Island Fish Co.</w:t>
      </w:r>
    </w:p>
    <w:p w14:paraId="3B71B8F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GM</w:t>
      </w:r>
    </w:p>
    <w:p w14:paraId="14D0DB02" w14:textId="77777777" w:rsidR="002601FA" w:rsidRPr="00B845AF" w:rsidRDefault="002601FA" w:rsidP="002601FA">
      <w:pPr>
        <w:rPr>
          <w:rFonts w:asciiTheme="minorHAnsi" w:eastAsiaTheme="minorEastAsia" w:hAnsiTheme="minorHAnsi" w:cstheme="minorHAnsi"/>
          <w:color w:val="000000"/>
          <w:szCs w:val="22"/>
          <w:lang w:eastAsia="ja-JP"/>
        </w:rPr>
      </w:pPr>
    </w:p>
    <w:p w14:paraId="2B6E8C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Sara-Jeanne Royer</w:t>
      </w:r>
    </w:p>
    <w:p w14:paraId="4B22537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The Ocean Cleanup</w:t>
      </w:r>
    </w:p>
    <w:p w14:paraId="7EE7F7F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Researcher on plastic pollution and ALDFG in the Pacific </w:t>
      </w:r>
    </w:p>
    <w:p w14:paraId="2421418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sarah-jeanne.royer@theoceancleanup.com</w:t>
      </w:r>
    </w:p>
    <w:p w14:paraId="2ADBE73C" w14:textId="77777777" w:rsidR="002601FA" w:rsidRPr="00B845AF" w:rsidRDefault="002601FA" w:rsidP="002601FA">
      <w:pPr>
        <w:rPr>
          <w:rFonts w:asciiTheme="minorHAnsi" w:eastAsiaTheme="minorEastAsia" w:hAnsiTheme="minorHAnsi" w:cstheme="minorHAnsi"/>
          <w:color w:val="000000"/>
          <w:szCs w:val="22"/>
          <w:lang w:eastAsia="ja-JP"/>
        </w:rPr>
      </w:pPr>
    </w:p>
    <w:p w14:paraId="5142A0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Valerie Post</w:t>
      </w:r>
    </w:p>
    <w:p w14:paraId="041B937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NOAA Fisheries </w:t>
      </w:r>
    </w:p>
    <w:p w14:paraId="30F5556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Fishery Policy Analyst</w:t>
      </w:r>
    </w:p>
    <w:p w14:paraId="4ED974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valerie.post@noaa.gov</w:t>
      </w:r>
    </w:p>
    <w:p w14:paraId="0767B09F" w14:textId="77777777" w:rsidR="002601FA" w:rsidRPr="00B845AF" w:rsidRDefault="002601FA" w:rsidP="002601FA">
      <w:pPr>
        <w:rPr>
          <w:rFonts w:asciiTheme="minorHAnsi" w:eastAsiaTheme="minorEastAsia" w:hAnsiTheme="minorHAnsi" w:cstheme="minorHAnsi"/>
          <w:color w:val="000000"/>
          <w:szCs w:val="22"/>
          <w:lang w:eastAsia="ja-JP"/>
        </w:rPr>
      </w:pPr>
    </w:p>
    <w:p w14:paraId="2FEF75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Yonat Swimmer</w:t>
      </w:r>
    </w:p>
    <w:p w14:paraId="1073743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Fisheries PIFSC</w:t>
      </w:r>
    </w:p>
    <w:p w14:paraId="383D739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Biologist</w:t>
      </w:r>
    </w:p>
    <w:p w14:paraId="2889128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yonat.swimmer@noaa.gov</w:t>
      </w:r>
    </w:p>
    <w:p w14:paraId="2D9852E8" w14:textId="77777777" w:rsidR="002601FA" w:rsidRPr="00B845AF" w:rsidRDefault="002601FA" w:rsidP="002601FA">
      <w:pPr>
        <w:rPr>
          <w:rFonts w:asciiTheme="minorHAnsi" w:eastAsiaTheme="minorEastAsia" w:hAnsiTheme="minorHAnsi" w:cstheme="minorHAnsi"/>
          <w:color w:val="000000"/>
          <w:szCs w:val="22"/>
          <w:lang w:eastAsia="ja-JP"/>
        </w:rPr>
      </w:pPr>
    </w:p>
    <w:p w14:paraId="47B158E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Zachary Siders</w:t>
      </w:r>
    </w:p>
    <w:p w14:paraId="79ACB9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University of Florida</w:t>
      </w:r>
    </w:p>
    <w:p w14:paraId="724938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Professor</w:t>
      </w:r>
    </w:p>
    <w:p w14:paraId="7E05E3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zsiders@ufl.edu</w:t>
      </w:r>
    </w:p>
    <w:p w14:paraId="42E9C0EB" w14:textId="77777777" w:rsidR="002601FA" w:rsidRPr="00B845AF" w:rsidRDefault="002601FA" w:rsidP="002601FA">
      <w:pPr>
        <w:rPr>
          <w:rFonts w:asciiTheme="minorHAnsi" w:eastAsiaTheme="minorEastAsia" w:hAnsiTheme="minorHAnsi" w:cstheme="minorHAnsi"/>
          <w:color w:val="000000"/>
          <w:szCs w:val="22"/>
          <w:lang w:eastAsia="ja-JP"/>
        </w:rPr>
      </w:pPr>
    </w:p>
    <w:p w14:paraId="1C9AC36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VANUATU</w:t>
      </w:r>
    </w:p>
    <w:p w14:paraId="7847EE15" w14:textId="77777777" w:rsidR="002601FA" w:rsidRPr="00B845AF" w:rsidRDefault="002601FA" w:rsidP="002601FA">
      <w:pPr>
        <w:rPr>
          <w:rFonts w:asciiTheme="minorHAnsi" w:eastAsiaTheme="minorEastAsia" w:hAnsiTheme="minorHAnsi" w:cstheme="minorHAnsi"/>
          <w:color w:val="000000"/>
          <w:szCs w:val="22"/>
          <w:lang w:eastAsia="ja-JP"/>
        </w:rPr>
      </w:pPr>
    </w:p>
    <w:p w14:paraId="7A85926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Lucy Joy</w:t>
      </w:r>
    </w:p>
    <w:p w14:paraId="714DDC6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Vanuatu Fisheries Department</w:t>
      </w:r>
    </w:p>
    <w:p w14:paraId="530DE9D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Data Officer</w:t>
      </w:r>
    </w:p>
    <w:p w14:paraId="57D07F0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ljoy@fisheries.gov.vu</w:t>
      </w:r>
    </w:p>
    <w:p w14:paraId="74A6D40F" w14:textId="77777777" w:rsidR="002601FA" w:rsidRPr="00B845AF" w:rsidRDefault="002601FA" w:rsidP="002601FA">
      <w:pPr>
        <w:rPr>
          <w:rFonts w:asciiTheme="minorHAnsi" w:eastAsiaTheme="minorEastAsia" w:hAnsiTheme="minorHAnsi" w:cstheme="minorHAnsi"/>
          <w:color w:val="000000"/>
          <w:szCs w:val="22"/>
          <w:lang w:eastAsia="ja-JP"/>
        </w:rPr>
      </w:pPr>
    </w:p>
    <w:p w14:paraId="3F22487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Jeyalda Ngwele</w:t>
      </w:r>
    </w:p>
    <w:p w14:paraId="214227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Vanuatu Fisheries Department</w:t>
      </w:r>
    </w:p>
    <w:p w14:paraId="01E44ED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Data Officer (International)</w:t>
      </w:r>
    </w:p>
    <w:p w14:paraId="2EB27CB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njeyalda@fisheries.gov.vu</w:t>
      </w:r>
    </w:p>
    <w:p w14:paraId="1067E2DD" w14:textId="77777777" w:rsidR="002601FA" w:rsidRPr="00B845AF" w:rsidRDefault="002601FA" w:rsidP="002601FA">
      <w:pPr>
        <w:rPr>
          <w:rFonts w:asciiTheme="minorHAnsi" w:eastAsiaTheme="minorEastAsia" w:hAnsiTheme="minorHAnsi" w:cstheme="minorHAnsi"/>
          <w:color w:val="000000"/>
          <w:szCs w:val="22"/>
          <w:lang w:eastAsia="ja-JP"/>
        </w:rPr>
      </w:pPr>
    </w:p>
    <w:p w14:paraId="7C76E2F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AMERICAN SAMOA</w:t>
      </w:r>
    </w:p>
    <w:p w14:paraId="77EF18A4" w14:textId="77777777" w:rsidR="002601FA" w:rsidRPr="00B845AF" w:rsidRDefault="002601FA" w:rsidP="002601FA">
      <w:pPr>
        <w:rPr>
          <w:rFonts w:asciiTheme="minorHAnsi" w:eastAsiaTheme="minorEastAsia" w:hAnsiTheme="minorHAnsi" w:cstheme="minorHAnsi"/>
          <w:color w:val="000000"/>
          <w:szCs w:val="22"/>
          <w:lang w:eastAsia="ja-JP"/>
        </w:rPr>
      </w:pPr>
    </w:p>
    <w:p w14:paraId="2A913A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Archie Taotasi Soliai</w:t>
      </w:r>
    </w:p>
    <w:p w14:paraId="208B66A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Task Force</w:t>
      </w:r>
    </w:p>
    <w:p w14:paraId="1EED197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Member</w:t>
      </w:r>
    </w:p>
    <w:p w14:paraId="08F7929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archie.soliai@gmail.com</w:t>
      </w:r>
    </w:p>
    <w:p w14:paraId="1CBED3CB" w14:textId="77777777" w:rsidR="002601FA" w:rsidRPr="00B845AF" w:rsidRDefault="002601FA" w:rsidP="002601FA">
      <w:pPr>
        <w:rPr>
          <w:rFonts w:asciiTheme="minorHAnsi" w:eastAsiaTheme="minorEastAsia" w:hAnsiTheme="minorHAnsi" w:cstheme="minorHAnsi"/>
          <w:color w:val="000000"/>
          <w:szCs w:val="22"/>
          <w:lang w:eastAsia="ja-JP"/>
        </w:rPr>
      </w:pPr>
    </w:p>
    <w:p w14:paraId="5FCFC3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Domingo Ochavillo</w:t>
      </w:r>
    </w:p>
    <w:p w14:paraId="40928EC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Department of Marine &amp; Wildlife Resources</w:t>
      </w:r>
    </w:p>
    <w:p w14:paraId="517C345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Chief Fisheries Biologist</w:t>
      </w:r>
    </w:p>
    <w:p w14:paraId="24F0FB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ochavill@gmail.com</w:t>
      </w:r>
    </w:p>
    <w:p w14:paraId="4BF977B0" w14:textId="77777777" w:rsidR="002601FA" w:rsidRPr="00B845AF" w:rsidRDefault="002601FA" w:rsidP="002601FA">
      <w:pPr>
        <w:rPr>
          <w:rFonts w:asciiTheme="minorHAnsi" w:eastAsiaTheme="minorEastAsia" w:hAnsiTheme="minorHAnsi" w:cstheme="minorHAnsi"/>
          <w:color w:val="000000"/>
          <w:szCs w:val="22"/>
          <w:lang w:eastAsia="ja-JP"/>
        </w:rPr>
      </w:pPr>
    </w:p>
    <w:p w14:paraId="3C7170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Fernan </w:t>
      </w:r>
      <w:proofErr w:type="spellStart"/>
      <w:r w:rsidRPr="00B845AF">
        <w:rPr>
          <w:rFonts w:asciiTheme="minorHAnsi" w:hAnsiTheme="minorHAnsi" w:cstheme="minorHAnsi"/>
          <w:b/>
          <w:bCs/>
          <w:color w:val="000000"/>
          <w:szCs w:val="22"/>
          <w:lang w:eastAsia="ja-JP"/>
        </w:rPr>
        <w:t>Asalele</w:t>
      </w:r>
      <w:proofErr w:type="spellEnd"/>
    </w:p>
    <w:p w14:paraId="67072E8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Department of Marine and Wildlife Resources</w:t>
      </w:r>
    </w:p>
    <w:p w14:paraId="19920FB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Boat-Based Creel Survey Supervisor</w:t>
      </w:r>
    </w:p>
    <w:p w14:paraId="1371012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fernan.asalele@dmwr.as.gov</w:t>
      </w:r>
    </w:p>
    <w:p w14:paraId="7145CE57" w14:textId="77777777" w:rsidR="002601FA" w:rsidRPr="00B845AF" w:rsidRDefault="002601FA" w:rsidP="002601FA">
      <w:pPr>
        <w:rPr>
          <w:rFonts w:asciiTheme="minorHAnsi" w:eastAsiaTheme="minorEastAsia" w:hAnsiTheme="minorHAnsi" w:cstheme="minorHAnsi"/>
          <w:color w:val="000000"/>
          <w:szCs w:val="22"/>
          <w:lang w:eastAsia="ja-JP"/>
        </w:rPr>
      </w:pPr>
    </w:p>
    <w:p w14:paraId="1E09E10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Joe Hamby</w:t>
      </w:r>
    </w:p>
    <w:p w14:paraId="7C09D7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Cape Fisheries</w:t>
      </w:r>
    </w:p>
    <w:p w14:paraId="20AB978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CEO</w:t>
      </w:r>
    </w:p>
    <w:p w14:paraId="71E0BFE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joe@jmhservices.us</w:t>
      </w:r>
    </w:p>
    <w:p w14:paraId="562FD58A" w14:textId="77777777" w:rsidR="002601FA" w:rsidRPr="00B845AF" w:rsidRDefault="002601FA" w:rsidP="002601FA">
      <w:pPr>
        <w:rPr>
          <w:rFonts w:asciiTheme="minorHAnsi" w:eastAsiaTheme="minorEastAsia" w:hAnsiTheme="minorHAnsi" w:cstheme="minorHAnsi"/>
          <w:color w:val="000000"/>
          <w:szCs w:val="22"/>
          <w:lang w:eastAsia="ja-JP"/>
        </w:rPr>
      </w:pPr>
    </w:p>
    <w:p w14:paraId="0420057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Mark Fitchett</w:t>
      </w:r>
    </w:p>
    <w:p w14:paraId="5B7DB8F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Pacific Regional Fishery Management Council</w:t>
      </w:r>
    </w:p>
    <w:p w14:paraId="012E7BD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Pelagic Fisheries Ecosystems Scientist</w:t>
      </w:r>
    </w:p>
    <w:p w14:paraId="6F515D8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mark.fitchett@wpcouncil.org</w:t>
      </w:r>
    </w:p>
    <w:p w14:paraId="1F7D6134" w14:textId="77777777" w:rsidR="002601FA" w:rsidRPr="00B845AF" w:rsidRDefault="002601FA" w:rsidP="002601FA">
      <w:pPr>
        <w:rPr>
          <w:rFonts w:asciiTheme="minorHAnsi" w:eastAsiaTheme="minorEastAsia" w:hAnsiTheme="minorHAnsi" w:cstheme="minorHAnsi"/>
          <w:color w:val="000000"/>
          <w:szCs w:val="22"/>
          <w:lang w:eastAsia="ja-JP"/>
        </w:rPr>
      </w:pPr>
    </w:p>
    <w:p w14:paraId="2806DB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Nathan Ilaoa</w:t>
      </w:r>
    </w:p>
    <w:p w14:paraId="2A22DF3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Department of Marine and Wildlife Resources</w:t>
      </w:r>
    </w:p>
    <w:p w14:paraId="16D9EC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w:t>
      </w:r>
    </w:p>
    <w:p w14:paraId="41590BA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nathan.ilaoa@dmwr.as.gov</w:t>
      </w:r>
    </w:p>
    <w:p w14:paraId="101FD91D" w14:textId="77777777" w:rsidR="002601FA" w:rsidRPr="00B845AF" w:rsidRDefault="002601FA" w:rsidP="002601FA">
      <w:pPr>
        <w:rPr>
          <w:rFonts w:asciiTheme="minorHAnsi" w:eastAsiaTheme="minorEastAsia" w:hAnsiTheme="minorHAnsi" w:cstheme="minorHAnsi"/>
          <w:color w:val="000000"/>
          <w:szCs w:val="22"/>
          <w:lang w:eastAsia="ja-JP"/>
        </w:rPr>
      </w:pPr>
    </w:p>
    <w:p w14:paraId="30D8D4C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FRENCH POLYNESIA</w:t>
      </w:r>
    </w:p>
    <w:p w14:paraId="096876D8" w14:textId="77777777" w:rsidR="002601FA" w:rsidRPr="00B845AF" w:rsidRDefault="002601FA" w:rsidP="002601FA">
      <w:pPr>
        <w:rPr>
          <w:rFonts w:asciiTheme="minorHAnsi" w:eastAsiaTheme="minorEastAsia" w:hAnsiTheme="minorHAnsi" w:cstheme="minorHAnsi"/>
          <w:color w:val="000000"/>
          <w:szCs w:val="22"/>
          <w:lang w:eastAsia="ja-JP"/>
        </w:rPr>
      </w:pPr>
    </w:p>
    <w:p w14:paraId="07A403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Hirohiti </w:t>
      </w:r>
      <w:proofErr w:type="spellStart"/>
      <w:r w:rsidRPr="00B845AF">
        <w:rPr>
          <w:rFonts w:asciiTheme="minorHAnsi" w:hAnsiTheme="minorHAnsi" w:cstheme="minorHAnsi"/>
          <w:b/>
          <w:bCs/>
          <w:color w:val="000000"/>
          <w:szCs w:val="22"/>
          <w:lang w:eastAsia="ja-JP"/>
        </w:rPr>
        <w:t>Raapoto</w:t>
      </w:r>
      <w:proofErr w:type="spellEnd"/>
    </w:p>
    <w:p w14:paraId="3A15E79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Marine Resources Department</w:t>
      </w:r>
    </w:p>
    <w:p w14:paraId="756315F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Data manager</w:t>
      </w:r>
    </w:p>
    <w:p w14:paraId="754FDF0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hirohiti.raapoto@administration.gov.pf</w:t>
      </w:r>
    </w:p>
    <w:p w14:paraId="142C1871" w14:textId="77777777" w:rsidR="002601FA" w:rsidRPr="00B845AF" w:rsidRDefault="002601FA" w:rsidP="002601FA">
      <w:pPr>
        <w:rPr>
          <w:rFonts w:asciiTheme="minorHAnsi" w:eastAsiaTheme="minorEastAsia" w:hAnsiTheme="minorHAnsi" w:cstheme="minorHAnsi"/>
          <w:color w:val="000000"/>
          <w:szCs w:val="22"/>
          <w:lang w:eastAsia="ja-JP"/>
        </w:rPr>
      </w:pPr>
    </w:p>
    <w:p w14:paraId="7AB255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Anne-Marie Trinh</w:t>
      </w:r>
    </w:p>
    <w:p w14:paraId="2678C80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Marine resources department </w:t>
      </w:r>
    </w:p>
    <w:p w14:paraId="029E83E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officer</w:t>
      </w:r>
    </w:p>
    <w:p w14:paraId="1636A9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anne-marie.trinh@administration.gov.pf</w:t>
      </w:r>
    </w:p>
    <w:p w14:paraId="4A0CC921" w14:textId="77777777" w:rsidR="002601FA" w:rsidRPr="00B845AF" w:rsidRDefault="002601FA" w:rsidP="002601FA">
      <w:pPr>
        <w:rPr>
          <w:rFonts w:asciiTheme="minorHAnsi" w:eastAsiaTheme="minorEastAsia" w:hAnsiTheme="minorHAnsi" w:cstheme="minorHAnsi"/>
          <w:color w:val="000000"/>
          <w:szCs w:val="22"/>
          <w:lang w:eastAsia="ja-JP"/>
        </w:rPr>
      </w:pPr>
    </w:p>
    <w:p w14:paraId="678CCE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NEW CALEDONIA</w:t>
      </w:r>
    </w:p>
    <w:p w14:paraId="1FCCAB58" w14:textId="77777777" w:rsidR="002601FA" w:rsidRPr="00B845AF" w:rsidRDefault="002601FA" w:rsidP="002601FA">
      <w:pPr>
        <w:rPr>
          <w:rFonts w:asciiTheme="minorHAnsi" w:eastAsiaTheme="minorEastAsia" w:hAnsiTheme="minorHAnsi" w:cstheme="minorHAnsi"/>
          <w:color w:val="000000"/>
          <w:szCs w:val="22"/>
          <w:lang w:eastAsia="ja-JP"/>
        </w:rPr>
      </w:pPr>
    </w:p>
    <w:p w14:paraId="09D6234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Mickael Lercari </w:t>
      </w:r>
    </w:p>
    <w:p w14:paraId="7713A8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New Caledonia Government (Fisheries department)</w:t>
      </w:r>
    </w:p>
    <w:p w14:paraId="4831CE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and Environment Officer</w:t>
      </w:r>
    </w:p>
    <w:p w14:paraId="39CB90B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mickael.lercari@gouv.nc</w:t>
      </w:r>
    </w:p>
    <w:p w14:paraId="517B8742" w14:textId="77777777" w:rsidR="002601FA" w:rsidRPr="00B845AF" w:rsidRDefault="002601FA" w:rsidP="002601FA">
      <w:pPr>
        <w:rPr>
          <w:rFonts w:asciiTheme="minorHAnsi" w:eastAsiaTheme="minorEastAsia" w:hAnsiTheme="minorHAnsi" w:cstheme="minorHAnsi"/>
          <w:color w:val="000000"/>
          <w:szCs w:val="22"/>
          <w:lang w:eastAsia="ja-JP"/>
        </w:rPr>
      </w:pPr>
    </w:p>
    <w:p w14:paraId="0B00D37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TOKELAU</w:t>
      </w:r>
    </w:p>
    <w:p w14:paraId="39BCF93C" w14:textId="77777777" w:rsidR="002601FA" w:rsidRPr="00B845AF" w:rsidRDefault="002601FA" w:rsidP="002601FA">
      <w:pPr>
        <w:rPr>
          <w:rFonts w:asciiTheme="minorHAnsi" w:eastAsiaTheme="minorEastAsia" w:hAnsiTheme="minorHAnsi" w:cstheme="minorHAnsi"/>
          <w:color w:val="000000"/>
          <w:szCs w:val="22"/>
          <w:lang w:eastAsia="ja-JP"/>
        </w:rPr>
      </w:pPr>
    </w:p>
    <w:p w14:paraId="21B2427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Luisa Naseri-Sale</w:t>
      </w:r>
    </w:p>
    <w:p w14:paraId="4EABEC7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Tokelau</w:t>
      </w:r>
    </w:p>
    <w:p w14:paraId="349BCEB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Tokelau</w:t>
      </w:r>
    </w:p>
    <w:p w14:paraId="585677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naserisale@gmail.com</w:t>
      </w:r>
    </w:p>
    <w:p w14:paraId="08280A98" w14:textId="77777777" w:rsidR="002601FA" w:rsidRPr="00B845AF" w:rsidRDefault="002601FA" w:rsidP="002601FA">
      <w:pPr>
        <w:rPr>
          <w:rFonts w:asciiTheme="minorHAnsi" w:eastAsiaTheme="minorEastAsia" w:hAnsiTheme="minorHAnsi" w:cstheme="minorHAnsi"/>
          <w:color w:val="000000"/>
          <w:szCs w:val="22"/>
          <w:lang w:eastAsia="ja-JP"/>
        </w:rPr>
      </w:pPr>
    </w:p>
    <w:p w14:paraId="032B10A3"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Solomua</w:t>
      </w:r>
      <w:proofErr w:type="spellEnd"/>
      <w:r w:rsidRPr="00B845AF">
        <w:rPr>
          <w:rFonts w:asciiTheme="minorHAnsi" w:hAnsiTheme="minorHAnsi" w:cstheme="minorHAnsi"/>
          <w:b/>
          <w:bCs/>
          <w:color w:val="000000"/>
          <w:szCs w:val="22"/>
          <w:lang w:eastAsia="ja-JP"/>
        </w:rPr>
        <w:t xml:space="preserve"> Ionatana</w:t>
      </w:r>
    </w:p>
    <w:p w14:paraId="2629DF2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Tokelau Fisheries Management Agency </w:t>
      </w:r>
    </w:p>
    <w:p w14:paraId="2F62E63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Manager, Fisheries Licensing &amp; Access</w:t>
      </w:r>
    </w:p>
    <w:p w14:paraId="002781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tualen@gmail.com</w:t>
      </w:r>
    </w:p>
    <w:p w14:paraId="069D5FE9" w14:textId="77777777" w:rsidR="002601FA" w:rsidRPr="00B845AF" w:rsidRDefault="002601FA" w:rsidP="002601FA">
      <w:pPr>
        <w:rPr>
          <w:rFonts w:asciiTheme="minorHAnsi" w:eastAsiaTheme="minorEastAsia" w:hAnsiTheme="minorHAnsi" w:cstheme="minorHAnsi"/>
          <w:color w:val="000000"/>
          <w:szCs w:val="22"/>
          <w:lang w:eastAsia="ja-JP"/>
        </w:rPr>
      </w:pPr>
    </w:p>
    <w:p w14:paraId="5E7526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WALLIS AND FUTUNA</w:t>
      </w:r>
    </w:p>
    <w:p w14:paraId="4F4AD962" w14:textId="77777777" w:rsidR="002601FA" w:rsidRPr="00B845AF" w:rsidRDefault="002601FA" w:rsidP="002601FA">
      <w:pPr>
        <w:rPr>
          <w:rFonts w:asciiTheme="minorHAnsi" w:eastAsiaTheme="minorEastAsia" w:hAnsiTheme="minorHAnsi" w:cstheme="minorHAnsi"/>
          <w:color w:val="000000"/>
          <w:szCs w:val="22"/>
          <w:lang w:eastAsia="ja-JP"/>
        </w:rPr>
      </w:pPr>
    </w:p>
    <w:p w14:paraId="058258E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Guillaume Pina-</w:t>
      </w:r>
      <w:proofErr w:type="spellStart"/>
      <w:r w:rsidRPr="00B845AF">
        <w:rPr>
          <w:rFonts w:asciiTheme="minorHAnsi" w:hAnsiTheme="minorHAnsi" w:cstheme="minorHAnsi"/>
          <w:b/>
          <w:bCs/>
          <w:color w:val="000000"/>
          <w:szCs w:val="22"/>
          <w:lang w:eastAsia="ja-JP"/>
        </w:rPr>
        <w:t>Forgeneuve</w:t>
      </w:r>
      <w:proofErr w:type="spellEnd"/>
    </w:p>
    <w:p w14:paraId="7499304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Division</w:t>
      </w:r>
    </w:p>
    <w:p w14:paraId="33DE84B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7A952C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guillaume.pina-forgeneuve@agripeche.wf</w:t>
      </w:r>
    </w:p>
    <w:p w14:paraId="47E77E84" w14:textId="77777777" w:rsidR="002601FA" w:rsidRPr="00B845AF" w:rsidRDefault="002601FA" w:rsidP="002601FA">
      <w:pPr>
        <w:rPr>
          <w:rFonts w:asciiTheme="minorHAnsi" w:eastAsiaTheme="minorEastAsia" w:hAnsiTheme="minorHAnsi" w:cstheme="minorHAnsi"/>
          <w:color w:val="000000"/>
          <w:szCs w:val="22"/>
          <w:lang w:eastAsia="ja-JP"/>
        </w:rPr>
      </w:pPr>
    </w:p>
    <w:p w14:paraId="16ED72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THAILAND</w:t>
      </w:r>
    </w:p>
    <w:p w14:paraId="2E5195CC" w14:textId="77777777" w:rsidR="002601FA" w:rsidRPr="00B845AF" w:rsidRDefault="002601FA" w:rsidP="002601FA">
      <w:pPr>
        <w:rPr>
          <w:rFonts w:asciiTheme="minorHAnsi" w:eastAsiaTheme="minorEastAsia" w:hAnsiTheme="minorHAnsi" w:cstheme="minorHAnsi"/>
          <w:color w:val="000000"/>
          <w:szCs w:val="22"/>
          <w:lang w:eastAsia="ja-JP"/>
        </w:rPr>
      </w:pPr>
    </w:p>
    <w:p w14:paraId="0AEC7A85"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Jidapa</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Setthatham</w:t>
      </w:r>
      <w:proofErr w:type="spellEnd"/>
    </w:p>
    <w:p w14:paraId="2D24F7C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Department of Fisheries Thailand </w:t>
      </w:r>
    </w:p>
    <w:p w14:paraId="7E41DD8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Biologist, Practitioner Level</w:t>
      </w:r>
    </w:p>
    <w:p w14:paraId="3FDDC27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jidapa.stm@gmail.com</w:t>
      </w:r>
    </w:p>
    <w:p w14:paraId="397A3176" w14:textId="77777777" w:rsidR="002601FA" w:rsidRPr="00B845AF" w:rsidRDefault="002601FA" w:rsidP="002601FA">
      <w:pPr>
        <w:rPr>
          <w:rFonts w:asciiTheme="minorHAnsi" w:eastAsiaTheme="minorEastAsia" w:hAnsiTheme="minorHAnsi" w:cstheme="minorHAnsi"/>
          <w:color w:val="000000"/>
          <w:szCs w:val="22"/>
          <w:lang w:eastAsia="ja-JP"/>
        </w:rPr>
      </w:pPr>
    </w:p>
    <w:p w14:paraId="1FC85ABB"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Supranee</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Chatthong</w:t>
      </w:r>
      <w:proofErr w:type="spellEnd"/>
    </w:p>
    <w:p w14:paraId="644D69C2" w14:textId="45A0B08D"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Department of </w:t>
      </w:r>
      <w:r w:rsidR="00B845AF" w:rsidRPr="00B845AF">
        <w:rPr>
          <w:rFonts w:asciiTheme="minorHAnsi" w:hAnsiTheme="minorHAnsi" w:cstheme="minorHAnsi"/>
          <w:color w:val="000000"/>
          <w:szCs w:val="22"/>
          <w:lang w:eastAsia="ja-JP"/>
        </w:rPr>
        <w:t>Fisheries</w:t>
      </w:r>
      <w:r w:rsidRPr="00B845AF">
        <w:rPr>
          <w:rFonts w:asciiTheme="minorHAnsi" w:hAnsiTheme="minorHAnsi" w:cstheme="minorHAnsi"/>
          <w:color w:val="000000"/>
          <w:szCs w:val="22"/>
          <w:lang w:eastAsia="ja-JP"/>
        </w:rPr>
        <w:t>, Thailand</w:t>
      </w:r>
    </w:p>
    <w:p w14:paraId="08DF2FA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Biologist, Practitioner Level</w:t>
      </w:r>
    </w:p>
    <w:p w14:paraId="75344D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supranee7c@gmail.com</w:t>
      </w:r>
    </w:p>
    <w:p w14:paraId="72967830" w14:textId="77777777" w:rsidR="002601FA" w:rsidRPr="00B845AF" w:rsidRDefault="002601FA" w:rsidP="002601FA">
      <w:pPr>
        <w:rPr>
          <w:rFonts w:asciiTheme="minorHAnsi" w:eastAsiaTheme="minorEastAsia" w:hAnsiTheme="minorHAnsi" w:cstheme="minorHAnsi"/>
          <w:color w:val="000000"/>
          <w:szCs w:val="22"/>
          <w:lang w:eastAsia="ja-JP"/>
        </w:rPr>
      </w:pPr>
    </w:p>
    <w:p w14:paraId="118DBC75"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Thitirat</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Rattanawiwan</w:t>
      </w:r>
      <w:proofErr w:type="spellEnd"/>
    </w:p>
    <w:p w14:paraId="0583811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Department of Fisheries Thailand </w:t>
      </w:r>
    </w:p>
    <w:p w14:paraId="20FC05C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Biologist, Professional Level</w:t>
      </w:r>
    </w:p>
    <w:p w14:paraId="7F7592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milky_gm@hotmail.com</w:t>
      </w:r>
    </w:p>
    <w:p w14:paraId="5C6F28D9" w14:textId="77777777" w:rsidR="002601FA" w:rsidRPr="00B845AF" w:rsidRDefault="002601FA" w:rsidP="002601FA">
      <w:pPr>
        <w:rPr>
          <w:rFonts w:asciiTheme="minorHAnsi" w:eastAsiaTheme="minorEastAsia" w:hAnsiTheme="minorHAnsi" w:cstheme="minorHAnsi"/>
          <w:color w:val="000000"/>
          <w:szCs w:val="22"/>
          <w:lang w:eastAsia="ja-JP"/>
        </w:rPr>
      </w:pPr>
    </w:p>
    <w:p w14:paraId="2F7EE9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BIRDLIFE INTERNATIONAL</w:t>
      </w:r>
    </w:p>
    <w:p w14:paraId="32D720FC" w14:textId="77777777" w:rsidR="002601FA" w:rsidRPr="00B845AF" w:rsidRDefault="002601FA" w:rsidP="002601FA">
      <w:pPr>
        <w:rPr>
          <w:rFonts w:asciiTheme="minorHAnsi" w:eastAsiaTheme="minorEastAsia" w:hAnsiTheme="minorHAnsi" w:cstheme="minorHAnsi"/>
          <w:color w:val="000000"/>
          <w:szCs w:val="22"/>
          <w:lang w:eastAsia="ja-JP"/>
        </w:rPr>
      </w:pPr>
    </w:p>
    <w:p w14:paraId="0219318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Stephanie Borrelle</w:t>
      </w:r>
    </w:p>
    <w:p w14:paraId="1B8EA51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BirdLife International</w:t>
      </w:r>
    </w:p>
    <w:p w14:paraId="4A5F7B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Marine Regional Coordinator</w:t>
      </w:r>
    </w:p>
    <w:p w14:paraId="4C205D8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Stephanie.Borrelle@Birdlife.org</w:t>
      </w:r>
    </w:p>
    <w:p w14:paraId="10AFCD85" w14:textId="77777777" w:rsidR="002601FA" w:rsidRPr="00B845AF" w:rsidRDefault="002601FA" w:rsidP="002601FA">
      <w:pPr>
        <w:rPr>
          <w:rFonts w:asciiTheme="minorHAnsi" w:eastAsiaTheme="minorEastAsia" w:hAnsiTheme="minorHAnsi" w:cstheme="minorHAnsi"/>
          <w:color w:val="000000"/>
          <w:szCs w:val="22"/>
          <w:lang w:eastAsia="ja-JP"/>
        </w:rPr>
      </w:pPr>
    </w:p>
    <w:p w14:paraId="436C2ED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CONSERVATION INTERNATIONAL (CI)</w:t>
      </w:r>
    </w:p>
    <w:p w14:paraId="284F0CC3" w14:textId="77777777" w:rsidR="002601FA" w:rsidRPr="00B845AF" w:rsidRDefault="002601FA" w:rsidP="002601FA">
      <w:pPr>
        <w:rPr>
          <w:rFonts w:asciiTheme="minorHAnsi" w:eastAsiaTheme="minorEastAsia" w:hAnsiTheme="minorHAnsi" w:cstheme="minorHAnsi"/>
          <w:color w:val="000000"/>
          <w:szCs w:val="22"/>
          <w:lang w:eastAsia="ja-JP"/>
        </w:rPr>
      </w:pPr>
    </w:p>
    <w:p w14:paraId="7BA94FF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Fiona Sapatu</w:t>
      </w:r>
    </w:p>
    <w:p w14:paraId="296D4FE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Conservation International</w:t>
      </w:r>
    </w:p>
    <w:p w14:paraId="619F525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Sustainable Fisheries Senior Coordinator</w:t>
      </w:r>
    </w:p>
    <w:p w14:paraId="3825E1D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fsapatu@conservation.org</w:t>
      </w:r>
    </w:p>
    <w:p w14:paraId="2056BF77" w14:textId="77777777" w:rsidR="002601FA" w:rsidRPr="00B845AF" w:rsidRDefault="002601FA" w:rsidP="002601FA">
      <w:pPr>
        <w:rPr>
          <w:rFonts w:asciiTheme="minorHAnsi" w:eastAsiaTheme="minorEastAsia" w:hAnsiTheme="minorHAnsi" w:cstheme="minorHAnsi"/>
          <w:color w:val="000000"/>
          <w:szCs w:val="22"/>
          <w:lang w:eastAsia="ja-JP"/>
        </w:rPr>
      </w:pPr>
    </w:p>
    <w:p w14:paraId="3AFC0C7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Jyanti Singh</w:t>
      </w:r>
    </w:p>
    <w:p w14:paraId="727677E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Conservation International </w:t>
      </w:r>
    </w:p>
    <w:p w14:paraId="45E3013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Sustainable Tuna Program Manager</w:t>
      </w:r>
    </w:p>
    <w:p w14:paraId="30B226E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jsingh@conservation.org</w:t>
      </w:r>
    </w:p>
    <w:p w14:paraId="3D8AF476" w14:textId="77777777" w:rsidR="002601FA" w:rsidRPr="00B845AF" w:rsidRDefault="002601FA" w:rsidP="002601FA">
      <w:pPr>
        <w:rPr>
          <w:rFonts w:asciiTheme="minorHAnsi" w:eastAsiaTheme="minorEastAsia" w:hAnsiTheme="minorHAnsi" w:cstheme="minorHAnsi"/>
          <w:color w:val="000000"/>
          <w:szCs w:val="22"/>
          <w:lang w:eastAsia="ja-JP"/>
        </w:rPr>
      </w:pPr>
    </w:p>
    <w:p w14:paraId="16D12178"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Sinalilo</w:t>
      </w:r>
      <w:proofErr w:type="spellEnd"/>
      <w:r w:rsidRPr="00B845AF">
        <w:rPr>
          <w:rFonts w:asciiTheme="minorHAnsi" w:hAnsiTheme="minorHAnsi" w:cstheme="minorHAnsi"/>
          <w:b/>
          <w:bCs/>
          <w:color w:val="000000"/>
          <w:szCs w:val="22"/>
          <w:lang w:eastAsia="ja-JP"/>
        </w:rPr>
        <w:t xml:space="preserve"> Ah Him Vaai</w:t>
      </w:r>
    </w:p>
    <w:p w14:paraId="6FFDC0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Conservation International (CI)</w:t>
      </w:r>
    </w:p>
    <w:p w14:paraId="74DB3C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Sustainable Fisheries Associate</w:t>
      </w:r>
    </w:p>
    <w:p w14:paraId="19A884C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sinaliloav@gmail.com</w:t>
      </w:r>
    </w:p>
    <w:p w14:paraId="70FB5010" w14:textId="77777777" w:rsidR="002601FA" w:rsidRPr="00B845AF" w:rsidRDefault="002601FA" w:rsidP="002601FA">
      <w:pPr>
        <w:rPr>
          <w:rFonts w:asciiTheme="minorHAnsi" w:eastAsiaTheme="minorEastAsia" w:hAnsiTheme="minorHAnsi" w:cstheme="minorHAnsi"/>
          <w:color w:val="000000"/>
          <w:szCs w:val="22"/>
          <w:lang w:eastAsia="ja-JP"/>
        </w:rPr>
      </w:pPr>
    </w:p>
    <w:p w14:paraId="743B5A5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Thomas Auger</w:t>
      </w:r>
    </w:p>
    <w:p w14:paraId="2406990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Conservation International</w:t>
      </w:r>
    </w:p>
    <w:p w14:paraId="2C28482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Sustainable Tuna Program Director</w:t>
      </w:r>
    </w:p>
    <w:p w14:paraId="2065C28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tauger@conservation.org</w:t>
      </w:r>
    </w:p>
    <w:p w14:paraId="7AE3DF19" w14:textId="77777777" w:rsidR="002601FA" w:rsidRPr="00B845AF" w:rsidRDefault="002601FA" w:rsidP="002601FA">
      <w:pPr>
        <w:rPr>
          <w:rFonts w:asciiTheme="minorHAnsi" w:eastAsiaTheme="minorEastAsia" w:hAnsiTheme="minorHAnsi" w:cstheme="minorHAnsi"/>
          <w:color w:val="000000"/>
          <w:szCs w:val="22"/>
          <w:lang w:eastAsia="ja-JP"/>
        </w:rPr>
      </w:pPr>
    </w:p>
    <w:p w14:paraId="12F2B52D"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Vilisoni</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Tarabe</w:t>
      </w:r>
      <w:proofErr w:type="spellEnd"/>
    </w:p>
    <w:p w14:paraId="041D32D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Conservation International - Fiji</w:t>
      </w:r>
    </w:p>
    <w:p w14:paraId="6F339A5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Sustainable Fisheries Manager</w:t>
      </w:r>
    </w:p>
    <w:p w14:paraId="29B43B8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vtarabe@conservation.org</w:t>
      </w:r>
    </w:p>
    <w:p w14:paraId="025D11CD" w14:textId="77777777" w:rsidR="002601FA" w:rsidRPr="00B845AF" w:rsidRDefault="002601FA" w:rsidP="002601FA">
      <w:pPr>
        <w:rPr>
          <w:rFonts w:asciiTheme="minorHAnsi" w:eastAsiaTheme="minorEastAsia" w:hAnsiTheme="minorHAnsi" w:cstheme="minorHAnsi"/>
          <w:color w:val="000000"/>
          <w:szCs w:val="22"/>
          <w:lang w:eastAsia="ja-JP"/>
        </w:rPr>
      </w:pPr>
    </w:p>
    <w:p w14:paraId="478091D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GLOBAL FISHING WATCH (GFW)</w:t>
      </w:r>
    </w:p>
    <w:p w14:paraId="2A67603D" w14:textId="77777777" w:rsidR="002601FA" w:rsidRPr="00B845AF" w:rsidRDefault="002601FA" w:rsidP="002601FA">
      <w:pPr>
        <w:rPr>
          <w:rFonts w:asciiTheme="minorHAnsi" w:eastAsiaTheme="minorEastAsia" w:hAnsiTheme="minorHAnsi" w:cstheme="minorHAnsi"/>
          <w:color w:val="000000"/>
          <w:szCs w:val="22"/>
          <w:lang w:eastAsia="ja-JP"/>
        </w:rPr>
      </w:pPr>
    </w:p>
    <w:p w14:paraId="5AE3D6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Epeli Loganimoce</w:t>
      </w:r>
    </w:p>
    <w:p w14:paraId="7197C56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Global Fishing Watch</w:t>
      </w:r>
    </w:p>
    <w:p w14:paraId="667C027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Program Officer</w:t>
      </w:r>
    </w:p>
    <w:p w14:paraId="3E775C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epeli.loganimoce@globalfishingwatch.org</w:t>
      </w:r>
    </w:p>
    <w:p w14:paraId="04183F75" w14:textId="77777777" w:rsidR="002601FA" w:rsidRPr="00B845AF" w:rsidRDefault="002601FA" w:rsidP="002601FA">
      <w:pPr>
        <w:rPr>
          <w:rFonts w:asciiTheme="minorHAnsi" w:eastAsiaTheme="minorEastAsia" w:hAnsiTheme="minorHAnsi" w:cstheme="minorHAnsi"/>
          <w:color w:val="000000"/>
          <w:szCs w:val="22"/>
          <w:lang w:eastAsia="ja-JP"/>
        </w:rPr>
      </w:pPr>
    </w:p>
    <w:p w14:paraId="314730D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GLOBAL GHOST GEAR INITIATIVE (GGGI)</w:t>
      </w:r>
    </w:p>
    <w:p w14:paraId="13287614" w14:textId="77777777" w:rsidR="002601FA" w:rsidRPr="00B845AF" w:rsidRDefault="002601FA" w:rsidP="002601FA">
      <w:pPr>
        <w:rPr>
          <w:rFonts w:asciiTheme="minorHAnsi" w:eastAsiaTheme="minorEastAsia" w:hAnsiTheme="minorHAnsi" w:cstheme="minorHAnsi"/>
          <w:color w:val="000000"/>
          <w:szCs w:val="22"/>
          <w:lang w:eastAsia="ja-JP"/>
        </w:rPr>
      </w:pPr>
    </w:p>
    <w:p w14:paraId="1246A0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Keith A Bigelow</w:t>
      </w:r>
    </w:p>
    <w:p w14:paraId="0743D07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Consultant</w:t>
      </w:r>
    </w:p>
    <w:p w14:paraId="4FA02B1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kbigelow100@gmail.com</w:t>
      </w:r>
    </w:p>
    <w:p w14:paraId="4EA2A384" w14:textId="77777777" w:rsidR="002601FA" w:rsidRPr="00B845AF" w:rsidRDefault="002601FA" w:rsidP="002601FA">
      <w:pPr>
        <w:rPr>
          <w:rFonts w:asciiTheme="minorHAnsi" w:eastAsiaTheme="minorEastAsia" w:hAnsiTheme="minorHAnsi" w:cstheme="minorHAnsi"/>
          <w:color w:val="000000"/>
          <w:szCs w:val="22"/>
          <w:lang w:eastAsia="ja-JP"/>
        </w:rPr>
      </w:pPr>
    </w:p>
    <w:p w14:paraId="5067F0B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THE GLOBAL TUNA ALLIANCE (GTA)</w:t>
      </w:r>
    </w:p>
    <w:p w14:paraId="3E89AC2A" w14:textId="77777777" w:rsidR="002601FA" w:rsidRPr="00B845AF" w:rsidRDefault="002601FA" w:rsidP="002601FA">
      <w:pPr>
        <w:rPr>
          <w:rFonts w:asciiTheme="minorHAnsi" w:eastAsiaTheme="minorEastAsia" w:hAnsiTheme="minorHAnsi" w:cstheme="minorHAnsi"/>
          <w:color w:val="000000"/>
          <w:szCs w:val="22"/>
          <w:lang w:eastAsia="ja-JP"/>
        </w:rPr>
      </w:pPr>
    </w:p>
    <w:p w14:paraId="429E966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Wetjens Dimmlich</w:t>
      </w:r>
    </w:p>
    <w:p w14:paraId="58FC003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Global Tuna Alliance (GTA)</w:t>
      </w:r>
    </w:p>
    <w:p w14:paraId="56A2582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Advocacy Lead</w:t>
      </w:r>
    </w:p>
    <w:p w14:paraId="2D1C1C1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wetjens@globaltunaalliance.com</w:t>
      </w:r>
    </w:p>
    <w:p w14:paraId="2A6E9558" w14:textId="77777777" w:rsidR="002601FA" w:rsidRPr="00B845AF" w:rsidRDefault="002601FA" w:rsidP="002601FA">
      <w:pPr>
        <w:rPr>
          <w:rFonts w:asciiTheme="minorHAnsi" w:eastAsiaTheme="minorEastAsia" w:hAnsiTheme="minorHAnsi" w:cstheme="minorHAnsi"/>
          <w:color w:val="000000"/>
          <w:szCs w:val="22"/>
          <w:lang w:eastAsia="ja-JP"/>
        </w:rPr>
      </w:pPr>
    </w:p>
    <w:p w14:paraId="6F64158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INTER-AMERICAN TROPICAL TUNA COMMISSION (IATTC)</w:t>
      </w:r>
    </w:p>
    <w:p w14:paraId="6D9ABD99" w14:textId="77777777" w:rsidR="002601FA" w:rsidRPr="00B845AF" w:rsidRDefault="002601FA" w:rsidP="002601FA">
      <w:pPr>
        <w:rPr>
          <w:rFonts w:asciiTheme="minorHAnsi" w:eastAsiaTheme="minorEastAsia" w:hAnsiTheme="minorHAnsi" w:cstheme="minorHAnsi"/>
          <w:color w:val="000000"/>
          <w:szCs w:val="22"/>
          <w:lang w:eastAsia="ja-JP"/>
        </w:rPr>
      </w:pPr>
    </w:p>
    <w:p w14:paraId="6468839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Alexandre Aires-da-Silva</w:t>
      </w:r>
    </w:p>
    <w:p w14:paraId="188D8FE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Inter-American Tropical Tuna Commission</w:t>
      </w:r>
    </w:p>
    <w:p w14:paraId="09D5518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Coordinator of Scientific Research</w:t>
      </w:r>
    </w:p>
    <w:p w14:paraId="57A66B8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alexdasilva@iattc.org</w:t>
      </w:r>
    </w:p>
    <w:p w14:paraId="2677398A" w14:textId="77777777" w:rsidR="002601FA" w:rsidRPr="00B845AF" w:rsidRDefault="002601FA" w:rsidP="002601FA">
      <w:pPr>
        <w:rPr>
          <w:rFonts w:asciiTheme="minorHAnsi" w:eastAsiaTheme="minorEastAsia" w:hAnsiTheme="minorHAnsi" w:cstheme="minorHAnsi"/>
          <w:color w:val="000000"/>
          <w:szCs w:val="22"/>
          <w:lang w:eastAsia="ja-JP"/>
        </w:rPr>
      </w:pPr>
    </w:p>
    <w:p w14:paraId="46E718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INTERNATIONAL SCIENTIFIC COMMITTEE FOR TUNA AND TUNA-LIKE SPECIES IN THE NORTH PACIFIC OCEAN (ISC)</w:t>
      </w:r>
    </w:p>
    <w:p w14:paraId="2AA02D3E" w14:textId="77777777" w:rsidR="002601FA" w:rsidRPr="00B845AF" w:rsidRDefault="002601FA" w:rsidP="002601FA">
      <w:pPr>
        <w:rPr>
          <w:rFonts w:asciiTheme="minorHAnsi" w:eastAsiaTheme="minorEastAsia" w:hAnsiTheme="minorHAnsi" w:cstheme="minorHAnsi"/>
          <w:color w:val="000000"/>
          <w:szCs w:val="22"/>
          <w:lang w:eastAsia="ja-JP"/>
        </w:rPr>
      </w:pPr>
    </w:p>
    <w:p w14:paraId="5DF466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Robert Ahrens</w:t>
      </w:r>
    </w:p>
    <w:p w14:paraId="0416118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NOAA PIFSC</w:t>
      </w:r>
    </w:p>
    <w:p w14:paraId="5DAAB8E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 Fish Biologist</w:t>
      </w:r>
    </w:p>
    <w:p w14:paraId="7984B92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lastRenderedPageBreak/>
        <w:t>robert.ahrens@noaa.gov</w:t>
      </w:r>
    </w:p>
    <w:p w14:paraId="73C1012F" w14:textId="77777777" w:rsidR="002601FA" w:rsidRPr="00B845AF" w:rsidRDefault="002601FA" w:rsidP="002601FA">
      <w:pPr>
        <w:rPr>
          <w:rFonts w:asciiTheme="minorHAnsi" w:eastAsiaTheme="minorEastAsia" w:hAnsiTheme="minorHAnsi" w:cstheme="minorHAnsi"/>
          <w:color w:val="000000"/>
          <w:szCs w:val="22"/>
          <w:lang w:eastAsia="ja-JP"/>
        </w:rPr>
      </w:pPr>
    </w:p>
    <w:p w14:paraId="4E57626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INTERNATIONAL SEAFOOD SUSTAINABILITY FOUNDATION (ISSF)</w:t>
      </w:r>
    </w:p>
    <w:p w14:paraId="096807A1" w14:textId="77777777" w:rsidR="002601FA" w:rsidRPr="00B845AF" w:rsidRDefault="002601FA" w:rsidP="002601FA">
      <w:pPr>
        <w:rPr>
          <w:rFonts w:asciiTheme="minorHAnsi" w:eastAsiaTheme="minorEastAsia" w:hAnsiTheme="minorHAnsi" w:cstheme="minorHAnsi"/>
          <w:color w:val="000000"/>
          <w:szCs w:val="22"/>
          <w:lang w:eastAsia="ja-JP"/>
        </w:rPr>
      </w:pPr>
    </w:p>
    <w:p w14:paraId="76F9740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Hilario Murua</w:t>
      </w:r>
    </w:p>
    <w:p w14:paraId="5AE4B70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International Seafood Sustainability Foundation (ISSF)</w:t>
      </w:r>
    </w:p>
    <w:p w14:paraId="134FB32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 Scientist</w:t>
      </w:r>
    </w:p>
    <w:p w14:paraId="7398F7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hmurua@iss-foundation.org</w:t>
      </w:r>
    </w:p>
    <w:p w14:paraId="4E5307EE" w14:textId="77777777" w:rsidR="002601FA" w:rsidRPr="00B845AF" w:rsidRDefault="002601FA" w:rsidP="002601FA">
      <w:pPr>
        <w:rPr>
          <w:rFonts w:asciiTheme="minorHAnsi" w:eastAsiaTheme="minorEastAsia" w:hAnsiTheme="minorHAnsi" w:cstheme="minorHAnsi"/>
          <w:color w:val="000000"/>
          <w:szCs w:val="22"/>
          <w:lang w:eastAsia="ja-JP"/>
        </w:rPr>
      </w:pPr>
    </w:p>
    <w:p w14:paraId="626404A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MARINE STEWARDSHIP COUNCIL</w:t>
      </w:r>
    </w:p>
    <w:p w14:paraId="3213A103" w14:textId="77777777" w:rsidR="002601FA" w:rsidRPr="00B845AF" w:rsidRDefault="002601FA" w:rsidP="002601FA">
      <w:pPr>
        <w:rPr>
          <w:rFonts w:asciiTheme="minorHAnsi" w:eastAsiaTheme="minorEastAsia" w:hAnsiTheme="minorHAnsi" w:cstheme="minorHAnsi"/>
          <w:color w:val="000000"/>
          <w:szCs w:val="22"/>
          <w:lang w:eastAsia="ja-JP"/>
        </w:rPr>
      </w:pPr>
    </w:p>
    <w:p w14:paraId="3614AC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Adrian Gutteridge</w:t>
      </w:r>
    </w:p>
    <w:p w14:paraId="523833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Marine Stewardship Council</w:t>
      </w:r>
    </w:p>
    <w:p w14:paraId="5115512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Standard Manager</w:t>
      </w:r>
    </w:p>
    <w:p w14:paraId="39D78E9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adrian.gutteridge@msc.org</w:t>
      </w:r>
    </w:p>
    <w:p w14:paraId="1D8580D6" w14:textId="77777777" w:rsidR="002601FA" w:rsidRPr="00B845AF" w:rsidRDefault="002601FA" w:rsidP="002601FA">
      <w:pPr>
        <w:rPr>
          <w:rFonts w:asciiTheme="minorHAnsi" w:eastAsiaTheme="minorEastAsia" w:hAnsiTheme="minorHAnsi" w:cstheme="minorHAnsi"/>
          <w:color w:val="000000"/>
          <w:szCs w:val="22"/>
          <w:lang w:eastAsia="ja-JP"/>
        </w:rPr>
      </w:pPr>
    </w:p>
    <w:p w14:paraId="25AC46A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Bill Holden</w:t>
      </w:r>
    </w:p>
    <w:p w14:paraId="5D1EE48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Marine Stewardship Council</w:t>
      </w:r>
    </w:p>
    <w:p w14:paraId="053319C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Tuna Fisheries Outreach Manager</w:t>
      </w:r>
    </w:p>
    <w:p w14:paraId="1470498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bill.holden@msc.org</w:t>
      </w:r>
    </w:p>
    <w:p w14:paraId="32C2556E" w14:textId="77777777" w:rsidR="002601FA" w:rsidRPr="00B845AF" w:rsidRDefault="002601FA" w:rsidP="002601FA">
      <w:pPr>
        <w:rPr>
          <w:rFonts w:asciiTheme="minorHAnsi" w:eastAsiaTheme="minorEastAsia" w:hAnsiTheme="minorHAnsi" w:cstheme="minorHAnsi"/>
          <w:color w:val="000000"/>
          <w:szCs w:val="22"/>
          <w:lang w:eastAsia="ja-JP"/>
        </w:rPr>
      </w:pPr>
    </w:p>
    <w:p w14:paraId="645421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Sayuri Ichikawa</w:t>
      </w:r>
    </w:p>
    <w:p w14:paraId="0A858DA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Marine Stewardship Council</w:t>
      </w:r>
    </w:p>
    <w:p w14:paraId="4097F8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WCPO Tuna Project Manager</w:t>
      </w:r>
    </w:p>
    <w:p w14:paraId="21269AC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sayuri.ichikawa@msc.org</w:t>
      </w:r>
    </w:p>
    <w:p w14:paraId="610D8E0D" w14:textId="77777777" w:rsidR="002601FA" w:rsidRPr="00B845AF" w:rsidRDefault="002601FA" w:rsidP="002601FA">
      <w:pPr>
        <w:rPr>
          <w:rFonts w:asciiTheme="minorHAnsi" w:eastAsiaTheme="minorEastAsia" w:hAnsiTheme="minorHAnsi" w:cstheme="minorHAnsi"/>
          <w:color w:val="000000"/>
          <w:szCs w:val="22"/>
          <w:lang w:eastAsia="ja-JP"/>
        </w:rPr>
      </w:pPr>
    </w:p>
    <w:p w14:paraId="600F71E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PACIFIC COMMUNITY (SPC)</w:t>
      </w:r>
    </w:p>
    <w:p w14:paraId="4B924579" w14:textId="77777777" w:rsidR="002601FA" w:rsidRPr="00B845AF" w:rsidRDefault="002601FA" w:rsidP="002601FA">
      <w:pPr>
        <w:rPr>
          <w:rFonts w:asciiTheme="minorHAnsi" w:eastAsiaTheme="minorEastAsia" w:hAnsiTheme="minorHAnsi" w:cstheme="minorHAnsi"/>
          <w:color w:val="000000"/>
          <w:szCs w:val="22"/>
          <w:lang w:eastAsia="ja-JP"/>
        </w:rPr>
      </w:pPr>
    </w:p>
    <w:p w14:paraId="45800B8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Anaïs </w:t>
      </w:r>
      <w:proofErr w:type="spellStart"/>
      <w:r w:rsidRPr="00B845AF">
        <w:rPr>
          <w:rFonts w:asciiTheme="minorHAnsi" w:hAnsiTheme="minorHAnsi" w:cstheme="minorHAnsi"/>
          <w:b/>
          <w:bCs/>
          <w:color w:val="000000"/>
          <w:szCs w:val="22"/>
          <w:lang w:eastAsia="ja-JP"/>
        </w:rPr>
        <w:t>Médieu</w:t>
      </w:r>
      <w:proofErr w:type="spellEnd"/>
    </w:p>
    <w:p w14:paraId="5C46E1F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IRD</w:t>
      </w:r>
    </w:p>
    <w:p w14:paraId="26582CE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1FBF88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anais.medieu@ird.fr</w:t>
      </w:r>
    </w:p>
    <w:p w14:paraId="11D687FA" w14:textId="77777777" w:rsidR="002601FA" w:rsidRPr="00B845AF" w:rsidRDefault="002601FA" w:rsidP="002601FA">
      <w:pPr>
        <w:rPr>
          <w:rFonts w:asciiTheme="minorHAnsi" w:eastAsiaTheme="minorEastAsia" w:hAnsiTheme="minorHAnsi" w:cstheme="minorHAnsi"/>
          <w:color w:val="000000"/>
          <w:szCs w:val="22"/>
          <w:lang w:eastAsia="ja-JP"/>
        </w:rPr>
      </w:pPr>
    </w:p>
    <w:p w14:paraId="6E2B2C74"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Apete</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Dabea</w:t>
      </w:r>
      <w:proofErr w:type="spellEnd"/>
      <w:r w:rsidRPr="00B845AF">
        <w:rPr>
          <w:rFonts w:asciiTheme="minorHAnsi" w:hAnsiTheme="minorHAnsi" w:cstheme="minorHAnsi"/>
          <w:b/>
          <w:bCs/>
          <w:color w:val="000000"/>
          <w:szCs w:val="22"/>
          <w:lang w:eastAsia="ja-JP"/>
        </w:rPr>
        <w:t xml:space="preserve"> </w:t>
      </w:r>
    </w:p>
    <w:p w14:paraId="0955458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2759B27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PIFP</w:t>
      </w:r>
    </w:p>
    <w:p w14:paraId="371FAE2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apeted@spc.int</w:t>
      </w:r>
    </w:p>
    <w:p w14:paraId="55692034" w14:textId="77777777" w:rsidR="002601FA" w:rsidRPr="00B845AF" w:rsidRDefault="002601FA" w:rsidP="002601FA">
      <w:pPr>
        <w:rPr>
          <w:rFonts w:asciiTheme="minorHAnsi" w:eastAsiaTheme="minorEastAsia" w:hAnsiTheme="minorHAnsi" w:cstheme="minorHAnsi"/>
          <w:color w:val="000000"/>
          <w:szCs w:val="22"/>
          <w:lang w:eastAsia="ja-JP"/>
        </w:rPr>
      </w:pPr>
    </w:p>
    <w:p w14:paraId="3D0545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Arni Magnusson</w:t>
      </w:r>
    </w:p>
    <w:p w14:paraId="0E446A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71B44B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Scientist</w:t>
      </w:r>
    </w:p>
    <w:p w14:paraId="2CC97D1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arnim@spc.int</w:t>
      </w:r>
    </w:p>
    <w:p w14:paraId="48D03AC3" w14:textId="77777777" w:rsidR="002601FA" w:rsidRPr="00B845AF" w:rsidRDefault="002601FA" w:rsidP="002601FA">
      <w:pPr>
        <w:rPr>
          <w:rFonts w:asciiTheme="minorHAnsi" w:eastAsiaTheme="minorEastAsia" w:hAnsiTheme="minorHAnsi" w:cstheme="minorHAnsi"/>
          <w:color w:val="000000"/>
          <w:szCs w:val="22"/>
          <w:lang w:eastAsia="ja-JP"/>
        </w:rPr>
      </w:pPr>
    </w:p>
    <w:p w14:paraId="776B24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Beryl Fulilagi</w:t>
      </w:r>
    </w:p>
    <w:p w14:paraId="6456D9C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72EDEA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Projects Officer - OFP</w:t>
      </w:r>
    </w:p>
    <w:p w14:paraId="2C439174" w14:textId="77777777" w:rsidR="002601FA" w:rsidRPr="00B845AF" w:rsidRDefault="002601FA" w:rsidP="002601FA">
      <w:pPr>
        <w:rPr>
          <w:rFonts w:asciiTheme="minorHAnsi" w:eastAsiaTheme="minorEastAsia" w:hAnsiTheme="minorHAnsi" w:cstheme="minorHAnsi"/>
          <w:color w:val="000000"/>
          <w:szCs w:val="22"/>
          <w:lang w:eastAsia="ja-JP"/>
        </w:rPr>
      </w:pPr>
    </w:p>
    <w:p w14:paraId="372FC93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Claudio Castillo Jordán</w:t>
      </w:r>
    </w:p>
    <w:p w14:paraId="3F46ED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1F19674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2C9D0A8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claudioc@spc.int</w:t>
      </w:r>
    </w:p>
    <w:p w14:paraId="1FA9CC2A" w14:textId="77777777" w:rsidR="002601FA" w:rsidRPr="00B845AF" w:rsidRDefault="002601FA" w:rsidP="002601FA">
      <w:pPr>
        <w:rPr>
          <w:rFonts w:asciiTheme="minorHAnsi" w:eastAsiaTheme="minorEastAsia" w:hAnsiTheme="minorHAnsi" w:cstheme="minorHAnsi"/>
          <w:color w:val="000000"/>
          <w:szCs w:val="22"/>
          <w:lang w:eastAsia="ja-JP"/>
        </w:rPr>
      </w:pPr>
    </w:p>
    <w:p w14:paraId="500A290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Corey Wakefield</w:t>
      </w:r>
    </w:p>
    <w:p w14:paraId="30D577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084D579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Scientist</w:t>
      </w:r>
    </w:p>
    <w:p w14:paraId="1A2678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coreyw@spc.int</w:t>
      </w:r>
    </w:p>
    <w:p w14:paraId="50D675A9" w14:textId="77777777" w:rsidR="002601FA" w:rsidRPr="00B845AF" w:rsidRDefault="002601FA" w:rsidP="002601FA">
      <w:pPr>
        <w:rPr>
          <w:rFonts w:asciiTheme="minorHAnsi" w:eastAsiaTheme="minorEastAsia" w:hAnsiTheme="minorHAnsi" w:cstheme="minorHAnsi"/>
          <w:color w:val="000000"/>
          <w:szCs w:val="22"/>
          <w:lang w:eastAsia="ja-JP"/>
        </w:rPr>
      </w:pPr>
    </w:p>
    <w:p w14:paraId="4E6CB02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Feeongka Kaltho</w:t>
      </w:r>
    </w:p>
    <w:p w14:paraId="3AAFC21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03B6672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 Fisheries Professional</w:t>
      </w:r>
    </w:p>
    <w:p w14:paraId="079FA80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feeongkak@spc.int</w:t>
      </w:r>
    </w:p>
    <w:p w14:paraId="12FE9147" w14:textId="77777777" w:rsidR="002601FA" w:rsidRPr="00B845AF" w:rsidRDefault="002601FA" w:rsidP="002601FA">
      <w:pPr>
        <w:rPr>
          <w:rFonts w:asciiTheme="minorHAnsi" w:eastAsiaTheme="minorEastAsia" w:hAnsiTheme="minorHAnsi" w:cstheme="minorHAnsi"/>
          <w:color w:val="000000"/>
          <w:szCs w:val="22"/>
          <w:lang w:eastAsia="ja-JP"/>
        </w:rPr>
      </w:pPr>
    </w:p>
    <w:p w14:paraId="4B181E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Finlay Scott</w:t>
      </w:r>
    </w:p>
    <w:p w14:paraId="7748501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2C368C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43B24F0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finlays@spc.int</w:t>
      </w:r>
    </w:p>
    <w:p w14:paraId="2A8F8C14" w14:textId="77777777" w:rsidR="002601FA" w:rsidRPr="00B845AF" w:rsidRDefault="002601FA" w:rsidP="002601FA">
      <w:pPr>
        <w:rPr>
          <w:rFonts w:asciiTheme="minorHAnsi" w:eastAsiaTheme="minorEastAsia" w:hAnsiTheme="minorHAnsi" w:cstheme="minorHAnsi"/>
          <w:color w:val="000000"/>
          <w:szCs w:val="22"/>
          <w:lang w:eastAsia="ja-JP"/>
        </w:rPr>
      </w:pPr>
    </w:p>
    <w:p w14:paraId="5FFD936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Graham Pilling</w:t>
      </w:r>
    </w:p>
    <w:p w14:paraId="1E0C18A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511B8B4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Director FAME (OFP)</w:t>
      </w:r>
    </w:p>
    <w:p w14:paraId="28BAE1E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grahamp@spc.int</w:t>
      </w:r>
    </w:p>
    <w:p w14:paraId="247872B2" w14:textId="77777777" w:rsidR="002601FA" w:rsidRPr="00B845AF" w:rsidRDefault="002601FA" w:rsidP="002601FA">
      <w:pPr>
        <w:rPr>
          <w:rFonts w:asciiTheme="minorHAnsi" w:eastAsiaTheme="minorEastAsia" w:hAnsiTheme="minorHAnsi" w:cstheme="minorHAnsi"/>
          <w:color w:val="000000"/>
          <w:szCs w:val="22"/>
          <w:lang w:eastAsia="ja-JP"/>
        </w:rPr>
      </w:pPr>
    </w:p>
    <w:p w14:paraId="3BD4D71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Inna Senina</w:t>
      </w:r>
    </w:p>
    <w:p w14:paraId="6F4CE26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739566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Scientist (Tuna Population Dynamics Modeling)</w:t>
      </w:r>
    </w:p>
    <w:p w14:paraId="457F818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innas@spc.int</w:t>
      </w:r>
    </w:p>
    <w:p w14:paraId="47991CBE" w14:textId="77777777" w:rsidR="002601FA" w:rsidRPr="00B845AF" w:rsidRDefault="002601FA" w:rsidP="002601FA">
      <w:pPr>
        <w:rPr>
          <w:rFonts w:asciiTheme="minorHAnsi" w:eastAsiaTheme="minorEastAsia" w:hAnsiTheme="minorHAnsi" w:cstheme="minorHAnsi"/>
          <w:color w:val="000000"/>
          <w:szCs w:val="22"/>
          <w:lang w:eastAsia="ja-JP"/>
        </w:rPr>
      </w:pPr>
    </w:p>
    <w:p w14:paraId="57F072C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Joe Scutt Phillips</w:t>
      </w:r>
    </w:p>
    <w:p w14:paraId="3E70EAC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0CEBB90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Scientist</w:t>
      </w:r>
    </w:p>
    <w:p w14:paraId="4A24ED4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joes@spc.int</w:t>
      </w:r>
    </w:p>
    <w:p w14:paraId="05AF59B8" w14:textId="77777777" w:rsidR="002601FA" w:rsidRPr="00B845AF" w:rsidRDefault="002601FA" w:rsidP="002601FA">
      <w:pPr>
        <w:rPr>
          <w:rFonts w:asciiTheme="minorHAnsi" w:eastAsiaTheme="minorEastAsia" w:hAnsiTheme="minorHAnsi" w:cstheme="minorHAnsi"/>
          <w:color w:val="000000"/>
          <w:szCs w:val="22"/>
          <w:lang w:eastAsia="ja-JP"/>
        </w:rPr>
      </w:pPr>
    </w:p>
    <w:p w14:paraId="33119F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Kyuhan Kim</w:t>
      </w:r>
    </w:p>
    <w:p w14:paraId="462722F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667507E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32BD7FF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kyuhank@spc.int</w:t>
      </w:r>
    </w:p>
    <w:p w14:paraId="2AE2E60C" w14:textId="77777777" w:rsidR="002601FA" w:rsidRPr="00B845AF" w:rsidRDefault="002601FA" w:rsidP="002601FA">
      <w:pPr>
        <w:rPr>
          <w:rFonts w:asciiTheme="minorHAnsi" w:eastAsiaTheme="minorEastAsia" w:hAnsiTheme="minorHAnsi" w:cstheme="minorHAnsi"/>
          <w:color w:val="000000"/>
          <w:szCs w:val="22"/>
          <w:lang w:eastAsia="ja-JP"/>
        </w:rPr>
      </w:pPr>
    </w:p>
    <w:p w14:paraId="5DA020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Lauriane Escalle</w:t>
      </w:r>
    </w:p>
    <w:p w14:paraId="630B5C3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45DD66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59B8B34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laurianee@spc.int</w:t>
      </w:r>
    </w:p>
    <w:p w14:paraId="1DC22F4B" w14:textId="77777777" w:rsidR="002601FA" w:rsidRPr="00B845AF" w:rsidRDefault="002601FA" w:rsidP="002601FA">
      <w:pPr>
        <w:rPr>
          <w:rFonts w:asciiTheme="minorHAnsi" w:eastAsiaTheme="minorEastAsia" w:hAnsiTheme="minorHAnsi" w:cstheme="minorHAnsi"/>
          <w:color w:val="000000"/>
          <w:szCs w:val="22"/>
          <w:lang w:eastAsia="ja-JP"/>
        </w:rPr>
      </w:pPr>
    </w:p>
    <w:p w14:paraId="3D9CFFD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Lucas Bonnin</w:t>
      </w:r>
    </w:p>
    <w:p w14:paraId="4B0F289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Pacific Community</w:t>
      </w:r>
    </w:p>
    <w:p w14:paraId="1F958BD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47218B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lucasb@spc.int</w:t>
      </w:r>
    </w:p>
    <w:p w14:paraId="6CF8088B" w14:textId="77777777" w:rsidR="002601FA" w:rsidRPr="00B845AF" w:rsidRDefault="002601FA" w:rsidP="002601FA">
      <w:pPr>
        <w:rPr>
          <w:rFonts w:asciiTheme="minorHAnsi" w:eastAsiaTheme="minorEastAsia" w:hAnsiTheme="minorHAnsi" w:cstheme="minorHAnsi"/>
          <w:color w:val="000000"/>
          <w:szCs w:val="22"/>
          <w:lang w:eastAsia="ja-JP"/>
        </w:rPr>
      </w:pPr>
    </w:p>
    <w:p w14:paraId="026CAC2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Lui Apela Johannes Junior Bell</w:t>
      </w:r>
    </w:p>
    <w:p w14:paraId="1E14AD6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1A4E32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Technician </w:t>
      </w:r>
    </w:p>
    <w:p w14:paraId="44ED711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luib@spc.int</w:t>
      </w:r>
    </w:p>
    <w:p w14:paraId="64178DFD" w14:textId="77777777" w:rsidR="002601FA" w:rsidRPr="00B845AF" w:rsidRDefault="002601FA" w:rsidP="002601FA">
      <w:pPr>
        <w:rPr>
          <w:rFonts w:asciiTheme="minorHAnsi" w:eastAsiaTheme="minorEastAsia" w:hAnsiTheme="minorHAnsi" w:cstheme="minorHAnsi"/>
          <w:color w:val="000000"/>
          <w:szCs w:val="22"/>
          <w:lang w:eastAsia="ja-JP"/>
        </w:rPr>
      </w:pPr>
    </w:p>
    <w:p w14:paraId="76AF039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Marino Wichman</w:t>
      </w:r>
    </w:p>
    <w:p w14:paraId="3328B7A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Secretariat of the Pacific Community </w:t>
      </w:r>
    </w:p>
    <w:p w14:paraId="3C1A63C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Scientist </w:t>
      </w:r>
    </w:p>
    <w:p w14:paraId="5B718DAC" w14:textId="77777777" w:rsidR="002601FA" w:rsidRPr="00B845AF" w:rsidRDefault="002601FA" w:rsidP="002601FA">
      <w:pPr>
        <w:rPr>
          <w:rFonts w:asciiTheme="minorHAnsi" w:eastAsiaTheme="minorEastAsia" w:hAnsiTheme="minorHAnsi" w:cstheme="minorHAnsi"/>
          <w:color w:val="000000"/>
          <w:szCs w:val="22"/>
          <w:lang w:eastAsia="ja-JP"/>
        </w:rPr>
      </w:pPr>
    </w:p>
    <w:p w14:paraId="2E54DFE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Marion Boutigny</w:t>
      </w:r>
    </w:p>
    <w:p w14:paraId="091F0B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0706DC6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Observer</w:t>
      </w:r>
    </w:p>
    <w:p w14:paraId="2D42E41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marionb@spc.int</w:t>
      </w:r>
    </w:p>
    <w:p w14:paraId="7A3428EE" w14:textId="77777777" w:rsidR="002601FA" w:rsidRPr="00B845AF" w:rsidRDefault="002601FA" w:rsidP="002601FA">
      <w:pPr>
        <w:rPr>
          <w:rFonts w:asciiTheme="minorHAnsi" w:eastAsiaTheme="minorEastAsia" w:hAnsiTheme="minorHAnsi" w:cstheme="minorHAnsi"/>
          <w:color w:val="000000"/>
          <w:szCs w:val="22"/>
          <w:lang w:eastAsia="ja-JP"/>
        </w:rPr>
      </w:pPr>
    </w:p>
    <w:p w14:paraId="3E131A9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Matthew Cunningham</w:t>
      </w:r>
    </w:p>
    <w:p w14:paraId="7DF0BF1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17DFCF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Technician</w:t>
      </w:r>
    </w:p>
    <w:p w14:paraId="001C4BC5" w14:textId="77777777" w:rsidR="002601FA" w:rsidRPr="00B845AF" w:rsidRDefault="002601FA" w:rsidP="002601FA">
      <w:pPr>
        <w:rPr>
          <w:rFonts w:asciiTheme="minorHAnsi" w:eastAsiaTheme="minorEastAsia" w:hAnsiTheme="minorHAnsi" w:cstheme="minorHAnsi"/>
          <w:color w:val="000000"/>
          <w:szCs w:val="22"/>
          <w:lang w:eastAsia="ja-JP"/>
        </w:rPr>
      </w:pPr>
    </w:p>
    <w:p w14:paraId="589364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Montana Wickens</w:t>
      </w:r>
    </w:p>
    <w:p w14:paraId="297751F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618F5DD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Fishery Scientist</w:t>
      </w:r>
    </w:p>
    <w:p w14:paraId="54110D4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montanaw@spc.int</w:t>
      </w:r>
    </w:p>
    <w:p w14:paraId="2D3636E7" w14:textId="77777777" w:rsidR="002601FA" w:rsidRPr="00B845AF" w:rsidRDefault="002601FA" w:rsidP="002601FA">
      <w:pPr>
        <w:rPr>
          <w:rFonts w:asciiTheme="minorHAnsi" w:eastAsiaTheme="minorEastAsia" w:hAnsiTheme="minorHAnsi" w:cstheme="minorHAnsi"/>
          <w:color w:val="000000"/>
          <w:szCs w:val="22"/>
          <w:lang w:eastAsia="ja-JP"/>
        </w:rPr>
      </w:pPr>
    </w:p>
    <w:p w14:paraId="13E50FE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Nan Yao</w:t>
      </w:r>
    </w:p>
    <w:p w14:paraId="55A04F3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020C98B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Scientist </w:t>
      </w:r>
    </w:p>
    <w:p w14:paraId="384BC893" w14:textId="77777777" w:rsidR="002601FA" w:rsidRPr="00B845AF" w:rsidRDefault="002601FA" w:rsidP="002601FA">
      <w:pPr>
        <w:rPr>
          <w:rFonts w:asciiTheme="minorHAnsi" w:eastAsiaTheme="minorEastAsia" w:hAnsiTheme="minorHAnsi" w:cstheme="minorHAnsi"/>
          <w:color w:val="000000"/>
          <w:szCs w:val="22"/>
          <w:lang w:eastAsia="ja-JP"/>
        </w:rPr>
      </w:pPr>
    </w:p>
    <w:p w14:paraId="4E5A814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Nick Davies</w:t>
      </w:r>
    </w:p>
    <w:p w14:paraId="011F45E9"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color w:val="000000"/>
          <w:szCs w:val="22"/>
          <w:lang w:eastAsia="ja-JP"/>
        </w:rPr>
        <w:t>Te</w:t>
      </w:r>
      <w:proofErr w:type="spellEnd"/>
      <w:r w:rsidRPr="00B845AF">
        <w:rPr>
          <w:rFonts w:asciiTheme="minorHAnsi" w:hAnsiTheme="minorHAnsi" w:cstheme="minorHAnsi"/>
          <w:color w:val="000000"/>
          <w:szCs w:val="22"/>
          <w:lang w:eastAsia="ja-JP"/>
        </w:rPr>
        <w:t xml:space="preserve"> Takina Limited</w:t>
      </w:r>
    </w:p>
    <w:p w14:paraId="27C9B47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w:t>
      </w:r>
    </w:p>
    <w:p w14:paraId="001C20C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nd200806@gmail.com</w:t>
      </w:r>
    </w:p>
    <w:p w14:paraId="522158F4" w14:textId="77777777" w:rsidR="002601FA" w:rsidRPr="00B845AF" w:rsidRDefault="002601FA" w:rsidP="002601FA">
      <w:pPr>
        <w:rPr>
          <w:rFonts w:asciiTheme="minorHAnsi" w:eastAsiaTheme="minorEastAsia" w:hAnsiTheme="minorHAnsi" w:cstheme="minorHAnsi"/>
          <w:color w:val="000000"/>
          <w:szCs w:val="22"/>
          <w:lang w:eastAsia="ja-JP"/>
        </w:rPr>
      </w:pPr>
    </w:p>
    <w:p w14:paraId="645E59C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Paul Hamer</w:t>
      </w:r>
    </w:p>
    <w:p w14:paraId="12A607C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0684F5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Scientist</w:t>
      </w:r>
    </w:p>
    <w:p w14:paraId="35C7F67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paulh@spc.int</w:t>
      </w:r>
    </w:p>
    <w:p w14:paraId="53462E75" w14:textId="77777777" w:rsidR="002601FA" w:rsidRPr="00B845AF" w:rsidRDefault="002601FA" w:rsidP="002601FA">
      <w:pPr>
        <w:rPr>
          <w:rFonts w:asciiTheme="minorHAnsi" w:eastAsiaTheme="minorEastAsia" w:hAnsiTheme="minorHAnsi" w:cstheme="minorHAnsi"/>
          <w:color w:val="000000"/>
          <w:szCs w:val="22"/>
          <w:lang w:eastAsia="ja-JP"/>
        </w:rPr>
      </w:pPr>
    </w:p>
    <w:p w14:paraId="46711D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Peter Williams</w:t>
      </w:r>
    </w:p>
    <w:p w14:paraId="7C8330D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4FF5C28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Consultant</w:t>
      </w:r>
    </w:p>
    <w:p w14:paraId="2234C3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peterw@spc.int</w:t>
      </w:r>
    </w:p>
    <w:p w14:paraId="5D30AB81" w14:textId="77777777" w:rsidR="002601FA" w:rsidRPr="00B845AF" w:rsidRDefault="002601FA" w:rsidP="002601FA">
      <w:pPr>
        <w:rPr>
          <w:rFonts w:asciiTheme="minorHAnsi" w:eastAsiaTheme="minorEastAsia" w:hAnsiTheme="minorHAnsi" w:cstheme="minorHAnsi"/>
          <w:color w:val="000000"/>
          <w:szCs w:val="22"/>
          <w:lang w:eastAsia="ja-JP"/>
        </w:rPr>
      </w:pPr>
    </w:p>
    <w:p w14:paraId="2F304E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Philipp Neubauer</w:t>
      </w:r>
    </w:p>
    <w:p w14:paraId="6B2D438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Dragonfly Data Science</w:t>
      </w:r>
    </w:p>
    <w:p w14:paraId="42851AC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 Fisheries and Marine Science</w:t>
      </w:r>
    </w:p>
    <w:p w14:paraId="0760A1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philipp@dragonfly.co.nz</w:t>
      </w:r>
    </w:p>
    <w:p w14:paraId="210D6800" w14:textId="77777777" w:rsidR="002601FA" w:rsidRPr="00B845AF" w:rsidRDefault="002601FA" w:rsidP="002601FA">
      <w:pPr>
        <w:rPr>
          <w:rFonts w:asciiTheme="minorHAnsi" w:eastAsiaTheme="minorEastAsia" w:hAnsiTheme="minorHAnsi" w:cstheme="minorHAnsi"/>
          <w:color w:val="000000"/>
          <w:szCs w:val="22"/>
          <w:lang w:eastAsia="ja-JP"/>
        </w:rPr>
      </w:pPr>
    </w:p>
    <w:p w14:paraId="1A5B8A2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Richard Douglas</w:t>
      </w:r>
    </w:p>
    <w:p w14:paraId="44D02FA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The Pacific Community (SPC)</w:t>
      </w:r>
    </w:p>
    <w:p w14:paraId="01C0A43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 Fisheries Professional (Fish Biology)</w:t>
      </w:r>
    </w:p>
    <w:p w14:paraId="56695C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richardd@spc.int</w:t>
      </w:r>
    </w:p>
    <w:p w14:paraId="231717A1" w14:textId="77777777" w:rsidR="002601FA" w:rsidRPr="00B845AF" w:rsidRDefault="002601FA" w:rsidP="002601FA">
      <w:pPr>
        <w:rPr>
          <w:rFonts w:asciiTheme="minorHAnsi" w:eastAsiaTheme="minorEastAsia" w:hAnsiTheme="minorHAnsi" w:cstheme="minorHAnsi"/>
          <w:color w:val="000000"/>
          <w:szCs w:val="22"/>
          <w:lang w:eastAsia="ja-JP"/>
        </w:rPr>
      </w:pPr>
    </w:p>
    <w:p w14:paraId="47F22D9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Robert Scott</w:t>
      </w:r>
    </w:p>
    <w:p w14:paraId="30CCCDB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3BFD55C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Scientist</w:t>
      </w:r>
    </w:p>
    <w:p w14:paraId="00D07AC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robertsc@spc.int</w:t>
      </w:r>
    </w:p>
    <w:p w14:paraId="5902E2B5" w14:textId="77777777" w:rsidR="002601FA" w:rsidRPr="00B845AF" w:rsidRDefault="002601FA" w:rsidP="002601FA">
      <w:pPr>
        <w:rPr>
          <w:rFonts w:asciiTheme="minorHAnsi" w:eastAsiaTheme="minorEastAsia" w:hAnsiTheme="minorHAnsi" w:cstheme="minorHAnsi"/>
          <w:color w:val="000000"/>
          <w:szCs w:val="22"/>
          <w:lang w:eastAsia="ja-JP"/>
        </w:rPr>
      </w:pPr>
    </w:p>
    <w:p w14:paraId="5EC01F5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Sebastien Gislard</w:t>
      </w:r>
    </w:p>
    <w:p w14:paraId="0B7FD7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4269E44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technician</w:t>
      </w:r>
    </w:p>
    <w:p w14:paraId="7366D6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sebastieng@spc.int</w:t>
      </w:r>
    </w:p>
    <w:p w14:paraId="4B4679BF" w14:textId="77777777" w:rsidR="002601FA" w:rsidRPr="00B845AF" w:rsidRDefault="002601FA" w:rsidP="002601FA">
      <w:pPr>
        <w:rPr>
          <w:rFonts w:asciiTheme="minorHAnsi" w:eastAsiaTheme="minorEastAsia" w:hAnsiTheme="minorHAnsi" w:cstheme="minorHAnsi"/>
          <w:color w:val="000000"/>
          <w:szCs w:val="22"/>
          <w:lang w:eastAsia="ja-JP"/>
        </w:rPr>
      </w:pPr>
    </w:p>
    <w:p w14:paraId="69B9789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Simon Nicol</w:t>
      </w:r>
    </w:p>
    <w:p w14:paraId="0B5326E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1007FF5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Scientist</w:t>
      </w:r>
    </w:p>
    <w:p w14:paraId="1DDAEE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simonn@spc.int</w:t>
      </w:r>
    </w:p>
    <w:p w14:paraId="7304BAF8" w14:textId="77777777" w:rsidR="002601FA" w:rsidRPr="00B845AF" w:rsidRDefault="002601FA" w:rsidP="002601FA">
      <w:pPr>
        <w:rPr>
          <w:rFonts w:asciiTheme="minorHAnsi" w:eastAsiaTheme="minorEastAsia" w:hAnsiTheme="minorHAnsi" w:cstheme="minorHAnsi"/>
          <w:color w:val="000000"/>
          <w:szCs w:val="22"/>
          <w:lang w:eastAsia="ja-JP"/>
        </w:rPr>
      </w:pPr>
    </w:p>
    <w:p w14:paraId="1785A9C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Thomas Teears</w:t>
      </w:r>
    </w:p>
    <w:p w14:paraId="7DCF81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1C9D558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Scientist</w:t>
      </w:r>
    </w:p>
    <w:p w14:paraId="5AE7E72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thomast@spc.int</w:t>
      </w:r>
    </w:p>
    <w:p w14:paraId="0D9B9059" w14:textId="77777777" w:rsidR="002601FA" w:rsidRPr="00B845AF" w:rsidRDefault="002601FA" w:rsidP="002601FA">
      <w:pPr>
        <w:rPr>
          <w:rFonts w:asciiTheme="minorHAnsi" w:eastAsiaTheme="minorEastAsia" w:hAnsiTheme="minorHAnsi" w:cstheme="minorHAnsi"/>
          <w:color w:val="000000"/>
          <w:szCs w:val="22"/>
          <w:lang w:eastAsia="ja-JP"/>
        </w:rPr>
      </w:pPr>
    </w:p>
    <w:p w14:paraId="23FD5D4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Tiffany Vidal</w:t>
      </w:r>
    </w:p>
    <w:p w14:paraId="49EF65E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SPC</w:t>
      </w:r>
    </w:p>
    <w:p w14:paraId="0025EA6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Principal Fisheries Scientist (Data Management)</w:t>
      </w:r>
    </w:p>
    <w:p w14:paraId="499D1DF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tiffanyv@spc.int</w:t>
      </w:r>
    </w:p>
    <w:p w14:paraId="2B939CAC" w14:textId="77777777" w:rsidR="002601FA" w:rsidRPr="00B845AF" w:rsidRDefault="002601FA" w:rsidP="002601FA">
      <w:pPr>
        <w:rPr>
          <w:rFonts w:asciiTheme="minorHAnsi" w:eastAsiaTheme="minorEastAsia" w:hAnsiTheme="minorHAnsi" w:cstheme="minorHAnsi"/>
          <w:color w:val="000000"/>
          <w:szCs w:val="22"/>
          <w:lang w:eastAsia="ja-JP"/>
        </w:rPr>
      </w:pPr>
    </w:p>
    <w:p w14:paraId="58EE31B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Tobias Mildenberger</w:t>
      </w:r>
    </w:p>
    <w:p w14:paraId="44F66BB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DTU Aqua</w:t>
      </w:r>
    </w:p>
    <w:p w14:paraId="3C8FE9D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Researcher</w:t>
      </w:r>
    </w:p>
    <w:p w14:paraId="780B593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tobm@aqua.dtu.dk</w:t>
      </w:r>
    </w:p>
    <w:p w14:paraId="666B5B77" w14:textId="77777777" w:rsidR="002601FA" w:rsidRPr="00B845AF" w:rsidRDefault="002601FA" w:rsidP="002601FA">
      <w:pPr>
        <w:rPr>
          <w:rFonts w:asciiTheme="minorHAnsi" w:eastAsiaTheme="minorEastAsia" w:hAnsiTheme="minorHAnsi" w:cstheme="minorHAnsi"/>
          <w:color w:val="000000"/>
          <w:szCs w:val="22"/>
          <w:lang w:eastAsia="ja-JP"/>
        </w:rPr>
      </w:pPr>
    </w:p>
    <w:p w14:paraId="3FA0CA0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Valerie Allain</w:t>
      </w:r>
    </w:p>
    <w:p w14:paraId="1674758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 (SPC)</w:t>
      </w:r>
    </w:p>
    <w:p w14:paraId="0CCD418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Scientist</w:t>
      </w:r>
    </w:p>
    <w:p w14:paraId="3957226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valeriea@spc.int</w:t>
      </w:r>
    </w:p>
    <w:p w14:paraId="5ECF546E" w14:textId="77777777" w:rsidR="002601FA" w:rsidRPr="00B845AF" w:rsidRDefault="002601FA" w:rsidP="002601FA">
      <w:pPr>
        <w:rPr>
          <w:rFonts w:asciiTheme="minorHAnsi" w:eastAsiaTheme="minorEastAsia" w:hAnsiTheme="minorHAnsi" w:cstheme="minorHAnsi"/>
          <w:color w:val="000000"/>
          <w:szCs w:val="22"/>
          <w:lang w:eastAsia="ja-JP"/>
        </w:rPr>
      </w:pPr>
    </w:p>
    <w:p w14:paraId="52E6F4B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William John Hampton</w:t>
      </w:r>
    </w:p>
    <w:p w14:paraId="014650B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Community</w:t>
      </w:r>
    </w:p>
    <w:p w14:paraId="0193669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Consultant</w:t>
      </w:r>
    </w:p>
    <w:p w14:paraId="0ED31D6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johnh@spc.int</w:t>
      </w:r>
    </w:p>
    <w:p w14:paraId="541BAB07" w14:textId="77777777" w:rsidR="002601FA" w:rsidRPr="00B845AF" w:rsidRDefault="002601FA" w:rsidP="002601FA">
      <w:pPr>
        <w:rPr>
          <w:rFonts w:asciiTheme="minorHAnsi" w:eastAsiaTheme="minorEastAsia" w:hAnsiTheme="minorHAnsi" w:cstheme="minorHAnsi"/>
          <w:color w:val="000000"/>
          <w:szCs w:val="22"/>
          <w:lang w:eastAsia="ja-JP"/>
        </w:rPr>
      </w:pPr>
    </w:p>
    <w:p w14:paraId="447D1C5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PACIFIC ISLANDS FORUM FISHERIES AGENCY (FFA)</w:t>
      </w:r>
    </w:p>
    <w:p w14:paraId="0EB55A9A" w14:textId="77777777" w:rsidR="002601FA" w:rsidRPr="00B845AF" w:rsidRDefault="002601FA" w:rsidP="002601FA">
      <w:pPr>
        <w:rPr>
          <w:rFonts w:asciiTheme="minorHAnsi" w:eastAsiaTheme="minorEastAsia" w:hAnsiTheme="minorHAnsi" w:cstheme="minorHAnsi"/>
          <w:color w:val="000000"/>
          <w:szCs w:val="22"/>
          <w:lang w:eastAsia="ja-JP"/>
        </w:rPr>
      </w:pPr>
    </w:p>
    <w:p w14:paraId="5E61785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Ana F. </w:t>
      </w:r>
      <w:proofErr w:type="spellStart"/>
      <w:r w:rsidRPr="00B845AF">
        <w:rPr>
          <w:rFonts w:asciiTheme="minorHAnsi" w:hAnsiTheme="minorHAnsi" w:cstheme="minorHAnsi"/>
          <w:b/>
          <w:bCs/>
          <w:color w:val="000000"/>
          <w:szCs w:val="22"/>
          <w:lang w:eastAsia="ja-JP"/>
        </w:rPr>
        <w:t>Taholo</w:t>
      </w:r>
      <w:proofErr w:type="spellEnd"/>
    </w:p>
    <w:p w14:paraId="5C53B7B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Pacific Islands Forum Fisheries Agency </w:t>
      </w:r>
    </w:p>
    <w:p w14:paraId="12BBD43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Compliance Policy Advisor</w:t>
      </w:r>
    </w:p>
    <w:p w14:paraId="4AC897D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ana.taholo@ffa.int</w:t>
      </w:r>
    </w:p>
    <w:p w14:paraId="0C771CB5" w14:textId="77777777" w:rsidR="002601FA" w:rsidRPr="00B845AF" w:rsidRDefault="002601FA" w:rsidP="002601FA">
      <w:pPr>
        <w:rPr>
          <w:rFonts w:asciiTheme="minorHAnsi" w:eastAsiaTheme="minorEastAsia" w:hAnsiTheme="minorHAnsi" w:cstheme="minorHAnsi"/>
          <w:color w:val="000000"/>
          <w:szCs w:val="22"/>
          <w:lang w:eastAsia="ja-JP"/>
        </w:rPr>
      </w:pPr>
    </w:p>
    <w:p w14:paraId="5095054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Joyce Samuelu-Ah Leong</w:t>
      </w:r>
    </w:p>
    <w:p w14:paraId="7FF921A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Islands Forum Fisheries Agency (FFA)</w:t>
      </w:r>
    </w:p>
    <w:p w14:paraId="138C025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Management Adviser</w:t>
      </w:r>
    </w:p>
    <w:p w14:paraId="7D42B05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joyce.samuelu-ahleong@ffa.int</w:t>
      </w:r>
    </w:p>
    <w:p w14:paraId="02734F80" w14:textId="77777777" w:rsidR="002601FA" w:rsidRPr="00B845AF" w:rsidRDefault="002601FA" w:rsidP="002601FA">
      <w:pPr>
        <w:rPr>
          <w:rFonts w:asciiTheme="minorHAnsi" w:eastAsiaTheme="minorEastAsia" w:hAnsiTheme="minorHAnsi" w:cstheme="minorHAnsi"/>
          <w:color w:val="000000"/>
          <w:szCs w:val="22"/>
          <w:lang w:eastAsia="ja-JP"/>
        </w:rPr>
      </w:pPr>
    </w:p>
    <w:p w14:paraId="1CBD91F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Ludwig Kumoru</w:t>
      </w:r>
    </w:p>
    <w:p w14:paraId="2F9611A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Islands Forum Fisheries Agency (FFA)</w:t>
      </w:r>
    </w:p>
    <w:p w14:paraId="2B30A2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Director Fisheries Management Division</w:t>
      </w:r>
    </w:p>
    <w:p w14:paraId="03D864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ludwig.kumoru@ffa.int</w:t>
      </w:r>
    </w:p>
    <w:p w14:paraId="1F9ADA7A" w14:textId="77777777" w:rsidR="002601FA" w:rsidRPr="00B845AF" w:rsidRDefault="002601FA" w:rsidP="002601FA">
      <w:pPr>
        <w:rPr>
          <w:rFonts w:asciiTheme="minorHAnsi" w:eastAsiaTheme="minorEastAsia" w:hAnsiTheme="minorHAnsi" w:cstheme="minorHAnsi"/>
          <w:color w:val="000000"/>
          <w:szCs w:val="22"/>
          <w:lang w:eastAsia="ja-JP"/>
        </w:rPr>
      </w:pPr>
    </w:p>
    <w:p w14:paraId="12BC32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Marina Abas</w:t>
      </w:r>
    </w:p>
    <w:p w14:paraId="58E7F4C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Islands Forum Fisheries Agency (FFA)</w:t>
      </w:r>
    </w:p>
    <w:p w14:paraId="55A5C34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Management Advisor</w:t>
      </w:r>
    </w:p>
    <w:p w14:paraId="5340ED2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marina.abas@ffa.int</w:t>
      </w:r>
    </w:p>
    <w:p w14:paraId="7CD6EF1E" w14:textId="77777777" w:rsidR="002601FA" w:rsidRPr="00B845AF" w:rsidRDefault="002601FA" w:rsidP="002601FA">
      <w:pPr>
        <w:rPr>
          <w:rFonts w:asciiTheme="minorHAnsi" w:eastAsiaTheme="minorEastAsia" w:hAnsiTheme="minorHAnsi" w:cstheme="minorHAnsi"/>
          <w:color w:val="000000"/>
          <w:szCs w:val="22"/>
          <w:lang w:eastAsia="ja-JP"/>
        </w:rPr>
      </w:pPr>
    </w:p>
    <w:p w14:paraId="5CA05F1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Raijeli Natadra</w:t>
      </w:r>
    </w:p>
    <w:p w14:paraId="0F6BCAB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Pacific Islands Forum Fisheries Agency</w:t>
      </w:r>
    </w:p>
    <w:p w14:paraId="354DC46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Management Advisor 3</w:t>
      </w:r>
    </w:p>
    <w:p w14:paraId="0373593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raijeli.natadra@ffa.int</w:t>
      </w:r>
    </w:p>
    <w:p w14:paraId="7B3156C2" w14:textId="77777777" w:rsidR="002601FA" w:rsidRPr="00B845AF" w:rsidRDefault="002601FA" w:rsidP="002601FA">
      <w:pPr>
        <w:rPr>
          <w:rFonts w:asciiTheme="minorHAnsi" w:eastAsiaTheme="minorEastAsia" w:hAnsiTheme="minorHAnsi" w:cstheme="minorHAnsi"/>
          <w:color w:val="000000"/>
          <w:szCs w:val="22"/>
          <w:lang w:eastAsia="ja-JP"/>
        </w:rPr>
      </w:pPr>
    </w:p>
    <w:p w14:paraId="2EDA45E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Thomas Ruaia</w:t>
      </w:r>
    </w:p>
    <w:p w14:paraId="06B8079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Forum Fisheries Agency</w:t>
      </w:r>
    </w:p>
    <w:p w14:paraId="5D07AB1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Fisheries Economist </w:t>
      </w:r>
    </w:p>
    <w:p w14:paraId="0A3C0BB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thomas.ruaia@ffa.int</w:t>
      </w:r>
    </w:p>
    <w:p w14:paraId="3C9959D2" w14:textId="77777777" w:rsidR="002601FA" w:rsidRPr="00B845AF" w:rsidRDefault="002601FA" w:rsidP="002601FA">
      <w:pPr>
        <w:rPr>
          <w:rFonts w:asciiTheme="minorHAnsi" w:eastAsiaTheme="minorEastAsia" w:hAnsiTheme="minorHAnsi" w:cstheme="minorHAnsi"/>
          <w:color w:val="000000"/>
          <w:szCs w:val="22"/>
          <w:lang w:eastAsia="ja-JP"/>
        </w:rPr>
      </w:pPr>
    </w:p>
    <w:p w14:paraId="6217A2E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Ueta Faasili</w:t>
      </w:r>
    </w:p>
    <w:p w14:paraId="3FD275E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Forum Fisheries Agency</w:t>
      </w:r>
    </w:p>
    <w:p w14:paraId="0801F8E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Management Advisor</w:t>
      </w:r>
    </w:p>
    <w:p w14:paraId="4EB6BBE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uetajunior.faasili@ffa.int</w:t>
      </w:r>
    </w:p>
    <w:p w14:paraId="5352EAFA" w14:textId="77777777" w:rsidR="002601FA" w:rsidRPr="00B845AF" w:rsidRDefault="002601FA" w:rsidP="002601FA">
      <w:pPr>
        <w:rPr>
          <w:rFonts w:asciiTheme="minorHAnsi" w:eastAsiaTheme="minorEastAsia" w:hAnsiTheme="minorHAnsi" w:cstheme="minorHAnsi"/>
          <w:color w:val="000000"/>
          <w:szCs w:val="22"/>
          <w:lang w:eastAsia="ja-JP"/>
        </w:rPr>
      </w:pPr>
    </w:p>
    <w:p w14:paraId="2F0D47CC"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Yaniba</w:t>
      </w:r>
      <w:proofErr w:type="spellEnd"/>
      <w:r w:rsidRPr="00B845AF">
        <w:rPr>
          <w:rFonts w:asciiTheme="minorHAnsi" w:hAnsiTheme="minorHAnsi" w:cstheme="minorHAnsi"/>
          <w:b/>
          <w:bCs/>
          <w:color w:val="000000"/>
          <w:szCs w:val="22"/>
          <w:lang w:eastAsia="ja-JP"/>
        </w:rPr>
        <w:t xml:space="preserve"> Alfred</w:t>
      </w:r>
    </w:p>
    <w:p w14:paraId="2B8821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Forum Fisheries Agency </w:t>
      </w:r>
    </w:p>
    <w:p w14:paraId="20863E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MCS Advisor-PSM and Traceability </w:t>
      </w:r>
    </w:p>
    <w:p w14:paraId="59157380" w14:textId="77777777" w:rsidR="002601FA" w:rsidRPr="00B845AF" w:rsidRDefault="002601FA" w:rsidP="002601FA">
      <w:pPr>
        <w:rPr>
          <w:rFonts w:asciiTheme="minorHAnsi" w:eastAsiaTheme="minorEastAsia" w:hAnsiTheme="minorHAnsi" w:cstheme="minorHAnsi"/>
          <w:color w:val="000000"/>
          <w:szCs w:val="22"/>
          <w:lang w:eastAsia="ja-JP"/>
        </w:rPr>
      </w:pPr>
    </w:p>
    <w:p w14:paraId="26FCCD2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PARTIES TO THE NAURU AGREEMENT (PNA)</w:t>
      </w:r>
    </w:p>
    <w:p w14:paraId="4B57B207" w14:textId="77777777" w:rsidR="002601FA" w:rsidRPr="00B845AF" w:rsidRDefault="002601FA" w:rsidP="002601FA">
      <w:pPr>
        <w:rPr>
          <w:rFonts w:asciiTheme="minorHAnsi" w:eastAsiaTheme="minorEastAsia" w:hAnsiTheme="minorHAnsi" w:cstheme="minorHAnsi"/>
          <w:color w:val="000000"/>
          <w:szCs w:val="22"/>
          <w:lang w:eastAsia="ja-JP"/>
        </w:rPr>
      </w:pPr>
    </w:p>
    <w:p w14:paraId="7E55945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Brian Kumasi</w:t>
      </w:r>
    </w:p>
    <w:p w14:paraId="34292A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Office of the Parties to the Nauru Agreement</w:t>
      </w:r>
    </w:p>
    <w:p w14:paraId="2A4D301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Policy Manager</w:t>
      </w:r>
    </w:p>
    <w:p w14:paraId="6E3B182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Brian@pnatuna.com</w:t>
      </w:r>
    </w:p>
    <w:p w14:paraId="6C199D27" w14:textId="77777777" w:rsidR="002601FA" w:rsidRPr="00B845AF" w:rsidRDefault="002601FA" w:rsidP="002601FA">
      <w:pPr>
        <w:rPr>
          <w:rFonts w:asciiTheme="minorHAnsi" w:eastAsiaTheme="minorEastAsia" w:hAnsiTheme="minorHAnsi" w:cstheme="minorHAnsi"/>
          <w:color w:val="000000"/>
          <w:szCs w:val="22"/>
          <w:lang w:eastAsia="ja-JP"/>
        </w:rPr>
      </w:pPr>
    </w:p>
    <w:p w14:paraId="2DAEC20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Joseph Kendou</w:t>
      </w:r>
    </w:p>
    <w:p w14:paraId="2457415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PNA Office</w:t>
      </w:r>
    </w:p>
    <w:p w14:paraId="42719D0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PNAO Compliance Officer</w:t>
      </w:r>
    </w:p>
    <w:p w14:paraId="1BA24F98" w14:textId="77777777" w:rsidR="002601FA" w:rsidRPr="00B845AF" w:rsidRDefault="002601FA" w:rsidP="002601FA">
      <w:pPr>
        <w:rPr>
          <w:rFonts w:asciiTheme="minorHAnsi" w:eastAsiaTheme="minorEastAsia" w:hAnsiTheme="minorHAnsi" w:cstheme="minorHAnsi"/>
          <w:color w:val="000000"/>
          <w:szCs w:val="22"/>
          <w:lang w:eastAsia="ja-JP"/>
        </w:rPr>
      </w:pPr>
    </w:p>
    <w:p w14:paraId="3CD42E3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Les Clark</w:t>
      </w:r>
    </w:p>
    <w:p w14:paraId="32FDF66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PNA Office</w:t>
      </w:r>
    </w:p>
    <w:p w14:paraId="53E3BCD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Adviser</w:t>
      </w:r>
    </w:p>
    <w:p w14:paraId="62D1617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les@pnatuna.com</w:t>
      </w:r>
    </w:p>
    <w:p w14:paraId="15961E9B" w14:textId="77777777" w:rsidR="002601FA" w:rsidRPr="00B845AF" w:rsidRDefault="002601FA" w:rsidP="002601FA">
      <w:pPr>
        <w:rPr>
          <w:rFonts w:asciiTheme="minorHAnsi" w:eastAsiaTheme="minorEastAsia" w:hAnsiTheme="minorHAnsi" w:cstheme="minorHAnsi"/>
          <w:color w:val="000000"/>
          <w:szCs w:val="22"/>
          <w:lang w:eastAsia="ja-JP"/>
        </w:rPr>
      </w:pPr>
    </w:p>
    <w:p w14:paraId="3B20CF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Penihulo Lopati</w:t>
      </w:r>
    </w:p>
    <w:p w14:paraId="74B75FB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PNA Office</w:t>
      </w:r>
    </w:p>
    <w:p w14:paraId="39DF957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VMS / VDS Officer</w:t>
      </w:r>
    </w:p>
    <w:p w14:paraId="5175FA0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penihulo@pnatuna.com</w:t>
      </w:r>
    </w:p>
    <w:p w14:paraId="3605CBCA" w14:textId="77777777" w:rsidR="002601FA" w:rsidRPr="00B845AF" w:rsidRDefault="002601FA" w:rsidP="002601FA">
      <w:pPr>
        <w:rPr>
          <w:rFonts w:asciiTheme="minorHAnsi" w:eastAsiaTheme="minorEastAsia" w:hAnsiTheme="minorHAnsi" w:cstheme="minorHAnsi"/>
          <w:color w:val="000000"/>
          <w:szCs w:val="22"/>
          <w:lang w:eastAsia="ja-JP"/>
        </w:rPr>
      </w:pPr>
    </w:p>
    <w:p w14:paraId="1767D7C8"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Sangaalofa</w:t>
      </w:r>
      <w:proofErr w:type="spellEnd"/>
      <w:r w:rsidRPr="00B845AF">
        <w:rPr>
          <w:rFonts w:asciiTheme="minorHAnsi" w:hAnsiTheme="minorHAnsi" w:cstheme="minorHAnsi"/>
          <w:b/>
          <w:bCs/>
          <w:color w:val="000000"/>
          <w:szCs w:val="22"/>
          <w:lang w:eastAsia="ja-JP"/>
        </w:rPr>
        <w:t xml:space="preserve"> Clark</w:t>
      </w:r>
    </w:p>
    <w:p w14:paraId="05CDCD8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PNAO</w:t>
      </w:r>
    </w:p>
    <w:p w14:paraId="43518A0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Chief Executive Officer</w:t>
      </w:r>
    </w:p>
    <w:p w14:paraId="2A29294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sangaa@pnatuna.com</w:t>
      </w:r>
    </w:p>
    <w:p w14:paraId="08215081" w14:textId="77777777" w:rsidR="002601FA" w:rsidRPr="00B845AF" w:rsidRDefault="002601FA" w:rsidP="002601FA">
      <w:pPr>
        <w:rPr>
          <w:rFonts w:asciiTheme="minorHAnsi" w:eastAsiaTheme="minorEastAsia" w:hAnsiTheme="minorHAnsi" w:cstheme="minorHAnsi"/>
          <w:color w:val="000000"/>
          <w:szCs w:val="22"/>
          <w:lang w:eastAsia="ja-JP"/>
        </w:rPr>
      </w:pPr>
    </w:p>
    <w:p w14:paraId="011A11D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Stephen Brouwer</w:t>
      </w:r>
    </w:p>
    <w:p w14:paraId="602A7E8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5944E7B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Consultant</w:t>
      </w:r>
    </w:p>
    <w:p w14:paraId="437977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steve@saggitus.co.nz</w:t>
      </w:r>
    </w:p>
    <w:p w14:paraId="25DBC9D6" w14:textId="77777777" w:rsidR="002601FA" w:rsidRPr="00B845AF" w:rsidRDefault="002601FA" w:rsidP="002601FA">
      <w:pPr>
        <w:rPr>
          <w:rFonts w:asciiTheme="minorHAnsi" w:eastAsiaTheme="minorEastAsia" w:hAnsiTheme="minorHAnsi" w:cstheme="minorHAnsi"/>
          <w:color w:val="000000"/>
          <w:szCs w:val="22"/>
          <w:lang w:eastAsia="ja-JP"/>
        </w:rPr>
      </w:pPr>
    </w:p>
    <w:p w14:paraId="7BDAEDF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PEW CHARITABLE TRUSTS</w:t>
      </w:r>
    </w:p>
    <w:p w14:paraId="18E7BA54" w14:textId="77777777" w:rsidR="002601FA" w:rsidRPr="00B845AF" w:rsidRDefault="002601FA" w:rsidP="002601FA">
      <w:pPr>
        <w:rPr>
          <w:rFonts w:asciiTheme="minorHAnsi" w:eastAsiaTheme="minorEastAsia" w:hAnsiTheme="minorHAnsi" w:cstheme="minorHAnsi"/>
          <w:color w:val="000000"/>
          <w:szCs w:val="22"/>
          <w:lang w:eastAsia="ja-JP"/>
        </w:rPr>
      </w:pPr>
    </w:p>
    <w:p w14:paraId="0CE3F8C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Glen Holmes</w:t>
      </w:r>
    </w:p>
    <w:p w14:paraId="20CB3F4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The Pew Charitable Trusts</w:t>
      </w:r>
    </w:p>
    <w:p w14:paraId="3047A35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Officer</w:t>
      </w:r>
    </w:p>
    <w:p w14:paraId="475145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gholmes@pewtrusts.org</w:t>
      </w:r>
    </w:p>
    <w:p w14:paraId="13E128C3" w14:textId="77777777" w:rsidR="002601FA" w:rsidRPr="00B845AF" w:rsidRDefault="002601FA" w:rsidP="002601FA">
      <w:pPr>
        <w:rPr>
          <w:rFonts w:asciiTheme="minorHAnsi" w:eastAsiaTheme="minorEastAsia" w:hAnsiTheme="minorHAnsi" w:cstheme="minorHAnsi"/>
          <w:color w:val="000000"/>
          <w:szCs w:val="22"/>
          <w:lang w:eastAsia="ja-JP"/>
        </w:rPr>
      </w:pPr>
    </w:p>
    <w:p w14:paraId="3FE5833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SECRETARIAT OF THE PACIFIC REGIONAL ENVIRONMENT PROGRAMME (SPREP)</w:t>
      </w:r>
    </w:p>
    <w:p w14:paraId="62E81F5C" w14:textId="77777777" w:rsidR="002601FA" w:rsidRPr="00B845AF" w:rsidRDefault="002601FA" w:rsidP="002601FA">
      <w:pPr>
        <w:rPr>
          <w:rFonts w:asciiTheme="minorHAnsi" w:eastAsiaTheme="minorEastAsia" w:hAnsiTheme="minorHAnsi" w:cstheme="minorHAnsi"/>
          <w:color w:val="000000"/>
          <w:szCs w:val="22"/>
          <w:lang w:eastAsia="ja-JP"/>
        </w:rPr>
      </w:pPr>
    </w:p>
    <w:p w14:paraId="7E07FD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Martin Hitziger</w:t>
      </w:r>
    </w:p>
    <w:p w14:paraId="139D218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SPREP</w:t>
      </w:r>
    </w:p>
    <w:p w14:paraId="0E1C465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CITES-CMS Pacific Officer</w:t>
      </w:r>
    </w:p>
    <w:p w14:paraId="6DC3023E" w14:textId="77777777" w:rsidR="002601FA" w:rsidRPr="00B845AF" w:rsidRDefault="002601FA" w:rsidP="002601FA">
      <w:pPr>
        <w:rPr>
          <w:rFonts w:asciiTheme="minorHAnsi" w:eastAsiaTheme="minorEastAsia" w:hAnsiTheme="minorHAnsi" w:cstheme="minorHAnsi"/>
          <w:color w:val="000000"/>
          <w:szCs w:val="22"/>
          <w:lang w:eastAsia="ja-JP"/>
        </w:rPr>
      </w:pPr>
    </w:p>
    <w:p w14:paraId="6D39FCC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SHARKS PACIFIC</w:t>
      </w:r>
    </w:p>
    <w:p w14:paraId="64A37306" w14:textId="77777777" w:rsidR="002601FA" w:rsidRPr="00B845AF" w:rsidRDefault="002601FA" w:rsidP="002601FA">
      <w:pPr>
        <w:rPr>
          <w:rFonts w:asciiTheme="minorHAnsi" w:eastAsiaTheme="minorEastAsia" w:hAnsiTheme="minorHAnsi" w:cstheme="minorHAnsi"/>
          <w:color w:val="000000"/>
          <w:szCs w:val="22"/>
          <w:lang w:eastAsia="ja-JP"/>
        </w:rPr>
      </w:pPr>
    </w:p>
    <w:p w14:paraId="6D809C7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Bubba Cook</w:t>
      </w:r>
    </w:p>
    <w:p w14:paraId="79FEB77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Sharks Pacific</w:t>
      </w:r>
    </w:p>
    <w:p w14:paraId="3BD28D8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Policy Director</w:t>
      </w:r>
    </w:p>
    <w:p w14:paraId="178C60C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bubba@sharkspacific.org</w:t>
      </w:r>
    </w:p>
    <w:p w14:paraId="7F69082E" w14:textId="77777777" w:rsidR="002601FA" w:rsidRPr="00B845AF" w:rsidRDefault="002601FA" w:rsidP="002601FA">
      <w:pPr>
        <w:rPr>
          <w:rFonts w:asciiTheme="minorHAnsi" w:eastAsiaTheme="minorEastAsia" w:hAnsiTheme="minorHAnsi" w:cstheme="minorHAnsi"/>
          <w:color w:val="000000"/>
          <w:szCs w:val="22"/>
          <w:lang w:eastAsia="ja-JP"/>
        </w:rPr>
      </w:pPr>
    </w:p>
    <w:p w14:paraId="7B6BC9C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lastRenderedPageBreak/>
        <w:t>Diego Cardeñosa</w:t>
      </w:r>
    </w:p>
    <w:p w14:paraId="712844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Florida International University</w:t>
      </w:r>
    </w:p>
    <w:p w14:paraId="30CCB32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Assistant Professor</w:t>
      </w:r>
    </w:p>
    <w:p w14:paraId="38012D7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dcardeno@fiu.edu</w:t>
      </w:r>
    </w:p>
    <w:p w14:paraId="203B0435" w14:textId="77777777" w:rsidR="002601FA" w:rsidRPr="00B845AF" w:rsidRDefault="002601FA" w:rsidP="002601FA">
      <w:pPr>
        <w:rPr>
          <w:rFonts w:asciiTheme="minorHAnsi" w:eastAsiaTheme="minorEastAsia" w:hAnsiTheme="minorHAnsi" w:cstheme="minorHAnsi"/>
          <w:color w:val="000000"/>
          <w:szCs w:val="22"/>
          <w:lang w:eastAsia="ja-JP"/>
        </w:rPr>
      </w:pPr>
    </w:p>
    <w:p w14:paraId="131D190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Madeline Green</w:t>
      </w:r>
    </w:p>
    <w:p w14:paraId="5E560F1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University of Tasmania</w:t>
      </w:r>
    </w:p>
    <w:p w14:paraId="268DAE4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Research Fellow</w:t>
      </w:r>
    </w:p>
    <w:p w14:paraId="2463101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madeline.green@utas.edu.au</w:t>
      </w:r>
    </w:p>
    <w:p w14:paraId="076C19D8" w14:textId="77777777" w:rsidR="002601FA" w:rsidRPr="00B845AF" w:rsidRDefault="002601FA" w:rsidP="002601FA">
      <w:pPr>
        <w:rPr>
          <w:rFonts w:asciiTheme="minorHAnsi" w:eastAsiaTheme="minorEastAsia" w:hAnsiTheme="minorHAnsi" w:cstheme="minorHAnsi"/>
          <w:color w:val="000000"/>
          <w:szCs w:val="22"/>
          <w:lang w:eastAsia="ja-JP"/>
        </w:rPr>
      </w:pPr>
    </w:p>
    <w:p w14:paraId="592839C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 xml:space="preserve">Vinay </w:t>
      </w:r>
      <w:proofErr w:type="spellStart"/>
      <w:r w:rsidRPr="00B845AF">
        <w:rPr>
          <w:rFonts w:asciiTheme="minorHAnsi" w:hAnsiTheme="minorHAnsi" w:cstheme="minorHAnsi"/>
          <w:b/>
          <w:bCs/>
          <w:color w:val="000000"/>
          <w:szCs w:val="22"/>
          <w:lang w:eastAsia="ja-JP"/>
        </w:rPr>
        <w:t>Udyawer</w:t>
      </w:r>
      <w:proofErr w:type="spellEnd"/>
    </w:p>
    <w:p w14:paraId="773C63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Sharks Pacific</w:t>
      </w:r>
    </w:p>
    <w:p w14:paraId="62B39D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Research Director</w:t>
      </w:r>
    </w:p>
    <w:p w14:paraId="1FABB1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vinay@sharkspacific.org</w:t>
      </w:r>
    </w:p>
    <w:p w14:paraId="18BAA1E4" w14:textId="77777777" w:rsidR="002601FA" w:rsidRPr="00B845AF" w:rsidRDefault="002601FA" w:rsidP="002601FA">
      <w:pPr>
        <w:rPr>
          <w:rFonts w:asciiTheme="minorHAnsi" w:eastAsiaTheme="minorEastAsia" w:hAnsiTheme="minorHAnsi" w:cstheme="minorHAnsi"/>
          <w:color w:val="000000"/>
          <w:szCs w:val="22"/>
          <w:lang w:eastAsia="ja-JP"/>
        </w:rPr>
      </w:pPr>
    </w:p>
    <w:p w14:paraId="4AE1548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THE NATURE CONSERVANCY (TNC)</w:t>
      </w:r>
    </w:p>
    <w:p w14:paraId="4175DCA6" w14:textId="77777777" w:rsidR="002601FA" w:rsidRPr="00B845AF" w:rsidRDefault="002601FA" w:rsidP="002601FA">
      <w:pPr>
        <w:rPr>
          <w:rFonts w:asciiTheme="minorHAnsi" w:eastAsiaTheme="minorEastAsia" w:hAnsiTheme="minorHAnsi" w:cstheme="minorHAnsi"/>
          <w:color w:val="000000"/>
          <w:szCs w:val="22"/>
          <w:lang w:eastAsia="ja-JP"/>
        </w:rPr>
      </w:pPr>
    </w:p>
    <w:p w14:paraId="619E98F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Christopher Brown</w:t>
      </w:r>
    </w:p>
    <w:p w14:paraId="1C5EC1E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The Nature Conservancy</w:t>
      </w:r>
    </w:p>
    <w:p w14:paraId="7A40842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Scientist</w:t>
      </w:r>
    </w:p>
    <w:p w14:paraId="181B3EA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c.j.brown@utas.edu.au</w:t>
      </w:r>
    </w:p>
    <w:p w14:paraId="683EC4F6" w14:textId="77777777" w:rsidR="002601FA" w:rsidRPr="00B845AF" w:rsidRDefault="002601FA" w:rsidP="002601FA">
      <w:pPr>
        <w:rPr>
          <w:rFonts w:asciiTheme="minorHAnsi" w:eastAsiaTheme="minorEastAsia" w:hAnsiTheme="minorHAnsi" w:cstheme="minorHAnsi"/>
          <w:color w:val="000000"/>
          <w:szCs w:val="22"/>
          <w:lang w:eastAsia="ja-JP"/>
        </w:rPr>
      </w:pPr>
    </w:p>
    <w:p w14:paraId="4B16F1B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Robynn Laplante</w:t>
      </w:r>
    </w:p>
    <w:p w14:paraId="4A4436A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The Nature Conservancy</w:t>
      </w:r>
    </w:p>
    <w:p w14:paraId="35F256F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International Fisheries Policy Advisor</w:t>
      </w:r>
    </w:p>
    <w:p w14:paraId="2CFF7D4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robynn.laplante@tnc.org</w:t>
      </w:r>
    </w:p>
    <w:p w14:paraId="6075D911" w14:textId="77777777" w:rsidR="002601FA" w:rsidRPr="00B845AF" w:rsidRDefault="002601FA" w:rsidP="002601FA">
      <w:pPr>
        <w:rPr>
          <w:rFonts w:asciiTheme="minorHAnsi" w:eastAsiaTheme="minorEastAsia" w:hAnsiTheme="minorHAnsi" w:cstheme="minorHAnsi"/>
          <w:color w:val="000000"/>
          <w:szCs w:val="22"/>
          <w:lang w:eastAsia="ja-JP"/>
        </w:rPr>
      </w:pPr>
    </w:p>
    <w:p w14:paraId="24155DEF" w14:textId="77777777" w:rsidR="002601FA" w:rsidRPr="00B845AF" w:rsidRDefault="002601FA" w:rsidP="002601FA">
      <w:pPr>
        <w:rPr>
          <w:rFonts w:asciiTheme="minorHAnsi" w:eastAsiaTheme="minorEastAsia" w:hAnsiTheme="minorHAnsi" w:cstheme="minorHAnsi"/>
          <w:color w:val="000000"/>
          <w:szCs w:val="22"/>
          <w:lang w:eastAsia="ja-JP"/>
        </w:rPr>
      </w:pPr>
      <w:proofErr w:type="gramStart"/>
      <w:r w:rsidRPr="00B845AF">
        <w:rPr>
          <w:rFonts w:asciiTheme="minorHAnsi" w:hAnsiTheme="minorHAnsi" w:cstheme="minorHAnsi"/>
          <w:b/>
          <w:bCs/>
          <w:color w:val="000000"/>
          <w:szCs w:val="22"/>
          <w:lang w:eastAsia="ja-JP"/>
        </w:rPr>
        <w:t>WORLD WIDE</w:t>
      </w:r>
      <w:proofErr w:type="gramEnd"/>
      <w:r w:rsidRPr="00B845AF">
        <w:rPr>
          <w:rFonts w:asciiTheme="minorHAnsi" w:hAnsiTheme="minorHAnsi" w:cstheme="minorHAnsi"/>
          <w:b/>
          <w:bCs/>
          <w:color w:val="000000"/>
          <w:szCs w:val="22"/>
          <w:lang w:eastAsia="ja-JP"/>
        </w:rPr>
        <w:t xml:space="preserve"> FUND FOR NATURE (WWF)</w:t>
      </w:r>
    </w:p>
    <w:p w14:paraId="62C15DDB" w14:textId="77777777" w:rsidR="002601FA" w:rsidRPr="00B845AF" w:rsidRDefault="002601FA" w:rsidP="002601FA">
      <w:pPr>
        <w:rPr>
          <w:rFonts w:asciiTheme="minorHAnsi" w:eastAsiaTheme="minorEastAsia" w:hAnsiTheme="minorHAnsi" w:cstheme="minorHAnsi"/>
          <w:color w:val="000000"/>
          <w:szCs w:val="22"/>
          <w:lang w:eastAsia="ja-JP"/>
        </w:rPr>
      </w:pPr>
    </w:p>
    <w:p w14:paraId="2F3A9811" w14:textId="77777777" w:rsidR="002601FA" w:rsidRPr="00B845AF" w:rsidRDefault="002601FA" w:rsidP="002601FA">
      <w:pPr>
        <w:rPr>
          <w:rFonts w:asciiTheme="minorHAnsi" w:eastAsiaTheme="minorEastAsia" w:hAnsiTheme="minorHAnsi" w:cstheme="minorHAnsi"/>
          <w:color w:val="000000"/>
          <w:szCs w:val="22"/>
          <w:lang w:eastAsia="ja-JP"/>
        </w:rPr>
      </w:pPr>
      <w:proofErr w:type="spellStart"/>
      <w:r w:rsidRPr="00B845AF">
        <w:rPr>
          <w:rFonts w:asciiTheme="minorHAnsi" w:hAnsiTheme="minorHAnsi" w:cstheme="minorHAnsi"/>
          <w:b/>
          <w:bCs/>
          <w:color w:val="000000"/>
          <w:szCs w:val="22"/>
          <w:lang w:eastAsia="ja-JP"/>
        </w:rPr>
        <w:t>Seremaia</w:t>
      </w:r>
      <w:proofErr w:type="spellEnd"/>
      <w:r w:rsidRPr="00B845AF">
        <w:rPr>
          <w:rFonts w:asciiTheme="minorHAnsi" w:hAnsiTheme="minorHAnsi" w:cstheme="minorHAnsi"/>
          <w:b/>
          <w:bCs/>
          <w:color w:val="000000"/>
          <w:szCs w:val="22"/>
          <w:lang w:eastAsia="ja-JP"/>
        </w:rPr>
        <w:t xml:space="preserve"> </w:t>
      </w:r>
      <w:proofErr w:type="spellStart"/>
      <w:r w:rsidRPr="00B845AF">
        <w:rPr>
          <w:rFonts w:asciiTheme="minorHAnsi" w:hAnsiTheme="minorHAnsi" w:cstheme="minorHAnsi"/>
          <w:b/>
          <w:bCs/>
          <w:color w:val="000000"/>
          <w:szCs w:val="22"/>
          <w:lang w:eastAsia="ja-JP"/>
        </w:rPr>
        <w:t>Tuqiri</w:t>
      </w:r>
      <w:proofErr w:type="spellEnd"/>
    </w:p>
    <w:p w14:paraId="75E8812A" w14:textId="77777777" w:rsidR="002601FA" w:rsidRPr="00B845AF" w:rsidRDefault="002601FA" w:rsidP="002601FA">
      <w:pPr>
        <w:rPr>
          <w:rFonts w:asciiTheme="minorHAnsi" w:eastAsiaTheme="minorEastAsia" w:hAnsiTheme="minorHAnsi" w:cstheme="minorHAnsi"/>
          <w:color w:val="000000"/>
          <w:szCs w:val="22"/>
          <w:lang w:eastAsia="ja-JP"/>
        </w:rPr>
      </w:pPr>
      <w:proofErr w:type="gramStart"/>
      <w:r w:rsidRPr="00B845AF">
        <w:rPr>
          <w:rFonts w:asciiTheme="minorHAnsi" w:hAnsiTheme="minorHAnsi" w:cstheme="minorHAnsi"/>
          <w:color w:val="000000"/>
          <w:szCs w:val="22"/>
          <w:lang w:eastAsia="ja-JP"/>
        </w:rPr>
        <w:t>World Wide</w:t>
      </w:r>
      <w:proofErr w:type="gramEnd"/>
      <w:r w:rsidRPr="00B845AF">
        <w:rPr>
          <w:rFonts w:asciiTheme="minorHAnsi" w:hAnsiTheme="minorHAnsi" w:cstheme="minorHAnsi"/>
          <w:color w:val="000000"/>
          <w:szCs w:val="22"/>
          <w:lang w:eastAsia="ja-JP"/>
        </w:rPr>
        <w:t xml:space="preserve"> Fund for Nature (WWF)</w:t>
      </w:r>
    </w:p>
    <w:p w14:paraId="73B022E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Senior Fisheries Projects Officer</w:t>
      </w:r>
    </w:p>
    <w:p w14:paraId="473852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stuqiri@wwfpacific.org</w:t>
      </w:r>
    </w:p>
    <w:p w14:paraId="56B5B38F" w14:textId="77777777" w:rsidR="002601FA" w:rsidRPr="00B845AF" w:rsidRDefault="002601FA" w:rsidP="002601FA">
      <w:pPr>
        <w:rPr>
          <w:rFonts w:asciiTheme="minorHAnsi" w:eastAsiaTheme="minorEastAsia" w:hAnsiTheme="minorHAnsi" w:cstheme="minorHAnsi"/>
          <w:color w:val="000000"/>
          <w:szCs w:val="22"/>
          <w:lang w:eastAsia="ja-JP"/>
        </w:rPr>
      </w:pPr>
    </w:p>
    <w:p w14:paraId="13B650A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WCPFC SECRETARIAT</w:t>
      </w:r>
    </w:p>
    <w:p w14:paraId="544149D2" w14:textId="77777777" w:rsidR="002601FA" w:rsidRPr="00B845AF" w:rsidRDefault="002601FA" w:rsidP="002601FA">
      <w:pPr>
        <w:rPr>
          <w:rFonts w:asciiTheme="minorHAnsi" w:eastAsiaTheme="minorEastAsia" w:hAnsiTheme="minorHAnsi" w:cstheme="minorHAnsi"/>
          <w:color w:val="000000"/>
          <w:szCs w:val="22"/>
          <w:lang w:eastAsia="ja-JP"/>
        </w:rPr>
      </w:pPr>
    </w:p>
    <w:p w14:paraId="67B9E2B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Caleb Joseph</w:t>
      </w:r>
    </w:p>
    <w:p w14:paraId="613C6A9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65D2EFD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ICT Manager</w:t>
      </w:r>
    </w:p>
    <w:p w14:paraId="6847C6A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caleb.joseph@wcpfc.int</w:t>
      </w:r>
    </w:p>
    <w:p w14:paraId="249D9DD6" w14:textId="77777777" w:rsidR="002601FA" w:rsidRPr="00B845AF" w:rsidRDefault="002601FA" w:rsidP="002601FA">
      <w:pPr>
        <w:rPr>
          <w:rFonts w:asciiTheme="minorHAnsi" w:eastAsiaTheme="minorEastAsia" w:hAnsiTheme="minorHAnsi" w:cstheme="minorHAnsi"/>
          <w:color w:val="000000"/>
          <w:szCs w:val="22"/>
          <w:lang w:eastAsia="ja-JP"/>
        </w:rPr>
      </w:pPr>
    </w:p>
    <w:p w14:paraId="4DBCDD0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Deatra Iehsi-Solomon</w:t>
      </w:r>
    </w:p>
    <w:p w14:paraId="6179326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018FB53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HR Officer</w:t>
      </w:r>
    </w:p>
    <w:p w14:paraId="01270AD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deatra.iehsi-solomon@wcpfc.int</w:t>
      </w:r>
    </w:p>
    <w:p w14:paraId="51D7C57A" w14:textId="77777777" w:rsidR="002601FA" w:rsidRPr="00B845AF" w:rsidRDefault="002601FA" w:rsidP="002601FA">
      <w:pPr>
        <w:rPr>
          <w:rFonts w:asciiTheme="minorHAnsi" w:eastAsiaTheme="minorEastAsia" w:hAnsiTheme="minorHAnsi" w:cstheme="minorHAnsi"/>
          <w:color w:val="000000"/>
          <w:szCs w:val="22"/>
          <w:lang w:eastAsia="ja-JP"/>
        </w:rPr>
      </w:pPr>
    </w:p>
    <w:p w14:paraId="5DBFC9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Eidre Sharp</w:t>
      </w:r>
    </w:p>
    <w:p w14:paraId="21AE6F7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3BF794A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Deputy Compliance Manager</w:t>
      </w:r>
    </w:p>
    <w:p w14:paraId="240DC14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Eidre.Sharp@wcpfc.int</w:t>
      </w:r>
    </w:p>
    <w:p w14:paraId="3EBB8925" w14:textId="77777777" w:rsidR="002601FA" w:rsidRPr="00B845AF" w:rsidRDefault="002601FA" w:rsidP="002601FA">
      <w:pPr>
        <w:rPr>
          <w:rFonts w:asciiTheme="minorHAnsi" w:eastAsiaTheme="minorEastAsia" w:hAnsiTheme="minorHAnsi" w:cstheme="minorHAnsi"/>
          <w:color w:val="000000"/>
          <w:szCs w:val="22"/>
          <w:lang w:eastAsia="ja-JP"/>
        </w:rPr>
      </w:pPr>
    </w:p>
    <w:p w14:paraId="3B89229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Elaine G. Garvilles</w:t>
      </w:r>
    </w:p>
    <w:p w14:paraId="16FFCB2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6E214CA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 xml:space="preserve">Assistant Science Manager </w:t>
      </w:r>
    </w:p>
    <w:p w14:paraId="0E870A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Elaine.Garvilles@wcpfc.int</w:t>
      </w:r>
    </w:p>
    <w:p w14:paraId="6D9C248C" w14:textId="77777777" w:rsidR="002601FA" w:rsidRPr="00B845AF" w:rsidRDefault="002601FA" w:rsidP="002601FA">
      <w:pPr>
        <w:rPr>
          <w:rFonts w:asciiTheme="minorHAnsi" w:eastAsiaTheme="minorEastAsia" w:hAnsiTheme="minorHAnsi" w:cstheme="minorHAnsi"/>
          <w:color w:val="000000"/>
          <w:szCs w:val="22"/>
          <w:lang w:eastAsia="ja-JP"/>
        </w:rPr>
      </w:pPr>
    </w:p>
    <w:p w14:paraId="1A32EE2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Erlick Leopold</w:t>
      </w:r>
    </w:p>
    <w:p w14:paraId="2EE7C34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0C3A9A7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Data Entry and Reporting Technician</w:t>
      </w:r>
    </w:p>
    <w:p w14:paraId="3F437DE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erlick.leopold@wcpfc.int</w:t>
      </w:r>
    </w:p>
    <w:p w14:paraId="1B41B7C6" w14:textId="77777777" w:rsidR="002601FA" w:rsidRPr="00B845AF" w:rsidRDefault="002601FA" w:rsidP="002601FA">
      <w:pPr>
        <w:rPr>
          <w:rFonts w:asciiTheme="minorHAnsi" w:eastAsiaTheme="minorEastAsia" w:hAnsiTheme="minorHAnsi" w:cstheme="minorHAnsi"/>
          <w:color w:val="000000"/>
          <w:szCs w:val="22"/>
          <w:lang w:eastAsia="ja-JP"/>
        </w:rPr>
      </w:pPr>
    </w:p>
    <w:p w14:paraId="4333EAE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Hilary Ayrton</w:t>
      </w:r>
    </w:p>
    <w:p w14:paraId="39C6FD0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21E4D07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Fisheries Management and Compliance Adviser</w:t>
      </w:r>
    </w:p>
    <w:p w14:paraId="621EAC3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hilary.ayrton@wcpfc.int</w:t>
      </w:r>
    </w:p>
    <w:p w14:paraId="4DC28AC8" w14:textId="77777777" w:rsidR="002601FA" w:rsidRPr="00B845AF" w:rsidRDefault="002601FA" w:rsidP="002601FA">
      <w:pPr>
        <w:rPr>
          <w:rFonts w:asciiTheme="minorHAnsi" w:eastAsiaTheme="minorEastAsia" w:hAnsiTheme="minorHAnsi" w:cstheme="minorHAnsi"/>
          <w:color w:val="000000"/>
          <w:szCs w:val="22"/>
          <w:lang w:eastAsia="ja-JP"/>
        </w:rPr>
      </w:pPr>
    </w:p>
    <w:p w14:paraId="3B5306B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Joseph Jack</w:t>
      </w:r>
    </w:p>
    <w:p w14:paraId="7B34FE6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3B0FCB05"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MCS Team Leader</w:t>
      </w:r>
    </w:p>
    <w:p w14:paraId="67EC5B5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Joseph.Jack@wcpfc.int</w:t>
      </w:r>
    </w:p>
    <w:p w14:paraId="7179720B" w14:textId="77777777" w:rsidR="002601FA" w:rsidRPr="00B845AF" w:rsidRDefault="002601FA" w:rsidP="002601FA">
      <w:pPr>
        <w:rPr>
          <w:rFonts w:asciiTheme="minorHAnsi" w:eastAsiaTheme="minorEastAsia" w:hAnsiTheme="minorHAnsi" w:cstheme="minorHAnsi"/>
          <w:color w:val="000000"/>
          <w:szCs w:val="22"/>
          <w:lang w:eastAsia="ja-JP"/>
        </w:rPr>
      </w:pPr>
    </w:p>
    <w:p w14:paraId="5B1914D8"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Josie M Tamate</w:t>
      </w:r>
    </w:p>
    <w:p w14:paraId="6C417E4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w:t>
      </w:r>
    </w:p>
    <w:p w14:paraId="2795710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Chair</w:t>
      </w:r>
    </w:p>
    <w:p w14:paraId="2B1D3B0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josie.tamate@gmail.com</w:t>
      </w:r>
    </w:p>
    <w:p w14:paraId="1B6F866B" w14:textId="77777777" w:rsidR="002601FA" w:rsidRPr="00B845AF" w:rsidRDefault="002601FA" w:rsidP="002601FA">
      <w:pPr>
        <w:rPr>
          <w:rFonts w:asciiTheme="minorHAnsi" w:eastAsiaTheme="minorEastAsia" w:hAnsiTheme="minorHAnsi" w:cstheme="minorHAnsi"/>
          <w:color w:val="000000"/>
          <w:szCs w:val="22"/>
          <w:lang w:eastAsia="ja-JP"/>
        </w:rPr>
      </w:pPr>
    </w:p>
    <w:p w14:paraId="208473C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Karl Staisch</w:t>
      </w:r>
    </w:p>
    <w:p w14:paraId="145AD9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7C5EDFF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ROP Training and Audit Consultant</w:t>
      </w:r>
    </w:p>
    <w:p w14:paraId="5EC350E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karl.staisch@wcpfc.int</w:t>
      </w:r>
    </w:p>
    <w:p w14:paraId="0602F101" w14:textId="77777777" w:rsidR="002601FA" w:rsidRPr="00B845AF" w:rsidRDefault="002601FA" w:rsidP="002601FA">
      <w:pPr>
        <w:rPr>
          <w:rFonts w:asciiTheme="minorHAnsi" w:eastAsiaTheme="minorEastAsia" w:hAnsiTheme="minorHAnsi" w:cstheme="minorHAnsi"/>
          <w:color w:val="000000"/>
          <w:szCs w:val="22"/>
          <w:lang w:eastAsia="ja-JP"/>
        </w:rPr>
      </w:pPr>
    </w:p>
    <w:p w14:paraId="39E4735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Lars Olsen</w:t>
      </w:r>
    </w:p>
    <w:p w14:paraId="0C2A222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South Pacific Group</w:t>
      </w:r>
    </w:p>
    <w:p w14:paraId="476E1A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Technical Adviser</w:t>
      </w:r>
    </w:p>
    <w:p w14:paraId="65F887A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olsenpacific@gmail.com</w:t>
      </w:r>
    </w:p>
    <w:p w14:paraId="0A7943DA" w14:textId="77777777" w:rsidR="002601FA" w:rsidRPr="00B845AF" w:rsidRDefault="002601FA" w:rsidP="002601FA">
      <w:pPr>
        <w:rPr>
          <w:rFonts w:asciiTheme="minorHAnsi" w:eastAsiaTheme="minorEastAsia" w:hAnsiTheme="minorHAnsi" w:cstheme="minorHAnsi"/>
          <w:color w:val="000000"/>
          <w:szCs w:val="22"/>
          <w:lang w:eastAsia="ja-JP"/>
        </w:rPr>
      </w:pPr>
    </w:p>
    <w:p w14:paraId="692CB36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Matthew McGregor</w:t>
      </w:r>
    </w:p>
    <w:p w14:paraId="72EC1D0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Western and Central Pacific Fisheries Commission (WCPFC)</w:t>
      </w:r>
    </w:p>
    <w:p w14:paraId="6722C433"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Compliance Manager</w:t>
      </w:r>
    </w:p>
    <w:p w14:paraId="3BCDC1F4"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matthew.mcgregor@wcpfc.int</w:t>
      </w:r>
    </w:p>
    <w:p w14:paraId="5F9676EB" w14:textId="77777777" w:rsidR="002601FA" w:rsidRPr="00B845AF" w:rsidRDefault="002601FA" w:rsidP="002601FA">
      <w:pPr>
        <w:rPr>
          <w:rFonts w:asciiTheme="minorHAnsi" w:eastAsiaTheme="minorEastAsia" w:hAnsiTheme="minorHAnsi" w:cstheme="minorHAnsi"/>
          <w:color w:val="000000"/>
          <w:szCs w:val="22"/>
          <w:lang w:eastAsia="ja-JP"/>
        </w:rPr>
      </w:pPr>
    </w:p>
    <w:p w14:paraId="2A5D07F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Mavrick Dores</w:t>
      </w:r>
    </w:p>
    <w:p w14:paraId="4E06519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6375BC3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Data and Support Technician</w:t>
      </w:r>
    </w:p>
    <w:p w14:paraId="36C17A9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mavrick.dores@wcpfc.int</w:t>
      </w:r>
    </w:p>
    <w:p w14:paraId="3787F38E" w14:textId="77777777" w:rsidR="002601FA" w:rsidRPr="00B845AF" w:rsidRDefault="002601FA" w:rsidP="002601FA">
      <w:pPr>
        <w:rPr>
          <w:rFonts w:asciiTheme="minorHAnsi" w:eastAsiaTheme="minorEastAsia" w:hAnsiTheme="minorHAnsi" w:cstheme="minorHAnsi"/>
          <w:color w:val="000000"/>
          <w:szCs w:val="22"/>
          <w:lang w:eastAsia="ja-JP"/>
        </w:rPr>
      </w:pPr>
    </w:p>
    <w:p w14:paraId="7597511F"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Natsuko Akinaga</w:t>
      </w:r>
    </w:p>
    <w:p w14:paraId="490FF77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04965F8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Administrative Officer</w:t>
      </w:r>
    </w:p>
    <w:p w14:paraId="17DBDE8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natsuko.akinaga@wcpfc.int</w:t>
      </w:r>
    </w:p>
    <w:p w14:paraId="68F530D1" w14:textId="77777777" w:rsidR="002601FA" w:rsidRPr="00B845AF" w:rsidRDefault="002601FA" w:rsidP="002601FA">
      <w:pPr>
        <w:rPr>
          <w:rFonts w:asciiTheme="minorHAnsi" w:eastAsiaTheme="minorEastAsia" w:hAnsiTheme="minorHAnsi" w:cstheme="minorHAnsi"/>
          <w:color w:val="000000"/>
          <w:szCs w:val="22"/>
          <w:lang w:eastAsia="ja-JP"/>
        </w:rPr>
      </w:pPr>
    </w:p>
    <w:p w14:paraId="215EB637"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Rhea Moss-Christian</w:t>
      </w:r>
    </w:p>
    <w:p w14:paraId="4981323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7C70912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Executive Director</w:t>
      </w:r>
    </w:p>
    <w:p w14:paraId="057DFE0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rhea.moss-christian@wcpfc.int</w:t>
      </w:r>
    </w:p>
    <w:p w14:paraId="4D864F0B" w14:textId="77777777" w:rsidR="002601FA" w:rsidRPr="00B845AF" w:rsidRDefault="002601FA" w:rsidP="002601FA">
      <w:pPr>
        <w:rPr>
          <w:rFonts w:asciiTheme="minorHAnsi" w:eastAsiaTheme="minorEastAsia" w:hAnsiTheme="minorHAnsi" w:cstheme="minorHAnsi"/>
          <w:color w:val="000000"/>
          <w:szCs w:val="22"/>
          <w:lang w:eastAsia="ja-JP"/>
        </w:rPr>
      </w:pPr>
    </w:p>
    <w:p w14:paraId="34933B4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Samuel Coyle</w:t>
      </w:r>
    </w:p>
    <w:p w14:paraId="0F56DECE" w14:textId="06835473" w:rsidR="002601FA" w:rsidRPr="00B845AF" w:rsidRDefault="003D2AD9" w:rsidP="002601FA">
      <w:pPr>
        <w:rPr>
          <w:rFonts w:asciiTheme="minorHAnsi" w:eastAsia="MS Mincho" w:hAnsiTheme="minorHAnsi" w:cstheme="minorHAnsi"/>
          <w:color w:val="000000"/>
          <w:szCs w:val="22"/>
          <w:lang w:eastAsia="ja-JP"/>
        </w:rPr>
      </w:pPr>
      <w:r w:rsidRPr="00B845AF">
        <w:rPr>
          <w:rFonts w:asciiTheme="minorHAnsi" w:eastAsia="MS Mincho" w:hAnsiTheme="minorHAnsi" w:cstheme="minorHAnsi"/>
          <w:color w:val="000000"/>
          <w:szCs w:val="22"/>
          <w:lang w:eastAsia="ja-JP"/>
        </w:rPr>
        <w:t>Western and Central Pacific Fisheries Commission (WCPFC)</w:t>
      </w:r>
    </w:p>
    <w:p w14:paraId="12AE328C" w14:textId="114A980A" w:rsidR="002601FA" w:rsidRPr="00B845AF" w:rsidRDefault="003D2AD9" w:rsidP="002601FA">
      <w:pPr>
        <w:rPr>
          <w:rFonts w:asciiTheme="minorHAnsi" w:eastAsia="MS Mincho" w:hAnsiTheme="minorHAnsi" w:cstheme="minorHAnsi"/>
          <w:color w:val="000000"/>
          <w:szCs w:val="22"/>
          <w:lang w:eastAsia="ja-JP"/>
        </w:rPr>
      </w:pPr>
      <w:r w:rsidRPr="00B845AF">
        <w:rPr>
          <w:rFonts w:asciiTheme="minorHAnsi" w:eastAsia="MS Mincho" w:hAnsiTheme="minorHAnsi" w:cstheme="minorHAnsi"/>
          <w:color w:val="000000"/>
          <w:szCs w:val="22"/>
          <w:lang w:eastAsia="ja-JP"/>
        </w:rPr>
        <w:t>Rapporteur</w:t>
      </w:r>
    </w:p>
    <w:p w14:paraId="3FD5D0B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coyle@urbanconnections.jp</w:t>
      </w:r>
    </w:p>
    <w:p w14:paraId="08B3FA1C" w14:textId="77777777" w:rsidR="002601FA" w:rsidRPr="00B845AF" w:rsidRDefault="002601FA" w:rsidP="002601FA">
      <w:pPr>
        <w:rPr>
          <w:rFonts w:asciiTheme="minorHAnsi" w:eastAsiaTheme="minorEastAsia" w:hAnsiTheme="minorHAnsi" w:cstheme="minorHAnsi"/>
          <w:color w:val="000000"/>
          <w:szCs w:val="22"/>
          <w:lang w:eastAsia="ja-JP"/>
        </w:rPr>
      </w:pPr>
    </w:p>
    <w:p w14:paraId="7B8EB58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Simson Nanpei</w:t>
      </w:r>
    </w:p>
    <w:p w14:paraId="2CD7B09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699EB76B"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IT Officer</w:t>
      </w:r>
    </w:p>
    <w:p w14:paraId="08EF7BE9"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simson.nanpei@wcpfc.int</w:t>
      </w:r>
    </w:p>
    <w:p w14:paraId="66714CAB" w14:textId="77777777" w:rsidR="002601FA" w:rsidRPr="00B845AF" w:rsidRDefault="002601FA" w:rsidP="002601FA">
      <w:pPr>
        <w:rPr>
          <w:rFonts w:asciiTheme="minorHAnsi" w:eastAsiaTheme="minorEastAsia" w:hAnsiTheme="minorHAnsi" w:cstheme="minorHAnsi"/>
          <w:color w:val="000000"/>
          <w:szCs w:val="22"/>
          <w:lang w:eastAsia="ja-JP"/>
        </w:rPr>
      </w:pPr>
    </w:p>
    <w:p w14:paraId="239730B6"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SungKwon Soh</w:t>
      </w:r>
    </w:p>
    <w:p w14:paraId="7A3481DE"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4B6713FD"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Science Manager</w:t>
      </w:r>
    </w:p>
    <w:p w14:paraId="4C76B1F1"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sungkwon.soh@wcpfc.int</w:t>
      </w:r>
    </w:p>
    <w:p w14:paraId="00954D03" w14:textId="77777777" w:rsidR="002601FA" w:rsidRPr="00B845AF" w:rsidRDefault="002601FA" w:rsidP="002601FA">
      <w:pPr>
        <w:rPr>
          <w:rFonts w:asciiTheme="minorHAnsi" w:eastAsiaTheme="minorEastAsia" w:hAnsiTheme="minorHAnsi" w:cstheme="minorHAnsi"/>
          <w:color w:val="000000"/>
          <w:szCs w:val="22"/>
          <w:lang w:eastAsia="ja-JP"/>
        </w:rPr>
      </w:pPr>
    </w:p>
    <w:p w14:paraId="7AB81320"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b/>
          <w:bCs/>
          <w:color w:val="000000"/>
          <w:szCs w:val="22"/>
          <w:lang w:eastAsia="ja-JP"/>
        </w:rPr>
        <w:t>Tim Jones</w:t>
      </w:r>
    </w:p>
    <w:p w14:paraId="02C2A4D2"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Western and Central Pacific Fisheries Commission (WCPFC)</w:t>
      </w:r>
    </w:p>
    <w:p w14:paraId="0039C46A"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00000"/>
          <w:szCs w:val="22"/>
          <w:lang w:eastAsia="ja-JP"/>
        </w:rPr>
        <w:t>Data Architecture and Integration Consultant</w:t>
      </w:r>
    </w:p>
    <w:p w14:paraId="4330CBDC" w14:textId="77777777" w:rsidR="002601FA" w:rsidRPr="00B845AF" w:rsidRDefault="002601FA" w:rsidP="002601FA">
      <w:pPr>
        <w:rPr>
          <w:rFonts w:asciiTheme="minorHAnsi" w:eastAsiaTheme="minorEastAsia" w:hAnsiTheme="minorHAnsi" w:cstheme="minorHAnsi"/>
          <w:color w:val="000000"/>
          <w:szCs w:val="22"/>
          <w:lang w:eastAsia="ja-JP"/>
        </w:rPr>
      </w:pPr>
      <w:r w:rsidRPr="00B845AF">
        <w:rPr>
          <w:rFonts w:asciiTheme="minorHAnsi" w:hAnsiTheme="minorHAnsi" w:cstheme="minorHAnsi"/>
          <w:color w:val="0563C1"/>
          <w:szCs w:val="22"/>
          <w:u w:val="single"/>
          <w:lang w:eastAsia="ja-JP"/>
        </w:rPr>
        <w:t>tim.jones@wcpfc.int</w:t>
      </w:r>
    </w:p>
    <w:p w14:paraId="47DCA473" w14:textId="77777777" w:rsidR="002601FA" w:rsidRPr="00B845AF" w:rsidRDefault="002601FA" w:rsidP="001A23E2">
      <w:pPr>
        <w:autoSpaceDE w:val="0"/>
        <w:autoSpaceDN w:val="0"/>
        <w:adjustRightInd w:val="0"/>
        <w:snapToGrid w:val="0"/>
        <w:jc w:val="both"/>
        <w:rPr>
          <w:rFonts w:asciiTheme="minorHAnsi" w:eastAsia="MS Mincho" w:hAnsiTheme="minorHAnsi" w:cstheme="minorHAnsi"/>
          <w:szCs w:val="22"/>
          <w:lang w:eastAsia="ja-JP"/>
        </w:rPr>
        <w:sectPr w:rsidR="002601FA" w:rsidRPr="00B845AF" w:rsidSect="00F14811">
          <w:type w:val="continuous"/>
          <w:pgSz w:w="12240" w:h="15840" w:code="1"/>
          <w:pgMar w:top="1440" w:right="1440" w:bottom="1440" w:left="1440" w:header="720" w:footer="720" w:gutter="0"/>
          <w:cols w:num="2" w:space="720"/>
          <w:docGrid w:linePitch="360"/>
        </w:sectPr>
      </w:pPr>
    </w:p>
    <w:p w14:paraId="6C902E8B" w14:textId="77777777" w:rsidR="00951752" w:rsidRPr="00B845AF" w:rsidRDefault="00951752" w:rsidP="001A23E2">
      <w:pPr>
        <w:autoSpaceDE w:val="0"/>
        <w:autoSpaceDN w:val="0"/>
        <w:adjustRightInd w:val="0"/>
        <w:snapToGrid w:val="0"/>
        <w:jc w:val="both"/>
        <w:rPr>
          <w:rFonts w:asciiTheme="minorHAnsi" w:eastAsia="MS Mincho" w:hAnsiTheme="minorHAnsi" w:cstheme="minorHAnsi"/>
          <w:szCs w:val="22"/>
          <w:lang w:eastAsia="ja-JP"/>
        </w:rPr>
      </w:pPr>
    </w:p>
    <w:p w14:paraId="7A8FE3BD" w14:textId="77777777" w:rsidR="00951752" w:rsidRPr="00B845AF" w:rsidRDefault="00951752" w:rsidP="001A23E2">
      <w:pPr>
        <w:autoSpaceDE w:val="0"/>
        <w:autoSpaceDN w:val="0"/>
        <w:adjustRightInd w:val="0"/>
        <w:snapToGrid w:val="0"/>
        <w:jc w:val="both"/>
        <w:rPr>
          <w:rFonts w:asciiTheme="minorHAnsi" w:eastAsia="MS Mincho" w:hAnsiTheme="minorHAnsi" w:cstheme="minorHAnsi"/>
          <w:szCs w:val="22"/>
          <w:lang w:eastAsia="ja-JP"/>
        </w:rPr>
      </w:pPr>
    </w:p>
    <w:p w14:paraId="135D7052" w14:textId="77777777" w:rsidR="009900F2" w:rsidRPr="00B845AF" w:rsidRDefault="009900F2" w:rsidP="009900F2">
      <w:pPr>
        <w:rPr>
          <w:rFonts w:asciiTheme="minorHAnsi" w:hAnsiTheme="minorHAnsi" w:cstheme="minorHAnsi"/>
          <w:b/>
          <w:bCs/>
          <w:szCs w:val="22"/>
        </w:rPr>
        <w:sectPr w:rsidR="009900F2" w:rsidRPr="00B845AF" w:rsidSect="00F14811">
          <w:type w:val="continuous"/>
          <w:pgSz w:w="12240" w:h="15840" w:code="1"/>
          <w:pgMar w:top="1440" w:right="1440" w:bottom="1440" w:left="1440" w:header="720" w:footer="720" w:gutter="0"/>
          <w:cols w:space="720"/>
          <w:docGrid w:linePitch="360"/>
        </w:sectPr>
      </w:pPr>
    </w:p>
    <w:p w14:paraId="02AABAC2" w14:textId="77777777" w:rsidR="009900F2" w:rsidRPr="00B845AF" w:rsidRDefault="009900F2" w:rsidP="009900F2">
      <w:pPr>
        <w:rPr>
          <w:rFonts w:asciiTheme="minorHAnsi" w:hAnsiTheme="minorHAnsi" w:cstheme="minorHAnsi"/>
        </w:rPr>
        <w:sectPr w:rsidR="009900F2" w:rsidRPr="00B845AF" w:rsidSect="00F14811">
          <w:type w:val="continuous"/>
          <w:pgSz w:w="12240" w:h="15840" w:code="1"/>
          <w:pgMar w:top="1440" w:right="1440" w:bottom="1440" w:left="1440" w:header="720" w:footer="720" w:gutter="0"/>
          <w:cols w:num="2" w:space="720"/>
          <w:docGrid w:linePitch="360"/>
        </w:sectPr>
      </w:pPr>
    </w:p>
    <w:p w14:paraId="4D4C0A8C" w14:textId="77777777" w:rsidR="009900F2" w:rsidRPr="00B845AF" w:rsidRDefault="009900F2" w:rsidP="009900F2">
      <w:pPr>
        <w:rPr>
          <w:rFonts w:asciiTheme="minorHAnsi" w:hAnsiTheme="minorHAnsi" w:cstheme="minorHAnsi"/>
        </w:rPr>
      </w:pPr>
    </w:p>
    <w:p w14:paraId="1BA90F88" w14:textId="77777777" w:rsidR="009900F2" w:rsidRPr="00B845AF" w:rsidRDefault="009900F2" w:rsidP="001A23E2">
      <w:pPr>
        <w:autoSpaceDE w:val="0"/>
        <w:autoSpaceDN w:val="0"/>
        <w:adjustRightInd w:val="0"/>
        <w:snapToGrid w:val="0"/>
        <w:jc w:val="both"/>
        <w:rPr>
          <w:rFonts w:asciiTheme="minorHAnsi" w:hAnsiTheme="minorHAnsi" w:cstheme="minorHAnsi"/>
          <w:szCs w:val="22"/>
        </w:rPr>
        <w:sectPr w:rsidR="009900F2" w:rsidRPr="00B845AF" w:rsidSect="00F14811">
          <w:type w:val="continuous"/>
          <w:pgSz w:w="12240" w:h="15840" w:code="1"/>
          <w:pgMar w:top="1440" w:right="1440" w:bottom="1440" w:left="1440" w:header="720" w:footer="720" w:gutter="0"/>
          <w:cols w:space="720"/>
          <w:docGrid w:linePitch="360"/>
        </w:sectPr>
      </w:pPr>
    </w:p>
    <w:bookmarkEnd w:id="86"/>
    <w:p w14:paraId="5D6D2A23" w14:textId="77777777" w:rsidR="007F6B71" w:rsidRPr="00B845AF" w:rsidRDefault="007F6B71" w:rsidP="00952B9F">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 xml:space="preserve">Attachment </w:t>
      </w:r>
      <w:r w:rsidR="00E37274" w:rsidRPr="00B845AF">
        <w:rPr>
          <w:rFonts w:asciiTheme="minorHAnsi" w:hAnsiTheme="minorHAnsi" w:cstheme="minorHAnsi"/>
          <w:b/>
          <w:bCs/>
          <w:szCs w:val="22"/>
          <w:lang w:eastAsia="en-NZ"/>
        </w:rPr>
        <w:t>B</w:t>
      </w:r>
    </w:p>
    <w:p w14:paraId="3FF6608C" w14:textId="77777777" w:rsidR="007F6B71" w:rsidRPr="00B845AF" w:rsidRDefault="007F6B71" w:rsidP="001A23E2">
      <w:pPr>
        <w:adjustRightInd w:val="0"/>
        <w:snapToGrid w:val="0"/>
        <w:jc w:val="center"/>
        <w:rPr>
          <w:rFonts w:asciiTheme="minorHAnsi" w:hAnsiTheme="minorHAnsi" w:cstheme="minorHAnsi"/>
          <w:b/>
          <w:bCs/>
          <w:szCs w:val="22"/>
          <w:lang w:eastAsia="en-NZ"/>
        </w:rPr>
      </w:pPr>
    </w:p>
    <w:p w14:paraId="52D808A1" w14:textId="77777777" w:rsidR="00F93AA8" w:rsidRPr="00B845AF" w:rsidRDefault="00F93AA8" w:rsidP="00F93AA8">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44CFD79D" w14:textId="77777777" w:rsidR="00F93AA8" w:rsidRPr="00B845AF" w:rsidRDefault="00F93AA8" w:rsidP="00F93AA8">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748F74AE" w14:textId="77777777" w:rsidR="00F93AA8" w:rsidRPr="00B845AF" w:rsidRDefault="00F93AA8" w:rsidP="00F93AA8">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3E7C1E76" w14:textId="77777777" w:rsidR="00F93AA8" w:rsidRPr="00B845AF" w:rsidRDefault="00F93AA8" w:rsidP="00F93AA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3AA97A65" w14:textId="77777777" w:rsidR="00F93AA8" w:rsidRPr="00B845AF" w:rsidRDefault="00F93AA8" w:rsidP="00F93AA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F93AA8" w:rsidRPr="00B845AF" w14:paraId="508BA0EE" w14:textId="77777777" w:rsidTr="00835632">
        <w:tc>
          <w:tcPr>
            <w:tcW w:w="9576" w:type="dxa"/>
            <w:hideMark/>
          </w:tcPr>
          <w:p w14:paraId="68A9C40B" w14:textId="77777777" w:rsidR="000644B9" w:rsidRPr="00B845AF" w:rsidRDefault="005E7B63" w:rsidP="00835632">
            <w:pPr>
              <w:adjustRightInd w:val="0"/>
              <w:snapToGrid w:val="0"/>
              <w:jc w:val="center"/>
              <w:rPr>
                <w:rFonts w:asciiTheme="minorHAnsi" w:eastAsia="MS Mincho" w:hAnsiTheme="minorHAnsi" w:cstheme="minorHAnsi"/>
                <w:b/>
                <w:bCs/>
                <w:sz w:val="24"/>
                <w:lang w:eastAsia="ja-JP"/>
              </w:rPr>
            </w:pPr>
            <w:r w:rsidRPr="00B845AF">
              <w:rPr>
                <w:rFonts w:asciiTheme="minorHAnsi" w:eastAsia="MS Mincho" w:hAnsiTheme="minorHAnsi" w:cstheme="minorHAnsi"/>
                <w:b/>
                <w:bCs/>
                <w:sz w:val="24"/>
                <w:lang w:eastAsia="ja-JP"/>
              </w:rPr>
              <w:t>Opening Remarks by the Prime Minister of Samoa</w:t>
            </w:r>
          </w:p>
          <w:p w14:paraId="12C95341" w14:textId="3D259C10" w:rsidR="00F93AA8" w:rsidRPr="00B845AF" w:rsidRDefault="000644B9" w:rsidP="00835632">
            <w:pPr>
              <w:adjustRightInd w:val="0"/>
              <w:snapToGrid w:val="0"/>
              <w:jc w:val="center"/>
              <w:rPr>
                <w:rFonts w:asciiTheme="minorHAnsi" w:eastAsiaTheme="minorEastAsia" w:hAnsiTheme="minorHAnsi" w:cstheme="minorHAnsi"/>
                <w:b/>
                <w:bCs/>
                <w:sz w:val="28"/>
                <w:szCs w:val="28"/>
                <w:lang w:eastAsia="ko-KR"/>
              </w:rPr>
            </w:pPr>
            <w:proofErr w:type="spellStart"/>
            <w:r w:rsidRPr="00B845AF">
              <w:rPr>
                <w:rFonts w:asciiTheme="minorHAnsi" w:eastAsiaTheme="minorEastAsia" w:hAnsiTheme="minorHAnsi" w:cstheme="minorHAnsi"/>
                <w:b/>
                <w:bCs/>
                <w:sz w:val="24"/>
                <w:lang w:eastAsia="ko-KR"/>
              </w:rPr>
              <w:t>Afioga</w:t>
            </w:r>
            <w:proofErr w:type="spellEnd"/>
            <w:r w:rsidRPr="00B845AF">
              <w:rPr>
                <w:rFonts w:asciiTheme="minorHAnsi" w:eastAsiaTheme="minorEastAsia" w:hAnsiTheme="minorHAnsi" w:cstheme="minorHAnsi"/>
                <w:b/>
                <w:bCs/>
                <w:sz w:val="24"/>
                <w:lang w:eastAsia="ko-KR"/>
              </w:rPr>
              <w:t xml:space="preserve"> </w:t>
            </w:r>
            <w:proofErr w:type="spellStart"/>
            <w:r w:rsidRPr="00B845AF">
              <w:rPr>
                <w:rFonts w:asciiTheme="minorHAnsi" w:eastAsiaTheme="minorEastAsia" w:hAnsiTheme="minorHAnsi" w:cstheme="minorHAnsi"/>
                <w:b/>
                <w:bCs/>
                <w:sz w:val="24"/>
                <w:lang w:eastAsia="ko-KR"/>
              </w:rPr>
              <w:t>Laaulialemalietoa</w:t>
            </w:r>
            <w:proofErr w:type="spellEnd"/>
            <w:r w:rsidRPr="00B845AF">
              <w:rPr>
                <w:rFonts w:asciiTheme="minorHAnsi" w:eastAsiaTheme="minorEastAsia" w:hAnsiTheme="minorHAnsi" w:cstheme="minorHAnsi"/>
                <w:b/>
                <w:bCs/>
                <w:sz w:val="24"/>
                <w:lang w:eastAsia="ko-KR"/>
              </w:rPr>
              <w:t xml:space="preserve"> </w:t>
            </w:r>
            <w:proofErr w:type="spellStart"/>
            <w:r w:rsidRPr="00B845AF">
              <w:rPr>
                <w:rFonts w:asciiTheme="minorHAnsi" w:eastAsiaTheme="minorEastAsia" w:hAnsiTheme="minorHAnsi" w:cstheme="minorHAnsi"/>
                <w:b/>
                <w:bCs/>
                <w:sz w:val="24"/>
                <w:lang w:eastAsia="ko-KR"/>
              </w:rPr>
              <w:t>Leuatea</w:t>
            </w:r>
            <w:proofErr w:type="spellEnd"/>
            <w:r w:rsidRPr="00B845AF">
              <w:rPr>
                <w:rFonts w:asciiTheme="minorHAnsi" w:eastAsiaTheme="minorEastAsia" w:hAnsiTheme="minorHAnsi" w:cstheme="minorHAnsi"/>
                <w:b/>
                <w:bCs/>
                <w:sz w:val="24"/>
                <w:lang w:eastAsia="ko-KR"/>
              </w:rPr>
              <w:t xml:space="preserve"> Polataivao Fosi Schmidt </w:t>
            </w:r>
            <w:r w:rsidR="00F93AA8" w:rsidRPr="00B845AF">
              <w:rPr>
                <w:rFonts w:asciiTheme="minorHAnsi" w:eastAsiaTheme="minorEastAsia" w:hAnsiTheme="minorHAnsi" w:cstheme="minorHAnsi"/>
                <w:b/>
                <w:bCs/>
                <w:sz w:val="28"/>
                <w:szCs w:val="28"/>
                <w:lang w:eastAsia="ko-KR"/>
              </w:rPr>
              <w:fldChar w:fldCharType="begin"/>
            </w:r>
            <w:r w:rsidR="00F93AA8" w:rsidRPr="00B845AF">
              <w:rPr>
                <w:rFonts w:asciiTheme="minorHAnsi" w:hAnsiTheme="minorHAnsi" w:cstheme="minorHAnsi"/>
                <w:sz w:val="28"/>
                <w:szCs w:val="28"/>
              </w:rPr>
              <w:instrText xml:space="preserve"> TC "</w:instrText>
            </w:r>
            <w:bookmarkStart w:id="88" w:name="_Toc239261438"/>
            <w:r w:rsidR="00F93AA8" w:rsidRPr="00B845AF">
              <w:rPr>
                <w:rFonts w:asciiTheme="minorHAnsi" w:eastAsiaTheme="minorEastAsia" w:hAnsiTheme="minorHAnsi" w:cstheme="minorHAnsi"/>
                <w:b/>
                <w:bCs/>
                <w:sz w:val="28"/>
                <w:szCs w:val="28"/>
                <w:lang w:eastAsia="ko-KR"/>
              </w:rPr>
              <w:instrText>SUMMARY REPORT</w:instrText>
            </w:r>
            <w:bookmarkEnd w:id="88"/>
            <w:r w:rsidR="00F93AA8" w:rsidRPr="00B845AF">
              <w:rPr>
                <w:rFonts w:asciiTheme="minorHAnsi" w:hAnsiTheme="minorHAnsi" w:cstheme="minorHAnsi"/>
                <w:sz w:val="28"/>
                <w:szCs w:val="28"/>
              </w:rPr>
              <w:instrText xml:space="preserve">" \f C \l "1" </w:instrText>
            </w:r>
            <w:r w:rsidR="00F93AA8" w:rsidRPr="00B845AF">
              <w:rPr>
                <w:rFonts w:asciiTheme="minorHAnsi" w:eastAsiaTheme="minorEastAsia" w:hAnsiTheme="minorHAnsi" w:cstheme="minorHAnsi"/>
                <w:b/>
                <w:bCs/>
                <w:sz w:val="28"/>
                <w:szCs w:val="28"/>
                <w:lang w:eastAsia="ko-KR"/>
              </w:rPr>
              <w:fldChar w:fldCharType="end"/>
            </w:r>
          </w:p>
        </w:tc>
      </w:tr>
    </w:tbl>
    <w:p w14:paraId="0440B850" w14:textId="77777777" w:rsidR="003851AF" w:rsidRPr="00B845AF" w:rsidRDefault="003851AF" w:rsidP="00E56EE0">
      <w:pPr>
        <w:autoSpaceDE w:val="0"/>
        <w:autoSpaceDN w:val="0"/>
        <w:adjustRightInd w:val="0"/>
        <w:snapToGrid w:val="0"/>
        <w:spacing w:line="220" w:lineRule="exact"/>
        <w:jc w:val="both"/>
        <w:rPr>
          <w:rFonts w:asciiTheme="minorHAnsi" w:hAnsiTheme="minorHAnsi" w:cstheme="minorHAnsi"/>
          <w:szCs w:val="22"/>
        </w:rPr>
      </w:pPr>
    </w:p>
    <w:p w14:paraId="6FBC5AF0" w14:textId="77777777" w:rsidR="008569ED" w:rsidRPr="00B845AF" w:rsidRDefault="008569ED" w:rsidP="00B845AF">
      <w:pPr>
        <w:autoSpaceDE w:val="0"/>
        <w:autoSpaceDN w:val="0"/>
        <w:adjustRightInd w:val="0"/>
        <w:snapToGrid w:val="0"/>
        <w:jc w:val="both"/>
        <w:rPr>
          <w:rFonts w:asciiTheme="minorHAnsi" w:hAnsiTheme="minorHAnsi" w:cstheme="minorHAnsi"/>
          <w:szCs w:val="22"/>
        </w:rPr>
      </w:pPr>
    </w:p>
    <w:p w14:paraId="606238EB"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Reverend Dr Latu Latai</w:t>
      </w:r>
    </w:p>
    <w:p w14:paraId="332E68B0"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Cabinet Ministers and Associate Ministers;</w:t>
      </w:r>
    </w:p>
    <w:p w14:paraId="1672EF32"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Members of the Diplomatic Corps;</w:t>
      </w:r>
    </w:p>
    <w:p w14:paraId="524F2109"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Development Partners;</w:t>
      </w:r>
    </w:p>
    <w:p w14:paraId="40B3483C"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WCPFC Chair, Ms Josie Tamate;</w:t>
      </w:r>
    </w:p>
    <w:p w14:paraId="38E70A34"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Executive Director of the WCPFC, Ms Rhea-Ann Moss;</w:t>
      </w:r>
    </w:p>
    <w:p w14:paraId="127F2FA8"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Chair of the Scientific Committee, Ms Emily Crigler;</w:t>
      </w:r>
    </w:p>
    <w:p w14:paraId="3453ED70"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Heads of Delegations;</w:t>
      </w:r>
    </w:p>
    <w:p w14:paraId="12C8BE60"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WCPFC Members;</w:t>
      </w:r>
    </w:p>
    <w:p w14:paraId="3A3C36CD"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Cooperating </w:t>
      </w:r>
      <w:proofErr w:type="gramStart"/>
      <w:r w:rsidRPr="00B845AF">
        <w:rPr>
          <w:rFonts w:asciiTheme="minorHAnsi" w:hAnsiTheme="minorHAnsi" w:cstheme="minorHAnsi"/>
          <w:szCs w:val="22"/>
        </w:rPr>
        <w:t>Non-Members</w:t>
      </w:r>
      <w:proofErr w:type="gramEnd"/>
      <w:r w:rsidRPr="00B845AF">
        <w:rPr>
          <w:rFonts w:asciiTheme="minorHAnsi" w:hAnsiTheme="minorHAnsi" w:cstheme="minorHAnsi"/>
          <w:szCs w:val="22"/>
        </w:rPr>
        <w:t>;</w:t>
      </w:r>
    </w:p>
    <w:p w14:paraId="330F2CB7" w14:textId="77777777" w:rsidR="00AC4E87" w:rsidRPr="00B845AF" w:rsidRDefault="00AC4E87" w:rsidP="00B845AF">
      <w:pPr>
        <w:adjustRightInd w:val="0"/>
        <w:snapToGrid w:val="0"/>
        <w:jc w:val="both"/>
        <w:rPr>
          <w:rFonts w:asciiTheme="minorHAnsi" w:hAnsiTheme="minorHAnsi" w:cstheme="minorHAnsi"/>
          <w:szCs w:val="22"/>
        </w:rPr>
      </w:pPr>
      <w:proofErr w:type="gramStart"/>
      <w:r w:rsidRPr="00B845AF">
        <w:rPr>
          <w:rFonts w:asciiTheme="minorHAnsi" w:hAnsiTheme="minorHAnsi" w:cstheme="minorHAnsi"/>
          <w:szCs w:val="22"/>
        </w:rPr>
        <w:t>Participating</w:t>
      </w:r>
      <w:proofErr w:type="gramEnd"/>
      <w:r w:rsidRPr="00B845AF">
        <w:rPr>
          <w:rFonts w:asciiTheme="minorHAnsi" w:hAnsiTheme="minorHAnsi" w:cstheme="minorHAnsi"/>
          <w:szCs w:val="22"/>
        </w:rPr>
        <w:t xml:space="preserve"> Territories and Observers,</w:t>
      </w:r>
    </w:p>
    <w:p w14:paraId="683344F1"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Ladies and Gentlemen</w:t>
      </w:r>
    </w:p>
    <w:p w14:paraId="11E8B0F0" w14:textId="77777777" w:rsidR="00AC4E87" w:rsidRPr="00B845AF" w:rsidRDefault="00AC4E87" w:rsidP="00B845AF">
      <w:pPr>
        <w:adjustRightInd w:val="0"/>
        <w:snapToGrid w:val="0"/>
        <w:jc w:val="both"/>
        <w:rPr>
          <w:rFonts w:asciiTheme="minorHAnsi" w:hAnsiTheme="minorHAnsi" w:cstheme="minorHAnsi"/>
          <w:szCs w:val="22"/>
        </w:rPr>
      </w:pPr>
    </w:p>
    <w:p w14:paraId="26D8A36F"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Talofa lava and a very warm welcome to Samoa.</w:t>
      </w:r>
    </w:p>
    <w:p w14:paraId="60028E4C" w14:textId="77777777" w:rsidR="00AC4E87" w:rsidRPr="00B845AF" w:rsidRDefault="00AC4E87" w:rsidP="00B845AF">
      <w:pPr>
        <w:adjustRightInd w:val="0"/>
        <w:snapToGrid w:val="0"/>
        <w:jc w:val="both"/>
        <w:rPr>
          <w:rFonts w:asciiTheme="minorHAnsi" w:hAnsiTheme="minorHAnsi" w:cstheme="minorHAnsi"/>
          <w:szCs w:val="22"/>
        </w:rPr>
      </w:pPr>
    </w:p>
    <w:p w14:paraId="5D19E38E"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Thank you for making the journey to Samoa to take part in this Twenty-Second Regular Session of the Scientific Committee.</w:t>
      </w:r>
    </w:p>
    <w:p w14:paraId="453BB8A5" w14:textId="77777777" w:rsidR="00AC4E87" w:rsidRPr="00B845AF" w:rsidRDefault="00AC4E87" w:rsidP="00B845AF">
      <w:pPr>
        <w:adjustRightInd w:val="0"/>
        <w:snapToGrid w:val="0"/>
        <w:jc w:val="both"/>
        <w:rPr>
          <w:rFonts w:asciiTheme="minorHAnsi" w:hAnsiTheme="minorHAnsi" w:cstheme="minorHAnsi"/>
          <w:szCs w:val="22"/>
        </w:rPr>
      </w:pPr>
    </w:p>
    <w:p w14:paraId="1F2767A9" w14:textId="77777777" w:rsidR="00AC4E87" w:rsidRPr="00B845AF" w:rsidRDefault="00AC4E87" w:rsidP="00B845AF">
      <w:pPr>
        <w:adjustRightInd w:val="0"/>
        <w:snapToGrid w:val="0"/>
        <w:jc w:val="both"/>
        <w:rPr>
          <w:rFonts w:asciiTheme="minorHAnsi" w:hAnsiTheme="minorHAnsi" w:cstheme="minorHAnsi"/>
          <w:szCs w:val="22"/>
        </w:rPr>
      </w:pPr>
    </w:p>
    <w:p w14:paraId="45C09071"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It is fitting that this work is done here, in the heart of the Pacific. For the peoples of the Pacific Ocean, tuna is not just any fish. It is our livelihood, it is revenue, it is food on the table, and for many of our smaller islands, tuna and other pelagic fisheries are the backbone of our economies. What you decide in this Hall over the coming days will be felt in coastal villages long before it is felt in any capital. That is why the work of this Committee matters so much to us, and why Samoa is proud to host this meeting this year.</w:t>
      </w:r>
    </w:p>
    <w:p w14:paraId="077214EC" w14:textId="77777777" w:rsidR="00AC4E87" w:rsidRPr="00B845AF" w:rsidRDefault="00AC4E87" w:rsidP="00B845AF">
      <w:pPr>
        <w:adjustRightInd w:val="0"/>
        <w:snapToGrid w:val="0"/>
        <w:jc w:val="both"/>
        <w:rPr>
          <w:rFonts w:asciiTheme="minorHAnsi" w:hAnsiTheme="minorHAnsi" w:cstheme="minorHAnsi"/>
          <w:szCs w:val="22"/>
        </w:rPr>
      </w:pPr>
    </w:p>
    <w:p w14:paraId="3E995B5B"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Over the past year, the Scientific Committee has continued to strengthen the science that underpins fisheries management, and I want to acknowledge that progress.</w:t>
      </w:r>
    </w:p>
    <w:p w14:paraId="1C527FB0" w14:textId="77777777" w:rsidR="00AC4E87" w:rsidRPr="00B845AF" w:rsidRDefault="00AC4E87" w:rsidP="00B845AF">
      <w:pPr>
        <w:adjustRightInd w:val="0"/>
        <w:snapToGrid w:val="0"/>
        <w:jc w:val="both"/>
        <w:rPr>
          <w:rFonts w:asciiTheme="minorHAnsi" w:hAnsiTheme="minorHAnsi" w:cstheme="minorHAnsi"/>
          <w:szCs w:val="22"/>
        </w:rPr>
      </w:pPr>
    </w:p>
    <w:p w14:paraId="23F93D4F"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The move toward standardised scientific data submission is a welcome step. Thirty-two Commission Members used the new portal in its first year, this is an important achievement.</w:t>
      </w:r>
    </w:p>
    <w:p w14:paraId="2BB1C649" w14:textId="77777777" w:rsidR="00AC4E87" w:rsidRPr="00B845AF" w:rsidRDefault="00AC4E87" w:rsidP="00B845AF">
      <w:pPr>
        <w:adjustRightInd w:val="0"/>
        <w:snapToGrid w:val="0"/>
        <w:jc w:val="both"/>
        <w:rPr>
          <w:rFonts w:asciiTheme="minorHAnsi" w:hAnsiTheme="minorHAnsi" w:cstheme="minorHAnsi"/>
          <w:szCs w:val="22"/>
        </w:rPr>
      </w:pPr>
    </w:p>
    <w:p w14:paraId="5E10960A"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We also welcome </w:t>
      </w:r>
      <w:proofErr w:type="gramStart"/>
      <w:r w:rsidRPr="00B845AF">
        <w:rPr>
          <w:rFonts w:asciiTheme="minorHAnsi" w:hAnsiTheme="minorHAnsi" w:cstheme="minorHAnsi"/>
          <w:szCs w:val="22"/>
        </w:rPr>
        <w:t>the steady</w:t>
      </w:r>
      <w:proofErr w:type="gramEnd"/>
      <w:r w:rsidRPr="00B845AF">
        <w:rPr>
          <w:rFonts w:asciiTheme="minorHAnsi" w:hAnsiTheme="minorHAnsi" w:cstheme="minorHAnsi"/>
          <w:szCs w:val="22"/>
        </w:rPr>
        <w:t xml:space="preserve"> work on </w:t>
      </w:r>
      <w:proofErr w:type="gramStart"/>
      <w:r w:rsidRPr="00B845AF">
        <w:rPr>
          <w:rFonts w:asciiTheme="minorHAnsi" w:hAnsiTheme="minorHAnsi" w:cstheme="minorHAnsi"/>
          <w:szCs w:val="22"/>
        </w:rPr>
        <w:t>size-composition</w:t>
      </w:r>
      <w:proofErr w:type="gramEnd"/>
      <w:r w:rsidRPr="00B845AF">
        <w:rPr>
          <w:rFonts w:asciiTheme="minorHAnsi" w:hAnsiTheme="minorHAnsi" w:cstheme="minorHAnsi"/>
          <w:szCs w:val="22"/>
        </w:rPr>
        <w:t xml:space="preserve"> data and conversion factors. These are worthy investments that will yield sound advice for years to come.</w:t>
      </w:r>
    </w:p>
    <w:p w14:paraId="3D58EE53" w14:textId="77777777" w:rsidR="00AC4E87" w:rsidRPr="00B845AF" w:rsidRDefault="00AC4E87" w:rsidP="00B845AF">
      <w:pPr>
        <w:adjustRightInd w:val="0"/>
        <w:snapToGrid w:val="0"/>
        <w:jc w:val="both"/>
        <w:rPr>
          <w:rFonts w:asciiTheme="minorHAnsi" w:hAnsiTheme="minorHAnsi" w:cstheme="minorHAnsi"/>
          <w:szCs w:val="22"/>
        </w:rPr>
      </w:pPr>
    </w:p>
    <w:p w14:paraId="17BBC730"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lastRenderedPageBreak/>
        <w:t>I also wish to acknowledge the Pacific Tuna Tagging Programme, which remains the backbone of what we know about movement, mixing, and the impact fishing has on all our tuna stocks.</w:t>
      </w:r>
    </w:p>
    <w:p w14:paraId="19D53888" w14:textId="77777777" w:rsidR="00AC4E87" w:rsidRPr="00B845AF" w:rsidRDefault="00AC4E87" w:rsidP="00B845AF">
      <w:pPr>
        <w:adjustRightInd w:val="0"/>
        <w:snapToGrid w:val="0"/>
        <w:jc w:val="both"/>
        <w:rPr>
          <w:rFonts w:asciiTheme="minorHAnsi" w:hAnsiTheme="minorHAnsi" w:cstheme="minorHAnsi"/>
          <w:szCs w:val="22"/>
        </w:rPr>
      </w:pPr>
    </w:p>
    <w:p w14:paraId="23E686CF"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We understand that the Scientific Committee and the Commission will need to look at ways this programme can be sustained. I only urge that any search for savings be guided by what </w:t>
      </w:r>
      <w:proofErr w:type="gramStart"/>
      <w:r w:rsidRPr="00B845AF">
        <w:rPr>
          <w:rFonts w:asciiTheme="minorHAnsi" w:hAnsiTheme="minorHAnsi" w:cstheme="minorHAnsi"/>
          <w:szCs w:val="22"/>
        </w:rPr>
        <w:t>the science</w:t>
      </w:r>
      <w:proofErr w:type="gramEnd"/>
      <w:r w:rsidRPr="00B845AF">
        <w:rPr>
          <w:rFonts w:asciiTheme="minorHAnsi" w:hAnsiTheme="minorHAnsi" w:cstheme="minorHAnsi"/>
          <w:szCs w:val="22"/>
        </w:rPr>
        <w:t xml:space="preserve"> needs to remain credible, not by the budget line alone.</w:t>
      </w:r>
    </w:p>
    <w:p w14:paraId="5DCE7F06" w14:textId="77777777" w:rsidR="00AC4E87" w:rsidRPr="00B845AF" w:rsidRDefault="00AC4E87" w:rsidP="00B845AF">
      <w:pPr>
        <w:adjustRightInd w:val="0"/>
        <w:snapToGrid w:val="0"/>
        <w:jc w:val="both"/>
        <w:rPr>
          <w:rFonts w:asciiTheme="minorHAnsi" w:hAnsiTheme="minorHAnsi" w:cstheme="minorHAnsi"/>
          <w:szCs w:val="22"/>
        </w:rPr>
      </w:pPr>
    </w:p>
    <w:p w14:paraId="55EC027D"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But I want to speak plainly about the priorities that Samoa, and our Pacific family, bring to this table.</w:t>
      </w:r>
    </w:p>
    <w:p w14:paraId="5A28522C" w14:textId="77777777" w:rsidR="00AC4E87" w:rsidRPr="00B845AF" w:rsidRDefault="00AC4E87" w:rsidP="00B845AF">
      <w:pPr>
        <w:adjustRightInd w:val="0"/>
        <w:snapToGrid w:val="0"/>
        <w:jc w:val="both"/>
        <w:rPr>
          <w:rFonts w:asciiTheme="minorHAnsi" w:hAnsiTheme="minorHAnsi" w:cstheme="minorHAnsi"/>
          <w:szCs w:val="22"/>
        </w:rPr>
      </w:pPr>
    </w:p>
    <w:p w14:paraId="57E536E1"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First, our scientific advice must be built on evidence, and that standard must be applied consistently to every fishery, and to every proposal brought forward. We ask, in turn, that the same good faith, and the same flexibility in how that evidence is gathered and presented, be extended when Pacific Island proposals come before the Commission.</w:t>
      </w:r>
    </w:p>
    <w:p w14:paraId="0F7727DD" w14:textId="77777777" w:rsidR="00AC4E87" w:rsidRPr="00B845AF" w:rsidRDefault="00AC4E87" w:rsidP="00B845AF">
      <w:pPr>
        <w:adjustRightInd w:val="0"/>
        <w:snapToGrid w:val="0"/>
        <w:jc w:val="both"/>
        <w:rPr>
          <w:rFonts w:asciiTheme="minorHAnsi" w:hAnsiTheme="minorHAnsi" w:cstheme="minorHAnsi"/>
          <w:szCs w:val="22"/>
        </w:rPr>
      </w:pPr>
    </w:p>
    <w:p w14:paraId="6940FFC1"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Second, the cost of good science should not fall on those least able to bear it. As this Committee considers new sampling frameworks, new data requirements, and new monitoring systems, we ask that Article 30 shape every decision from the outset.</w:t>
      </w:r>
    </w:p>
    <w:p w14:paraId="7DA09156" w14:textId="77777777" w:rsidR="00AC4E87" w:rsidRPr="00B845AF" w:rsidRDefault="00AC4E87" w:rsidP="00B845AF">
      <w:pPr>
        <w:adjustRightInd w:val="0"/>
        <w:snapToGrid w:val="0"/>
        <w:jc w:val="both"/>
        <w:rPr>
          <w:rFonts w:asciiTheme="minorHAnsi" w:hAnsiTheme="minorHAnsi" w:cstheme="minorHAnsi"/>
          <w:szCs w:val="22"/>
        </w:rPr>
      </w:pPr>
    </w:p>
    <w:p w14:paraId="13F4849C"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Third, as this Committee looks to prioritise its own growing workload, we encourage a scheduling approach that is practical and sustainable.</w:t>
      </w:r>
    </w:p>
    <w:p w14:paraId="26900B99" w14:textId="77777777" w:rsidR="00AC4E87" w:rsidRPr="00B845AF" w:rsidRDefault="00AC4E87" w:rsidP="00B845AF">
      <w:pPr>
        <w:adjustRightInd w:val="0"/>
        <w:snapToGrid w:val="0"/>
        <w:jc w:val="both"/>
        <w:rPr>
          <w:rFonts w:asciiTheme="minorHAnsi" w:hAnsiTheme="minorHAnsi" w:cstheme="minorHAnsi"/>
          <w:szCs w:val="22"/>
        </w:rPr>
      </w:pPr>
    </w:p>
    <w:p w14:paraId="7F19A586"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None of what I have said should be mistaken for reluctance. Samoa and our Pacific </w:t>
      </w:r>
      <w:proofErr w:type="spellStart"/>
      <w:r w:rsidRPr="00B845AF">
        <w:rPr>
          <w:rFonts w:asciiTheme="minorHAnsi" w:hAnsiTheme="minorHAnsi" w:cstheme="minorHAnsi"/>
          <w:szCs w:val="22"/>
        </w:rPr>
        <w:t>neighbours</w:t>
      </w:r>
      <w:proofErr w:type="spellEnd"/>
      <w:r w:rsidRPr="00B845AF">
        <w:rPr>
          <w:rFonts w:asciiTheme="minorHAnsi" w:hAnsiTheme="minorHAnsi" w:cstheme="minorHAnsi"/>
          <w:szCs w:val="22"/>
        </w:rPr>
        <w:t xml:space="preserve"> do not come to this table to resist scientific accuracy, because we understand what is at stake when good science is absent.</w:t>
      </w:r>
    </w:p>
    <w:p w14:paraId="15F007AF" w14:textId="77777777" w:rsidR="00AC4E87" w:rsidRPr="00B845AF" w:rsidRDefault="00AC4E87" w:rsidP="00B845AF">
      <w:pPr>
        <w:adjustRightInd w:val="0"/>
        <w:snapToGrid w:val="0"/>
        <w:jc w:val="both"/>
        <w:rPr>
          <w:rFonts w:asciiTheme="minorHAnsi" w:hAnsiTheme="minorHAnsi" w:cstheme="minorHAnsi"/>
          <w:szCs w:val="22"/>
        </w:rPr>
      </w:pPr>
    </w:p>
    <w:p w14:paraId="34637DBF" w14:textId="77777777" w:rsidR="00AC4E87" w:rsidRPr="00B845AF" w:rsidRDefault="00AC4E87" w:rsidP="00B845AF">
      <w:pPr>
        <w:adjustRightInd w:val="0"/>
        <w:snapToGrid w:val="0"/>
        <w:jc w:val="both"/>
        <w:rPr>
          <w:rFonts w:asciiTheme="minorHAnsi" w:hAnsiTheme="minorHAnsi" w:cstheme="minorHAnsi"/>
          <w:szCs w:val="22"/>
        </w:rPr>
      </w:pPr>
      <w:r w:rsidRPr="00B845AF">
        <w:rPr>
          <w:rFonts w:asciiTheme="minorHAnsi" w:hAnsiTheme="minorHAnsi" w:cstheme="minorHAnsi"/>
          <w:szCs w:val="22"/>
        </w:rPr>
        <w:t>To every delegation and every scientist in this room, thank you for your dedication. I wish you a productive session in the days ahead.</w:t>
      </w:r>
    </w:p>
    <w:p w14:paraId="67DBD290" w14:textId="77777777" w:rsidR="00AC4E87" w:rsidRPr="00B845AF" w:rsidRDefault="00AC4E87" w:rsidP="00B845AF">
      <w:pPr>
        <w:adjustRightInd w:val="0"/>
        <w:snapToGrid w:val="0"/>
        <w:jc w:val="both"/>
        <w:rPr>
          <w:rFonts w:asciiTheme="minorHAnsi" w:hAnsiTheme="minorHAnsi" w:cstheme="minorHAnsi"/>
          <w:szCs w:val="22"/>
        </w:rPr>
      </w:pPr>
    </w:p>
    <w:p w14:paraId="7729D7C5" w14:textId="77777777" w:rsidR="00AC4E87" w:rsidRPr="00B845AF" w:rsidRDefault="00AC4E87" w:rsidP="00B845AF">
      <w:pPr>
        <w:adjustRightInd w:val="0"/>
        <w:snapToGrid w:val="0"/>
        <w:jc w:val="both"/>
        <w:rPr>
          <w:rFonts w:asciiTheme="minorHAnsi" w:hAnsiTheme="minorHAnsi" w:cstheme="minorHAnsi"/>
          <w:szCs w:val="22"/>
        </w:rPr>
      </w:pPr>
      <w:proofErr w:type="spellStart"/>
      <w:r w:rsidRPr="00B845AF">
        <w:rPr>
          <w:rFonts w:asciiTheme="minorHAnsi" w:hAnsiTheme="minorHAnsi" w:cstheme="minorHAnsi"/>
          <w:szCs w:val="22"/>
        </w:rPr>
        <w:t>Fa'afetai</w:t>
      </w:r>
      <w:proofErr w:type="spellEnd"/>
      <w:r w:rsidRPr="00B845AF">
        <w:rPr>
          <w:rFonts w:asciiTheme="minorHAnsi" w:hAnsiTheme="minorHAnsi" w:cstheme="minorHAnsi"/>
          <w:szCs w:val="22"/>
        </w:rPr>
        <w:t xml:space="preserve"> lava, God Bless you all, and God Bless the work of the Tuna Commission.</w:t>
      </w:r>
    </w:p>
    <w:p w14:paraId="55BEB6E3" w14:textId="1D12415C" w:rsidR="009900F2" w:rsidRPr="00B845AF" w:rsidRDefault="009900F2" w:rsidP="009900F2">
      <w:pPr>
        <w:spacing w:line="278" w:lineRule="auto"/>
        <w:rPr>
          <w:rFonts w:asciiTheme="minorHAnsi" w:hAnsiTheme="minorHAnsi" w:cstheme="minorHAnsi"/>
          <w:szCs w:val="22"/>
        </w:rPr>
      </w:pPr>
      <w:r w:rsidRPr="00B845AF">
        <w:rPr>
          <w:rFonts w:asciiTheme="minorHAnsi" w:hAnsiTheme="minorHAnsi" w:cstheme="minorHAnsi"/>
          <w:szCs w:val="22"/>
        </w:rPr>
        <w:t> </w:t>
      </w:r>
    </w:p>
    <w:p w14:paraId="54FA6A72" w14:textId="77777777" w:rsidR="00035C22" w:rsidRPr="00B845AF" w:rsidRDefault="00035C22" w:rsidP="001A23E2">
      <w:pPr>
        <w:autoSpaceDE w:val="0"/>
        <w:autoSpaceDN w:val="0"/>
        <w:adjustRightInd w:val="0"/>
        <w:snapToGrid w:val="0"/>
        <w:jc w:val="both"/>
        <w:rPr>
          <w:rFonts w:asciiTheme="minorHAnsi" w:hAnsiTheme="minorHAnsi" w:cstheme="minorHAnsi"/>
          <w:szCs w:val="22"/>
        </w:rPr>
      </w:pPr>
    </w:p>
    <w:p w14:paraId="18B974F9" w14:textId="77777777" w:rsidR="00035C22" w:rsidRPr="00B845AF" w:rsidRDefault="00035C22" w:rsidP="001A23E2">
      <w:pPr>
        <w:autoSpaceDE w:val="0"/>
        <w:autoSpaceDN w:val="0"/>
        <w:adjustRightInd w:val="0"/>
        <w:snapToGrid w:val="0"/>
        <w:jc w:val="both"/>
        <w:rPr>
          <w:rFonts w:asciiTheme="minorHAnsi" w:hAnsiTheme="minorHAnsi" w:cstheme="minorHAnsi"/>
          <w:szCs w:val="22"/>
        </w:rPr>
      </w:pPr>
    </w:p>
    <w:p w14:paraId="5F03B0CD" w14:textId="1DC934AC" w:rsidR="00035C22" w:rsidRPr="00B845AF" w:rsidRDefault="00035C22">
      <w:pPr>
        <w:rPr>
          <w:rFonts w:asciiTheme="minorHAnsi" w:hAnsiTheme="minorHAnsi" w:cstheme="minorHAnsi"/>
          <w:szCs w:val="22"/>
        </w:rPr>
      </w:pPr>
      <w:r w:rsidRPr="00B845AF">
        <w:rPr>
          <w:rFonts w:asciiTheme="minorHAnsi" w:hAnsiTheme="minorHAnsi" w:cstheme="minorHAnsi"/>
          <w:szCs w:val="22"/>
        </w:rPr>
        <w:br w:type="page"/>
      </w:r>
    </w:p>
    <w:p w14:paraId="24CE16B3" w14:textId="2456F39C" w:rsidR="00035C22" w:rsidRPr="00B845AF" w:rsidRDefault="00035C22" w:rsidP="00035C22">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C</w:t>
      </w:r>
    </w:p>
    <w:p w14:paraId="11499F1B" w14:textId="77777777" w:rsidR="00035C22" w:rsidRPr="00B845AF" w:rsidRDefault="00035C22" w:rsidP="00035C22">
      <w:pPr>
        <w:adjustRightInd w:val="0"/>
        <w:snapToGrid w:val="0"/>
        <w:jc w:val="center"/>
        <w:rPr>
          <w:rFonts w:asciiTheme="minorHAnsi" w:hAnsiTheme="minorHAnsi" w:cstheme="minorHAnsi"/>
          <w:b/>
          <w:bCs/>
          <w:szCs w:val="22"/>
          <w:lang w:eastAsia="en-NZ"/>
        </w:rPr>
      </w:pPr>
    </w:p>
    <w:p w14:paraId="320507DC" w14:textId="77777777" w:rsidR="00591E38" w:rsidRPr="00B845AF" w:rsidRDefault="00591E38" w:rsidP="00591E38">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060B5E90" w14:textId="77777777" w:rsidR="00591E38" w:rsidRPr="00B845AF" w:rsidRDefault="00591E38" w:rsidP="00591E38">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7D377368" w14:textId="77777777" w:rsidR="00591E38" w:rsidRPr="00B845AF" w:rsidRDefault="00591E38" w:rsidP="00591E38">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5353465B" w14:textId="77777777" w:rsidR="00591E38" w:rsidRPr="00B845AF" w:rsidRDefault="00591E38" w:rsidP="00591E3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3CBEE85A" w14:textId="77777777" w:rsidR="00591E38" w:rsidRPr="00B845AF" w:rsidRDefault="00591E38" w:rsidP="00591E3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591E38" w:rsidRPr="00B845AF" w14:paraId="1566B92E" w14:textId="77777777" w:rsidTr="00835632">
        <w:tc>
          <w:tcPr>
            <w:tcW w:w="9576" w:type="dxa"/>
            <w:hideMark/>
          </w:tcPr>
          <w:p w14:paraId="0B23E960" w14:textId="77777777" w:rsidR="00F5133B" w:rsidRPr="00B845AF" w:rsidRDefault="00591E38" w:rsidP="00835632">
            <w:pPr>
              <w:adjustRightInd w:val="0"/>
              <w:snapToGrid w:val="0"/>
              <w:jc w:val="center"/>
              <w:rPr>
                <w:rFonts w:asciiTheme="minorHAnsi" w:eastAsia="MS Mincho" w:hAnsiTheme="minorHAnsi" w:cstheme="minorHAnsi"/>
                <w:b/>
                <w:bCs/>
                <w:sz w:val="24"/>
                <w:szCs w:val="28"/>
                <w:lang w:eastAsia="ja-JP"/>
              </w:rPr>
            </w:pPr>
            <w:r w:rsidRPr="00B845AF">
              <w:rPr>
                <w:rFonts w:asciiTheme="minorHAnsi" w:eastAsia="MS Mincho" w:hAnsiTheme="minorHAnsi" w:cstheme="minorHAnsi"/>
                <w:b/>
                <w:bCs/>
                <w:sz w:val="24"/>
                <w:szCs w:val="28"/>
                <w:lang w:eastAsia="ja-JP"/>
              </w:rPr>
              <w:t>Opening Remarks</w:t>
            </w:r>
            <w:r w:rsidR="004102AF" w:rsidRPr="00B845AF">
              <w:rPr>
                <w:rFonts w:asciiTheme="minorHAnsi" w:eastAsia="MS Mincho" w:hAnsiTheme="minorHAnsi" w:cstheme="minorHAnsi"/>
                <w:b/>
                <w:bCs/>
                <w:sz w:val="24"/>
                <w:szCs w:val="28"/>
                <w:lang w:eastAsia="ja-JP"/>
              </w:rPr>
              <w:t xml:space="preserve"> </w:t>
            </w:r>
          </w:p>
          <w:p w14:paraId="02E48FA1" w14:textId="1B3A65C3" w:rsidR="00591E38" w:rsidRPr="00B845AF" w:rsidRDefault="004102AF"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szCs w:val="28"/>
                <w:lang w:eastAsia="ja-JP"/>
              </w:rPr>
              <w:t>by the WCPFC Chair</w:t>
            </w:r>
            <w:r w:rsidR="00F5133B" w:rsidRPr="00B845AF">
              <w:rPr>
                <w:rFonts w:asciiTheme="minorHAnsi" w:eastAsia="MS Mincho" w:hAnsiTheme="minorHAnsi" w:cstheme="minorHAnsi"/>
                <w:b/>
                <w:bCs/>
                <w:sz w:val="24"/>
                <w:szCs w:val="28"/>
                <w:lang w:eastAsia="ja-JP"/>
              </w:rPr>
              <w:t xml:space="preserve"> Dr. Josie Tamate</w:t>
            </w:r>
            <w:r w:rsidR="00591E38" w:rsidRPr="00B845AF">
              <w:rPr>
                <w:rFonts w:asciiTheme="minorHAnsi" w:eastAsiaTheme="minorEastAsia" w:hAnsiTheme="minorHAnsi" w:cstheme="minorHAnsi"/>
                <w:b/>
                <w:bCs/>
                <w:sz w:val="28"/>
                <w:szCs w:val="28"/>
                <w:lang w:eastAsia="ko-KR"/>
              </w:rPr>
              <w:fldChar w:fldCharType="begin"/>
            </w:r>
            <w:r w:rsidR="00591E38" w:rsidRPr="00B845AF">
              <w:rPr>
                <w:rFonts w:asciiTheme="minorHAnsi" w:hAnsiTheme="minorHAnsi" w:cstheme="minorHAnsi"/>
                <w:sz w:val="28"/>
                <w:szCs w:val="28"/>
              </w:rPr>
              <w:instrText xml:space="preserve"> TC "</w:instrText>
            </w:r>
            <w:bookmarkStart w:id="89" w:name="_Toc239261439"/>
            <w:r w:rsidR="00591E38" w:rsidRPr="00B845AF">
              <w:rPr>
                <w:rFonts w:asciiTheme="minorHAnsi" w:eastAsiaTheme="minorEastAsia" w:hAnsiTheme="minorHAnsi" w:cstheme="minorHAnsi"/>
                <w:b/>
                <w:bCs/>
                <w:sz w:val="28"/>
                <w:szCs w:val="28"/>
                <w:lang w:eastAsia="ko-KR"/>
              </w:rPr>
              <w:instrText>SUMMARY REPORT</w:instrText>
            </w:r>
            <w:bookmarkEnd w:id="89"/>
            <w:r w:rsidR="00591E38" w:rsidRPr="00B845AF">
              <w:rPr>
                <w:rFonts w:asciiTheme="minorHAnsi" w:hAnsiTheme="minorHAnsi" w:cstheme="minorHAnsi"/>
                <w:sz w:val="28"/>
                <w:szCs w:val="28"/>
              </w:rPr>
              <w:instrText xml:space="preserve">" \f C \l "1" </w:instrText>
            </w:r>
            <w:r w:rsidR="00591E38" w:rsidRPr="00B845AF">
              <w:rPr>
                <w:rFonts w:asciiTheme="minorHAnsi" w:eastAsiaTheme="minorEastAsia" w:hAnsiTheme="minorHAnsi" w:cstheme="minorHAnsi"/>
                <w:b/>
                <w:bCs/>
                <w:sz w:val="28"/>
                <w:szCs w:val="28"/>
                <w:lang w:eastAsia="ko-KR"/>
              </w:rPr>
              <w:fldChar w:fldCharType="end"/>
            </w:r>
          </w:p>
        </w:tc>
      </w:tr>
    </w:tbl>
    <w:p w14:paraId="3925B09C" w14:textId="77777777" w:rsidR="00035C22" w:rsidRPr="00B845AF" w:rsidRDefault="00035C22" w:rsidP="00035C22">
      <w:pPr>
        <w:autoSpaceDE w:val="0"/>
        <w:autoSpaceDN w:val="0"/>
        <w:adjustRightInd w:val="0"/>
        <w:snapToGrid w:val="0"/>
        <w:spacing w:line="220" w:lineRule="exact"/>
        <w:jc w:val="both"/>
        <w:rPr>
          <w:rFonts w:asciiTheme="minorHAnsi" w:hAnsiTheme="minorHAnsi" w:cstheme="minorHAnsi"/>
          <w:szCs w:val="22"/>
        </w:rPr>
      </w:pPr>
    </w:p>
    <w:p w14:paraId="75F52B8F" w14:textId="77777777" w:rsidR="00035C22" w:rsidRPr="00B845AF" w:rsidRDefault="00035C22" w:rsidP="00035C22">
      <w:pPr>
        <w:autoSpaceDE w:val="0"/>
        <w:autoSpaceDN w:val="0"/>
        <w:adjustRightInd w:val="0"/>
        <w:snapToGrid w:val="0"/>
        <w:spacing w:line="220" w:lineRule="exact"/>
        <w:jc w:val="both"/>
        <w:rPr>
          <w:rFonts w:asciiTheme="minorHAnsi" w:hAnsiTheme="minorHAnsi" w:cstheme="minorHAnsi"/>
          <w:szCs w:val="22"/>
        </w:rPr>
      </w:pPr>
    </w:p>
    <w:p w14:paraId="4EB8AA7E" w14:textId="77777777" w:rsidR="00C875B4" w:rsidRPr="00B845AF" w:rsidRDefault="00C875B4" w:rsidP="00B845AF">
      <w:pPr>
        <w:numPr>
          <w:ilvl w:val="0"/>
          <w:numId w:val="35"/>
        </w:num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Rev Dr Latu Latai</w:t>
      </w:r>
    </w:p>
    <w:p w14:paraId="1D717213" w14:textId="77777777" w:rsidR="00C875B4" w:rsidRPr="00B845AF" w:rsidRDefault="00C875B4" w:rsidP="00B845AF">
      <w:pPr>
        <w:numPr>
          <w:ilvl w:val="0"/>
          <w:numId w:val="35"/>
        </w:num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Honorable Prime Minister - </w:t>
      </w:r>
      <w:proofErr w:type="spellStart"/>
      <w:r w:rsidRPr="00B845AF">
        <w:rPr>
          <w:rFonts w:asciiTheme="minorHAnsi" w:hAnsiTheme="minorHAnsi" w:cstheme="minorHAnsi"/>
          <w:szCs w:val="22"/>
        </w:rPr>
        <w:t>Afioga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Laaulialemalietoa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Leuatea</w:t>
      </w:r>
      <w:proofErr w:type="spellEnd"/>
      <w:r w:rsidRPr="00B845AF">
        <w:rPr>
          <w:rFonts w:asciiTheme="minorHAnsi" w:hAnsiTheme="minorHAnsi" w:cstheme="minorHAnsi"/>
          <w:szCs w:val="22"/>
        </w:rPr>
        <w:t xml:space="preserve"> Polataivao Fosi Schmidt;</w:t>
      </w:r>
    </w:p>
    <w:p w14:paraId="243215A0" w14:textId="77777777" w:rsidR="00C875B4" w:rsidRPr="00B845AF" w:rsidRDefault="00C875B4" w:rsidP="00B845AF">
      <w:pPr>
        <w:numPr>
          <w:ilvl w:val="0"/>
          <w:numId w:val="35"/>
        </w:num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Hon Minister of Agriculture and Fisheries - </w:t>
      </w:r>
      <w:proofErr w:type="spellStart"/>
      <w:r w:rsidRPr="00B845AF">
        <w:rPr>
          <w:rFonts w:asciiTheme="minorHAnsi" w:hAnsiTheme="minorHAnsi" w:cstheme="minorHAnsi"/>
          <w:szCs w:val="22"/>
        </w:rPr>
        <w:t>Afioga</w:t>
      </w:r>
      <w:proofErr w:type="spellEnd"/>
      <w:r w:rsidRPr="00B845AF">
        <w:rPr>
          <w:rFonts w:asciiTheme="minorHAnsi" w:hAnsiTheme="minorHAnsi" w:cstheme="minorHAnsi"/>
          <w:szCs w:val="22"/>
        </w:rPr>
        <w:t xml:space="preserve"> Fuimaono Maiava Tito Asafo and Honorable Cabinet Ministers who are also joining us this morning;</w:t>
      </w:r>
    </w:p>
    <w:p w14:paraId="307462FC" w14:textId="77777777" w:rsidR="00C875B4" w:rsidRPr="00B845AF" w:rsidRDefault="00C875B4" w:rsidP="00B845AF">
      <w:pPr>
        <w:numPr>
          <w:ilvl w:val="0"/>
          <w:numId w:val="35"/>
        </w:num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  WCPFC Scientific Committee Chair Emily Crigler and your Vice Chair; Members; Observers; Executive Director Rhea Moss-Christian and Secretariat staff; Members of the Diplomatic Corp; Science Service Provider – the Secretariat of the Pacific Community team led by Dr Graham </w:t>
      </w:r>
      <w:proofErr w:type="gramStart"/>
      <w:r w:rsidRPr="00B845AF">
        <w:rPr>
          <w:rFonts w:asciiTheme="minorHAnsi" w:hAnsiTheme="minorHAnsi" w:cstheme="minorHAnsi"/>
          <w:szCs w:val="22"/>
        </w:rPr>
        <w:t>Pilling;  CEO</w:t>
      </w:r>
      <w:proofErr w:type="gramEnd"/>
      <w:r w:rsidRPr="00B845AF">
        <w:rPr>
          <w:rFonts w:asciiTheme="minorHAnsi" w:hAnsiTheme="minorHAnsi" w:cstheme="minorHAnsi"/>
          <w:szCs w:val="22"/>
        </w:rPr>
        <w:t xml:space="preserve"> for Ministry of Agriculture and Fisheries - </w:t>
      </w:r>
      <w:proofErr w:type="spellStart"/>
      <w:r w:rsidRPr="00B845AF">
        <w:rPr>
          <w:rFonts w:asciiTheme="minorHAnsi" w:hAnsiTheme="minorHAnsi" w:cstheme="minorHAnsi"/>
          <w:szCs w:val="22"/>
        </w:rPr>
        <w:t>Afioga</w:t>
      </w:r>
      <w:proofErr w:type="spellEnd"/>
      <w:r w:rsidRPr="00B845AF">
        <w:rPr>
          <w:rFonts w:asciiTheme="minorHAnsi" w:hAnsiTheme="minorHAnsi" w:cstheme="minorHAnsi"/>
          <w:szCs w:val="22"/>
        </w:rPr>
        <w:t xml:space="preserve"> Afamasaga </w:t>
      </w:r>
      <w:proofErr w:type="spellStart"/>
      <w:r w:rsidRPr="00B845AF">
        <w:rPr>
          <w:rFonts w:asciiTheme="minorHAnsi" w:hAnsiTheme="minorHAnsi" w:cstheme="minorHAnsi"/>
          <w:szCs w:val="22"/>
        </w:rPr>
        <w:t>Taimalietane</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Matatumua</w:t>
      </w:r>
      <w:proofErr w:type="spellEnd"/>
      <w:r w:rsidRPr="00B845AF">
        <w:rPr>
          <w:rFonts w:asciiTheme="minorHAnsi" w:hAnsiTheme="minorHAnsi" w:cstheme="minorHAnsi"/>
          <w:szCs w:val="22"/>
        </w:rPr>
        <w:t xml:space="preserve"> and the Ministry staff; Ladies and Gentlemen</w:t>
      </w:r>
    </w:p>
    <w:p w14:paraId="7C061870" w14:textId="77777777" w:rsidR="00C875B4" w:rsidRPr="00B845AF" w:rsidRDefault="00C875B4" w:rsidP="00B845AF">
      <w:pPr>
        <w:autoSpaceDE w:val="0"/>
        <w:autoSpaceDN w:val="0"/>
        <w:adjustRightInd w:val="0"/>
        <w:snapToGrid w:val="0"/>
        <w:jc w:val="both"/>
        <w:rPr>
          <w:rFonts w:asciiTheme="minorHAnsi" w:hAnsiTheme="minorHAnsi" w:cstheme="minorHAnsi"/>
          <w:szCs w:val="22"/>
        </w:rPr>
      </w:pPr>
    </w:p>
    <w:p w14:paraId="10E4780D"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proofErr w:type="spellStart"/>
      <w:r w:rsidRPr="00B845AF">
        <w:rPr>
          <w:rFonts w:asciiTheme="minorHAnsi" w:hAnsiTheme="minorHAnsi" w:cstheme="minorHAnsi"/>
          <w:szCs w:val="22"/>
        </w:rPr>
        <w:t>Fakaalofa</w:t>
      </w:r>
      <w:proofErr w:type="spellEnd"/>
      <w:r w:rsidRPr="00B845AF">
        <w:rPr>
          <w:rFonts w:asciiTheme="minorHAnsi" w:hAnsiTheme="minorHAnsi" w:cstheme="minorHAnsi"/>
          <w:szCs w:val="22"/>
        </w:rPr>
        <w:t xml:space="preserve"> lahi atu kia </w:t>
      </w:r>
      <w:proofErr w:type="spellStart"/>
      <w:r w:rsidRPr="00B845AF">
        <w:rPr>
          <w:rFonts w:asciiTheme="minorHAnsi" w:hAnsiTheme="minorHAnsi" w:cstheme="minorHAnsi"/>
          <w:szCs w:val="22"/>
        </w:rPr>
        <w:t>mutolu</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oti</w:t>
      </w:r>
      <w:proofErr w:type="spellEnd"/>
      <w:r w:rsidRPr="00B845AF">
        <w:rPr>
          <w:rFonts w:asciiTheme="minorHAnsi" w:hAnsiTheme="minorHAnsi" w:cstheme="minorHAnsi"/>
          <w:szCs w:val="22"/>
        </w:rPr>
        <w:t xml:space="preserve"> he </w:t>
      </w:r>
      <w:proofErr w:type="spellStart"/>
      <w:r w:rsidRPr="00B845AF">
        <w:rPr>
          <w:rFonts w:asciiTheme="minorHAnsi" w:hAnsiTheme="minorHAnsi" w:cstheme="minorHAnsi"/>
          <w:szCs w:val="22"/>
        </w:rPr>
        <w:t>pogipogi</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nai</w:t>
      </w:r>
      <w:proofErr w:type="spellEnd"/>
      <w:r w:rsidRPr="00B845AF">
        <w:rPr>
          <w:rFonts w:asciiTheme="minorHAnsi" w:hAnsiTheme="minorHAnsi" w:cstheme="minorHAnsi"/>
          <w:szCs w:val="22"/>
        </w:rPr>
        <w:t xml:space="preserve">.  Tau </w:t>
      </w:r>
      <w:proofErr w:type="spellStart"/>
      <w:r w:rsidRPr="00B845AF">
        <w:rPr>
          <w:rFonts w:asciiTheme="minorHAnsi" w:hAnsiTheme="minorHAnsi" w:cstheme="minorHAnsi"/>
          <w:szCs w:val="22"/>
        </w:rPr>
        <w:t>nava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mo</w:t>
      </w:r>
      <w:proofErr w:type="spellEnd"/>
      <w:r w:rsidRPr="00B845AF">
        <w:rPr>
          <w:rFonts w:asciiTheme="minorHAnsi" w:hAnsiTheme="minorHAnsi" w:cstheme="minorHAnsi"/>
          <w:szCs w:val="22"/>
        </w:rPr>
        <w:t xml:space="preserve"> e tau </w:t>
      </w:r>
      <w:proofErr w:type="spellStart"/>
      <w:r w:rsidRPr="00B845AF">
        <w:rPr>
          <w:rFonts w:asciiTheme="minorHAnsi" w:hAnsiTheme="minorHAnsi" w:cstheme="minorHAnsi"/>
          <w:szCs w:val="22"/>
        </w:rPr>
        <w:t>fakaheke</w:t>
      </w:r>
      <w:proofErr w:type="spellEnd"/>
      <w:r w:rsidRPr="00B845AF">
        <w:rPr>
          <w:rFonts w:asciiTheme="minorHAnsi" w:hAnsiTheme="minorHAnsi" w:cstheme="minorHAnsi"/>
          <w:szCs w:val="22"/>
        </w:rPr>
        <w:t xml:space="preserve"> ha </w:t>
      </w:r>
      <w:proofErr w:type="spellStart"/>
      <w:r w:rsidRPr="00B845AF">
        <w:rPr>
          <w:rFonts w:asciiTheme="minorHAnsi" w:hAnsiTheme="minorHAnsi" w:cstheme="minorHAnsi"/>
          <w:szCs w:val="22"/>
        </w:rPr>
        <w:t>kua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tumau</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haana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fakaalofa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haana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takitaki</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mafola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mo</w:t>
      </w:r>
      <w:proofErr w:type="spellEnd"/>
      <w:r w:rsidRPr="00B845AF">
        <w:rPr>
          <w:rFonts w:asciiTheme="minorHAnsi" w:hAnsiTheme="minorHAnsi" w:cstheme="minorHAnsi"/>
          <w:szCs w:val="22"/>
        </w:rPr>
        <w:t xml:space="preserve"> e tau </w:t>
      </w:r>
      <w:proofErr w:type="spellStart"/>
      <w:r w:rsidRPr="00B845AF">
        <w:rPr>
          <w:rFonts w:asciiTheme="minorHAnsi" w:hAnsiTheme="minorHAnsi" w:cstheme="minorHAnsi"/>
          <w:szCs w:val="22"/>
        </w:rPr>
        <w:t>fakamonuinaga</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ke</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lata</w:t>
      </w:r>
      <w:proofErr w:type="spellEnd"/>
      <w:r w:rsidRPr="00B845AF">
        <w:rPr>
          <w:rFonts w:asciiTheme="minorHAnsi" w:hAnsiTheme="minorHAnsi" w:cstheme="minorHAnsi"/>
          <w:szCs w:val="22"/>
        </w:rPr>
        <w:t xml:space="preserve"> ma </w:t>
      </w:r>
      <w:proofErr w:type="spellStart"/>
      <w:r w:rsidRPr="00B845AF">
        <w:rPr>
          <w:rFonts w:asciiTheme="minorHAnsi" w:hAnsiTheme="minorHAnsi" w:cstheme="minorHAnsi"/>
          <w:szCs w:val="22"/>
        </w:rPr>
        <w:t>tautolu</w:t>
      </w:r>
      <w:proofErr w:type="spellEnd"/>
      <w:r w:rsidRPr="00B845AF">
        <w:rPr>
          <w:rFonts w:asciiTheme="minorHAnsi" w:hAnsiTheme="minorHAnsi" w:cstheme="minorHAnsi"/>
          <w:szCs w:val="22"/>
        </w:rPr>
        <w:t xml:space="preserve"> he tau </w:t>
      </w:r>
      <w:proofErr w:type="spellStart"/>
      <w:r w:rsidRPr="00B845AF">
        <w:rPr>
          <w:rFonts w:asciiTheme="minorHAnsi" w:hAnsiTheme="minorHAnsi" w:cstheme="minorHAnsi"/>
          <w:szCs w:val="22"/>
        </w:rPr>
        <w:t>aho</w:t>
      </w:r>
      <w:proofErr w:type="spellEnd"/>
      <w:r w:rsidRPr="00B845AF">
        <w:rPr>
          <w:rFonts w:asciiTheme="minorHAnsi" w:hAnsiTheme="minorHAnsi" w:cstheme="minorHAnsi"/>
          <w:szCs w:val="22"/>
        </w:rPr>
        <w:t xml:space="preserve"> </w:t>
      </w:r>
      <w:proofErr w:type="spellStart"/>
      <w:r w:rsidRPr="00B845AF">
        <w:rPr>
          <w:rFonts w:asciiTheme="minorHAnsi" w:hAnsiTheme="minorHAnsi" w:cstheme="minorHAnsi"/>
          <w:szCs w:val="22"/>
        </w:rPr>
        <w:t>oti</w:t>
      </w:r>
      <w:proofErr w:type="spellEnd"/>
      <w:r w:rsidRPr="00B845AF">
        <w:rPr>
          <w:rFonts w:asciiTheme="minorHAnsi" w:hAnsiTheme="minorHAnsi" w:cstheme="minorHAnsi"/>
          <w:szCs w:val="22"/>
        </w:rPr>
        <w:t xml:space="preserve">.   </w:t>
      </w:r>
    </w:p>
    <w:p w14:paraId="0BC9FA11"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27DE4BD6"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A very warm Talofa lava to you all.  </w:t>
      </w:r>
    </w:p>
    <w:p w14:paraId="1A1F6F19"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161024AA"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Hon Prime Minister, I respectfully acknowledge your presence with us this morning.  Your presence is a clear indication of how important this meeting is for Samoa.  Samoa’s hospitality is well </w:t>
      </w:r>
      <w:proofErr w:type="gramStart"/>
      <w:r w:rsidRPr="00B845AF">
        <w:rPr>
          <w:rFonts w:asciiTheme="minorHAnsi" w:hAnsiTheme="minorHAnsi" w:cstheme="minorHAnsi"/>
          <w:szCs w:val="22"/>
        </w:rPr>
        <w:t>known</w:t>
      </w:r>
      <w:proofErr w:type="gramEnd"/>
      <w:r w:rsidRPr="00B845AF">
        <w:rPr>
          <w:rFonts w:asciiTheme="minorHAnsi" w:hAnsiTheme="minorHAnsi" w:cstheme="minorHAnsi"/>
          <w:szCs w:val="22"/>
        </w:rPr>
        <w:t xml:space="preserve"> and we are very </w:t>
      </w:r>
      <w:proofErr w:type="spellStart"/>
      <w:r w:rsidRPr="00B845AF">
        <w:rPr>
          <w:rFonts w:asciiTheme="minorHAnsi" w:hAnsiTheme="minorHAnsi" w:cstheme="minorHAnsi"/>
          <w:szCs w:val="22"/>
        </w:rPr>
        <w:t>honoured</w:t>
      </w:r>
      <w:proofErr w:type="spellEnd"/>
      <w:r w:rsidRPr="00B845AF">
        <w:rPr>
          <w:rFonts w:asciiTheme="minorHAnsi" w:hAnsiTheme="minorHAnsi" w:cstheme="minorHAnsi"/>
          <w:szCs w:val="22"/>
        </w:rPr>
        <w:t xml:space="preserve"> to be here in your country for the next 10 days.  </w:t>
      </w:r>
      <w:proofErr w:type="spellStart"/>
      <w:r w:rsidRPr="00B845AF">
        <w:rPr>
          <w:rFonts w:asciiTheme="minorHAnsi" w:hAnsiTheme="minorHAnsi" w:cstheme="minorHAnsi"/>
          <w:szCs w:val="22"/>
        </w:rPr>
        <w:t>Fa’afetai</w:t>
      </w:r>
      <w:proofErr w:type="spellEnd"/>
      <w:r w:rsidRPr="00B845AF">
        <w:rPr>
          <w:rFonts w:asciiTheme="minorHAnsi" w:hAnsiTheme="minorHAnsi" w:cstheme="minorHAnsi"/>
          <w:szCs w:val="22"/>
        </w:rPr>
        <w:t xml:space="preserve"> lava for the warm welcome and hospitality accorded to me and the SC22 participants, since our arrival to your beautiful Samoa.   </w:t>
      </w:r>
    </w:p>
    <w:p w14:paraId="6C99EEBC"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1048E499" w14:textId="77777777" w:rsidR="003C374E"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I am pleased that I </w:t>
      </w:r>
      <w:proofErr w:type="gramStart"/>
      <w:r w:rsidRPr="00B845AF">
        <w:rPr>
          <w:rFonts w:asciiTheme="minorHAnsi" w:hAnsiTheme="minorHAnsi" w:cstheme="minorHAnsi"/>
          <w:szCs w:val="22"/>
        </w:rPr>
        <w:t>am able to</w:t>
      </w:r>
      <w:proofErr w:type="gramEnd"/>
      <w:r w:rsidRPr="00B845AF">
        <w:rPr>
          <w:rFonts w:asciiTheme="minorHAnsi" w:hAnsiTheme="minorHAnsi" w:cstheme="minorHAnsi"/>
          <w:szCs w:val="22"/>
        </w:rPr>
        <w:t xml:space="preserve"> be here this week for the 22</w:t>
      </w:r>
      <w:r w:rsidRPr="00B845AF">
        <w:rPr>
          <w:rFonts w:asciiTheme="minorHAnsi" w:hAnsiTheme="minorHAnsi" w:cstheme="minorHAnsi"/>
          <w:szCs w:val="22"/>
          <w:vertAlign w:val="superscript"/>
        </w:rPr>
        <w:t>nd</w:t>
      </w:r>
      <w:r w:rsidRPr="00B845AF">
        <w:rPr>
          <w:rFonts w:asciiTheme="minorHAnsi" w:hAnsiTheme="minorHAnsi" w:cstheme="minorHAnsi"/>
          <w:szCs w:val="22"/>
        </w:rPr>
        <w:t xml:space="preserve"> meeting of the Scientific Committee, especially as this is to be my last SC in my capacity as WCPFC Chair.  </w:t>
      </w:r>
    </w:p>
    <w:p w14:paraId="045B5205" w14:textId="68689C81" w:rsidR="00C875B4" w:rsidRPr="00B845AF" w:rsidRDefault="00C875B4" w:rsidP="00B845AF">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 </w:t>
      </w:r>
    </w:p>
    <w:p w14:paraId="3E664F80"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It </w:t>
      </w:r>
      <w:proofErr w:type="gramStart"/>
      <w:r w:rsidRPr="00B845AF">
        <w:rPr>
          <w:rFonts w:asciiTheme="minorHAnsi" w:hAnsiTheme="minorHAnsi" w:cstheme="minorHAnsi"/>
          <w:szCs w:val="22"/>
        </w:rPr>
        <w:t>has been</w:t>
      </w:r>
      <w:proofErr w:type="gramEnd"/>
      <w:r w:rsidRPr="00B845AF">
        <w:rPr>
          <w:rFonts w:asciiTheme="minorHAnsi" w:hAnsiTheme="minorHAnsi" w:cstheme="minorHAnsi"/>
          <w:szCs w:val="22"/>
        </w:rPr>
        <w:t xml:space="preserve"> an </w:t>
      </w:r>
      <w:proofErr w:type="spellStart"/>
      <w:r w:rsidRPr="00B845AF">
        <w:rPr>
          <w:rFonts w:asciiTheme="minorHAnsi" w:hAnsiTheme="minorHAnsi" w:cstheme="minorHAnsi"/>
          <w:szCs w:val="22"/>
        </w:rPr>
        <w:t>honour</w:t>
      </w:r>
      <w:proofErr w:type="spellEnd"/>
      <w:r w:rsidRPr="00B845AF">
        <w:rPr>
          <w:rFonts w:asciiTheme="minorHAnsi" w:hAnsiTheme="minorHAnsi" w:cstheme="minorHAnsi"/>
          <w:szCs w:val="22"/>
        </w:rPr>
        <w:t xml:space="preserve"> and a privilege </w:t>
      </w:r>
      <w:proofErr w:type="gramStart"/>
      <w:r w:rsidRPr="00B845AF">
        <w:rPr>
          <w:rFonts w:asciiTheme="minorHAnsi" w:hAnsiTheme="minorHAnsi" w:cstheme="minorHAnsi"/>
          <w:szCs w:val="22"/>
        </w:rPr>
        <w:t>serving</w:t>
      </w:r>
      <w:proofErr w:type="gramEnd"/>
      <w:r w:rsidRPr="00B845AF">
        <w:rPr>
          <w:rFonts w:asciiTheme="minorHAnsi" w:hAnsiTheme="minorHAnsi" w:cstheme="minorHAnsi"/>
          <w:szCs w:val="22"/>
        </w:rPr>
        <w:t xml:space="preserve"> as the WCPFC Chair.  I attended my first SC meeting four years ago in Palau – I was a bit lost at first because the structure and schedule are different from the usual. I am now more familiar and more appreciative of the work and the approach.  </w:t>
      </w:r>
    </w:p>
    <w:p w14:paraId="7519C1C4"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7604B87D"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The work of the Scientific Committee is important because the decisions taken by the Commission are based on science advice and recommendations.   </w:t>
      </w:r>
    </w:p>
    <w:p w14:paraId="373C545C"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2E268F31"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From data collection at the country level, to the analytical work by the Science service provider, and other fisheries and marine science and technical institutions, you have worked diligently to ensure the key tuna stocks under our mandate </w:t>
      </w:r>
      <w:proofErr w:type="gramStart"/>
      <w:r w:rsidRPr="00B845AF">
        <w:rPr>
          <w:rFonts w:asciiTheme="minorHAnsi" w:hAnsiTheme="minorHAnsi" w:cstheme="minorHAnsi"/>
          <w:szCs w:val="22"/>
        </w:rPr>
        <w:t>continues</w:t>
      </w:r>
      <w:proofErr w:type="gramEnd"/>
      <w:r w:rsidRPr="00B845AF">
        <w:rPr>
          <w:rFonts w:asciiTheme="minorHAnsi" w:hAnsiTheme="minorHAnsi" w:cstheme="minorHAnsi"/>
          <w:szCs w:val="22"/>
        </w:rPr>
        <w:t xml:space="preserve"> to be healthy and sustainable.   The WCPFC depends on your input, support and advice to guide its decisions, and I encourage you all to continue the excellent work.  Thank </w:t>
      </w:r>
      <w:r w:rsidRPr="00B845AF">
        <w:rPr>
          <w:rFonts w:asciiTheme="minorHAnsi" w:hAnsiTheme="minorHAnsi" w:cstheme="minorHAnsi"/>
          <w:szCs w:val="22"/>
        </w:rPr>
        <w:lastRenderedPageBreak/>
        <w:t xml:space="preserve">you for the dedication and efforts to support the work so that the advice of the Scientific Committee to the Commission continues to be of high standards.  </w:t>
      </w:r>
    </w:p>
    <w:p w14:paraId="7ADC9814"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18502757"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The WCPFC is well and truly into the Harvest Strategy work.   The Skipjack Management Procedure was adopted in December 2022 and last year in Manila, the WCPFC adopted the South Pacific Albacore Management procedure.  Further work is required on the implementation </w:t>
      </w:r>
      <w:proofErr w:type="gramStart"/>
      <w:r w:rsidRPr="00B845AF">
        <w:rPr>
          <w:rFonts w:asciiTheme="minorHAnsi" w:hAnsiTheme="minorHAnsi" w:cstheme="minorHAnsi"/>
          <w:szCs w:val="22"/>
        </w:rPr>
        <w:t>measure</w:t>
      </w:r>
      <w:proofErr w:type="gramEnd"/>
      <w:r w:rsidRPr="00B845AF">
        <w:rPr>
          <w:rFonts w:asciiTheme="minorHAnsi" w:hAnsiTheme="minorHAnsi" w:cstheme="minorHAnsi"/>
          <w:szCs w:val="22"/>
        </w:rPr>
        <w:t xml:space="preserve"> and my goal is to finalise the negotiations of the SPA implementing measure and have it adopted in December.  Therefore, I ask that SC22 progress as much as </w:t>
      </w:r>
      <w:proofErr w:type="gramStart"/>
      <w:r w:rsidRPr="00B845AF">
        <w:rPr>
          <w:rFonts w:asciiTheme="minorHAnsi" w:hAnsiTheme="minorHAnsi" w:cstheme="minorHAnsi"/>
          <w:szCs w:val="22"/>
        </w:rPr>
        <w:t>possible at</w:t>
      </w:r>
      <w:proofErr w:type="gramEnd"/>
      <w:r w:rsidRPr="00B845AF">
        <w:rPr>
          <w:rFonts w:asciiTheme="minorHAnsi" w:hAnsiTheme="minorHAnsi" w:cstheme="minorHAnsi"/>
          <w:szCs w:val="22"/>
        </w:rPr>
        <w:t xml:space="preserve"> this week, so we can achieve that goal.  </w:t>
      </w:r>
    </w:p>
    <w:p w14:paraId="0C2AFD39"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5601F498"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Bigeye Tuna management procedure is also expected to be adopted at the December meeting.  I know it is </w:t>
      </w:r>
      <w:proofErr w:type="gramStart"/>
      <w:r w:rsidRPr="00B845AF">
        <w:rPr>
          <w:rFonts w:asciiTheme="minorHAnsi" w:hAnsiTheme="minorHAnsi" w:cstheme="minorHAnsi"/>
          <w:szCs w:val="22"/>
        </w:rPr>
        <w:t>easy</w:t>
      </w:r>
      <w:proofErr w:type="gramEnd"/>
      <w:r w:rsidRPr="00B845AF">
        <w:rPr>
          <w:rFonts w:asciiTheme="minorHAnsi" w:hAnsiTheme="minorHAnsi" w:cstheme="minorHAnsi"/>
          <w:szCs w:val="22"/>
        </w:rPr>
        <w:t xml:space="preserve"> to say than done but I highly encourage SC22 to progress as much as possible.  Use the opportunity to discuss issues of concern and identify additional analysis that needs to be undertaken by SPC for further discussions in October and other works as we head towards December.    </w:t>
      </w:r>
    </w:p>
    <w:p w14:paraId="26274C25"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241149B5"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proofErr w:type="gramStart"/>
      <w:r w:rsidRPr="00B845AF">
        <w:rPr>
          <w:rFonts w:asciiTheme="minorHAnsi" w:hAnsiTheme="minorHAnsi" w:cstheme="minorHAnsi"/>
          <w:szCs w:val="22"/>
        </w:rPr>
        <w:t>The WCPFC23</w:t>
      </w:r>
      <w:proofErr w:type="gramEnd"/>
      <w:r w:rsidRPr="00B845AF">
        <w:rPr>
          <w:rFonts w:asciiTheme="minorHAnsi" w:hAnsiTheme="minorHAnsi" w:cstheme="minorHAnsi"/>
          <w:szCs w:val="22"/>
        </w:rPr>
        <w:t xml:space="preserve"> is also expected to adopt the Pacific Bluefin MP, including the adoption of the revised CMM for sea </w:t>
      </w:r>
      <w:proofErr w:type="gramStart"/>
      <w:r w:rsidRPr="00B845AF">
        <w:rPr>
          <w:rFonts w:asciiTheme="minorHAnsi" w:hAnsiTheme="minorHAnsi" w:cstheme="minorHAnsi"/>
          <w:szCs w:val="22"/>
        </w:rPr>
        <w:t>turtle</w:t>
      </w:r>
      <w:proofErr w:type="gramEnd"/>
      <w:r w:rsidRPr="00B845AF">
        <w:rPr>
          <w:rFonts w:asciiTheme="minorHAnsi" w:hAnsiTheme="minorHAnsi" w:cstheme="minorHAnsi"/>
          <w:szCs w:val="22"/>
        </w:rPr>
        <w:t xml:space="preserve"> and a strengthened measure to minimise marine </w:t>
      </w:r>
      <w:proofErr w:type="gramStart"/>
      <w:r w:rsidRPr="00B845AF">
        <w:rPr>
          <w:rFonts w:asciiTheme="minorHAnsi" w:hAnsiTheme="minorHAnsi" w:cstheme="minorHAnsi"/>
          <w:szCs w:val="22"/>
        </w:rPr>
        <w:t>pollutions</w:t>
      </w:r>
      <w:proofErr w:type="gramEnd"/>
      <w:r w:rsidRPr="00B845AF">
        <w:rPr>
          <w:rFonts w:asciiTheme="minorHAnsi" w:hAnsiTheme="minorHAnsi" w:cstheme="minorHAnsi"/>
          <w:szCs w:val="22"/>
        </w:rPr>
        <w:t xml:space="preserve"> from fishing activities.</w:t>
      </w:r>
    </w:p>
    <w:p w14:paraId="55AA10A0"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46455A1A"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The agenda and the schedule for SC22 </w:t>
      </w:r>
      <w:proofErr w:type="gramStart"/>
      <w:r w:rsidRPr="00B845AF">
        <w:rPr>
          <w:rFonts w:asciiTheme="minorHAnsi" w:hAnsiTheme="minorHAnsi" w:cstheme="minorHAnsi"/>
          <w:szCs w:val="22"/>
        </w:rPr>
        <w:t>is</w:t>
      </w:r>
      <w:proofErr w:type="gramEnd"/>
      <w:r w:rsidRPr="00B845AF">
        <w:rPr>
          <w:rFonts w:asciiTheme="minorHAnsi" w:hAnsiTheme="minorHAnsi" w:cstheme="minorHAnsi"/>
          <w:szCs w:val="22"/>
        </w:rPr>
        <w:t xml:space="preserve"> fully loaded.  A lot of work and </w:t>
      </w:r>
      <w:proofErr w:type="gramStart"/>
      <w:r w:rsidRPr="00B845AF">
        <w:rPr>
          <w:rFonts w:asciiTheme="minorHAnsi" w:hAnsiTheme="minorHAnsi" w:cstheme="minorHAnsi"/>
          <w:szCs w:val="22"/>
        </w:rPr>
        <w:t>efforts</w:t>
      </w:r>
      <w:proofErr w:type="gramEnd"/>
      <w:r w:rsidRPr="00B845AF">
        <w:rPr>
          <w:rFonts w:asciiTheme="minorHAnsi" w:hAnsiTheme="minorHAnsi" w:cstheme="minorHAnsi"/>
          <w:szCs w:val="22"/>
        </w:rPr>
        <w:t xml:space="preserve"> have gone into the preparations of the papers for the discussions this week.   On that note, I would like to recognise and thank our Science Service Provider – SPC, for their work and support.  I would also like to thank all the contributing authors of the working papers, the convenors, the WCPFC Science team – SK and Elaine, our SC Chair Emily and Vice Chair Rohan, the Executive Director and the Secretariat team for all the support and arrangements for this meeting. </w:t>
      </w:r>
    </w:p>
    <w:p w14:paraId="2DD0DCB3"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28CAEDE1" w14:textId="77777777" w:rsidR="003C374E"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Finally, I would like to thank you - </w:t>
      </w:r>
      <w:proofErr w:type="spellStart"/>
      <w:r w:rsidRPr="00B845AF">
        <w:rPr>
          <w:rFonts w:asciiTheme="minorHAnsi" w:hAnsiTheme="minorHAnsi" w:cstheme="minorHAnsi"/>
          <w:szCs w:val="22"/>
        </w:rPr>
        <w:t>Honourable</w:t>
      </w:r>
      <w:proofErr w:type="spellEnd"/>
      <w:r w:rsidRPr="00B845AF">
        <w:rPr>
          <w:rFonts w:asciiTheme="minorHAnsi" w:hAnsiTheme="minorHAnsi" w:cstheme="minorHAnsi"/>
          <w:szCs w:val="22"/>
        </w:rPr>
        <w:t xml:space="preserve"> Prime Minister - once again for your presence with us this morning.  I would also like to thank the Ministry of Agriculture – Hon Minister Asafo, CEO</w:t>
      </w:r>
    </w:p>
    <w:p w14:paraId="6D9E7DDF" w14:textId="40AF8696" w:rsidR="00C875B4" w:rsidRPr="00B845AF" w:rsidRDefault="00C875B4" w:rsidP="00B845AF">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 </w:t>
      </w:r>
    </w:p>
    <w:p w14:paraId="744FB976" w14:textId="77777777" w:rsidR="00C875B4"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and your team, for all the logistic arrangements and support for this meeting.  </w:t>
      </w:r>
    </w:p>
    <w:p w14:paraId="0B463677" w14:textId="77777777" w:rsidR="003C374E" w:rsidRPr="00B845AF" w:rsidRDefault="003C374E" w:rsidP="00B845AF">
      <w:pPr>
        <w:autoSpaceDE w:val="0"/>
        <w:autoSpaceDN w:val="0"/>
        <w:adjustRightInd w:val="0"/>
        <w:snapToGrid w:val="0"/>
        <w:jc w:val="both"/>
        <w:rPr>
          <w:rFonts w:asciiTheme="minorHAnsi" w:eastAsia="MS Mincho" w:hAnsiTheme="minorHAnsi" w:cstheme="minorHAnsi"/>
          <w:szCs w:val="22"/>
          <w:lang w:eastAsia="ja-JP"/>
        </w:rPr>
      </w:pPr>
    </w:p>
    <w:p w14:paraId="779BBD5A" w14:textId="77777777" w:rsidR="003C374E" w:rsidRPr="00B845AF" w:rsidRDefault="00C875B4" w:rsidP="00B845AF">
      <w:pPr>
        <w:autoSpaceDE w:val="0"/>
        <w:autoSpaceDN w:val="0"/>
        <w:adjustRightInd w:val="0"/>
        <w:snapToGrid w:val="0"/>
        <w:jc w:val="both"/>
        <w:rPr>
          <w:rFonts w:asciiTheme="minorHAnsi" w:eastAsia="MS Mincho" w:hAnsiTheme="minorHAnsi" w:cstheme="minorHAnsi"/>
          <w:szCs w:val="22"/>
          <w:lang w:eastAsia="ja-JP"/>
        </w:rPr>
      </w:pPr>
      <w:r w:rsidRPr="00B845AF">
        <w:rPr>
          <w:rFonts w:asciiTheme="minorHAnsi" w:hAnsiTheme="minorHAnsi" w:cstheme="minorHAnsi"/>
          <w:szCs w:val="22"/>
        </w:rPr>
        <w:t xml:space="preserve">Chair - all the very best for the meeting and deliberations.  </w:t>
      </w:r>
      <w:proofErr w:type="gramStart"/>
      <w:r w:rsidRPr="00B845AF">
        <w:rPr>
          <w:rFonts w:asciiTheme="minorHAnsi" w:hAnsiTheme="minorHAnsi" w:cstheme="minorHAnsi"/>
          <w:szCs w:val="22"/>
        </w:rPr>
        <w:t>As per</w:t>
      </w:r>
      <w:proofErr w:type="gramEnd"/>
      <w:r w:rsidRPr="00B845AF">
        <w:rPr>
          <w:rFonts w:asciiTheme="minorHAnsi" w:hAnsiTheme="minorHAnsi" w:cstheme="minorHAnsi"/>
          <w:szCs w:val="22"/>
        </w:rPr>
        <w:t xml:space="preserve"> usual, I look forward to receiving your recommendations and advice at the WCPFC23 meeting in December.  </w:t>
      </w:r>
    </w:p>
    <w:p w14:paraId="318AE1F9" w14:textId="1FA427E8" w:rsidR="00C875B4" w:rsidRPr="00B845AF" w:rsidRDefault="00C875B4" w:rsidP="00B845AF">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 </w:t>
      </w:r>
    </w:p>
    <w:p w14:paraId="380BDBE8" w14:textId="77777777" w:rsidR="00C875B4" w:rsidRPr="00B845AF" w:rsidRDefault="00C875B4" w:rsidP="00B845AF">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Kia </w:t>
      </w:r>
      <w:proofErr w:type="spellStart"/>
      <w:r w:rsidRPr="00B845AF">
        <w:rPr>
          <w:rFonts w:asciiTheme="minorHAnsi" w:hAnsiTheme="minorHAnsi" w:cstheme="minorHAnsi"/>
          <w:szCs w:val="22"/>
        </w:rPr>
        <w:t>fakamonuina</w:t>
      </w:r>
      <w:proofErr w:type="spellEnd"/>
      <w:r w:rsidRPr="00B845AF">
        <w:rPr>
          <w:rFonts w:asciiTheme="minorHAnsi" w:hAnsiTheme="minorHAnsi" w:cstheme="minorHAnsi"/>
          <w:szCs w:val="22"/>
        </w:rPr>
        <w:t xml:space="preserve"> mai he Atua.  Fakaaue lahi; </w:t>
      </w:r>
      <w:proofErr w:type="spellStart"/>
      <w:r w:rsidRPr="00B845AF">
        <w:rPr>
          <w:rFonts w:asciiTheme="minorHAnsi" w:hAnsiTheme="minorHAnsi" w:cstheme="minorHAnsi"/>
          <w:szCs w:val="22"/>
        </w:rPr>
        <w:t>Fa’afetai</w:t>
      </w:r>
      <w:proofErr w:type="spellEnd"/>
      <w:r w:rsidRPr="00B845AF">
        <w:rPr>
          <w:rFonts w:asciiTheme="minorHAnsi" w:hAnsiTheme="minorHAnsi" w:cstheme="minorHAnsi"/>
          <w:szCs w:val="22"/>
        </w:rPr>
        <w:t xml:space="preserve"> tele lava.  </w:t>
      </w:r>
    </w:p>
    <w:p w14:paraId="14A7FAE1" w14:textId="77777777" w:rsidR="009900F2" w:rsidRPr="00B845AF" w:rsidRDefault="009900F2" w:rsidP="00035C22">
      <w:pPr>
        <w:autoSpaceDE w:val="0"/>
        <w:autoSpaceDN w:val="0"/>
        <w:adjustRightInd w:val="0"/>
        <w:snapToGrid w:val="0"/>
        <w:spacing w:line="220" w:lineRule="exact"/>
        <w:jc w:val="both"/>
        <w:rPr>
          <w:rFonts w:asciiTheme="minorHAnsi" w:hAnsiTheme="minorHAnsi" w:cstheme="minorHAnsi"/>
          <w:szCs w:val="22"/>
        </w:rPr>
      </w:pPr>
    </w:p>
    <w:p w14:paraId="60F7FDBD" w14:textId="1A7208A8" w:rsidR="006D06E8" w:rsidRPr="00B845AF" w:rsidRDefault="006D06E8">
      <w:pPr>
        <w:rPr>
          <w:rFonts w:asciiTheme="minorHAnsi" w:hAnsiTheme="minorHAnsi" w:cstheme="minorHAnsi"/>
          <w:b/>
          <w:bCs/>
          <w:szCs w:val="22"/>
        </w:rPr>
      </w:pPr>
      <w:r w:rsidRPr="00B845AF">
        <w:rPr>
          <w:rFonts w:asciiTheme="minorHAnsi" w:hAnsiTheme="minorHAnsi" w:cstheme="minorHAnsi"/>
          <w:b/>
          <w:bCs/>
          <w:szCs w:val="22"/>
        </w:rPr>
        <w:br w:type="page"/>
      </w:r>
    </w:p>
    <w:p w14:paraId="6D01A62F" w14:textId="58337459" w:rsidR="006D06E8" w:rsidRPr="00B845AF" w:rsidRDefault="006D06E8" w:rsidP="006D06E8">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D</w:t>
      </w:r>
    </w:p>
    <w:p w14:paraId="73515334" w14:textId="77777777" w:rsidR="006D06E8" w:rsidRPr="00B845AF" w:rsidRDefault="006D06E8" w:rsidP="006D06E8">
      <w:pPr>
        <w:adjustRightInd w:val="0"/>
        <w:snapToGrid w:val="0"/>
        <w:jc w:val="center"/>
        <w:rPr>
          <w:rFonts w:asciiTheme="minorHAnsi" w:hAnsiTheme="minorHAnsi" w:cstheme="minorHAnsi"/>
          <w:b/>
          <w:bCs/>
          <w:szCs w:val="22"/>
          <w:lang w:eastAsia="en-NZ"/>
        </w:rPr>
      </w:pPr>
    </w:p>
    <w:p w14:paraId="78D561EA" w14:textId="77777777" w:rsidR="00D72AF8" w:rsidRPr="00B845AF" w:rsidRDefault="00D72AF8" w:rsidP="00D72AF8">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2D1A3DCD" w14:textId="77777777" w:rsidR="00D72AF8" w:rsidRPr="00B845AF" w:rsidRDefault="00D72AF8" w:rsidP="00D72AF8">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62C1BB9C" w14:textId="77777777" w:rsidR="00D72AF8" w:rsidRPr="00B845AF" w:rsidRDefault="00D72AF8" w:rsidP="00D72AF8">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3D473D38" w14:textId="77777777" w:rsidR="00D72AF8" w:rsidRPr="00B845AF" w:rsidRDefault="00D72AF8" w:rsidP="00D72AF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7104563F" w14:textId="77777777" w:rsidR="00D72AF8" w:rsidRPr="00B845AF" w:rsidRDefault="00D72AF8" w:rsidP="00D72AF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D72AF8" w:rsidRPr="00B845AF" w14:paraId="5F5EC87C" w14:textId="77777777" w:rsidTr="00835632">
        <w:tc>
          <w:tcPr>
            <w:tcW w:w="9576" w:type="dxa"/>
            <w:hideMark/>
          </w:tcPr>
          <w:p w14:paraId="7076F694" w14:textId="77777777" w:rsidR="005839DF" w:rsidRPr="00B845AF" w:rsidRDefault="00D504D4" w:rsidP="00835632">
            <w:pPr>
              <w:adjustRightInd w:val="0"/>
              <w:snapToGrid w:val="0"/>
              <w:jc w:val="center"/>
              <w:rPr>
                <w:rFonts w:asciiTheme="minorHAnsi" w:eastAsia="MS Mincho" w:hAnsiTheme="minorHAnsi" w:cstheme="minorHAnsi"/>
                <w:b/>
                <w:bCs/>
                <w:sz w:val="24"/>
                <w:lang w:eastAsia="ja-JP"/>
              </w:rPr>
            </w:pPr>
            <w:r w:rsidRPr="00B845AF">
              <w:rPr>
                <w:rFonts w:asciiTheme="minorHAnsi" w:eastAsia="MS Mincho" w:hAnsiTheme="minorHAnsi" w:cstheme="minorHAnsi"/>
                <w:b/>
                <w:bCs/>
                <w:sz w:val="24"/>
                <w:lang w:eastAsia="ja-JP"/>
              </w:rPr>
              <w:t xml:space="preserve">Opening Remarks </w:t>
            </w:r>
          </w:p>
          <w:p w14:paraId="4E6DA4F9" w14:textId="4C48D0CE" w:rsidR="00D72AF8" w:rsidRPr="00B845AF" w:rsidRDefault="00D504D4"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lang w:eastAsia="ja-JP"/>
              </w:rPr>
              <w:t>by the WCPFC Executive Director</w:t>
            </w:r>
            <w:r w:rsidR="00A267DB" w:rsidRPr="00B845AF">
              <w:rPr>
                <w:rFonts w:asciiTheme="minorHAnsi" w:eastAsia="MS Mincho" w:hAnsiTheme="minorHAnsi" w:cstheme="minorHAnsi"/>
                <w:b/>
                <w:bCs/>
                <w:sz w:val="24"/>
                <w:lang w:eastAsia="ja-JP"/>
              </w:rPr>
              <w:t xml:space="preserve"> Rhea Moss-Christian</w:t>
            </w:r>
            <w:r w:rsidR="00D72AF8" w:rsidRPr="00B845AF">
              <w:rPr>
                <w:rFonts w:asciiTheme="minorHAnsi" w:eastAsiaTheme="minorEastAsia" w:hAnsiTheme="minorHAnsi" w:cstheme="minorHAnsi"/>
                <w:b/>
                <w:bCs/>
                <w:sz w:val="28"/>
                <w:szCs w:val="28"/>
                <w:lang w:eastAsia="ko-KR"/>
              </w:rPr>
              <w:fldChar w:fldCharType="begin"/>
            </w:r>
            <w:r w:rsidR="00D72AF8" w:rsidRPr="00B845AF">
              <w:rPr>
                <w:rFonts w:asciiTheme="minorHAnsi" w:hAnsiTheme="minorHAnsi" w:cstheme="minorHAnsi"/>
                <w:sz w:val="28"/>
                <w:szCs w:val="28"/>
              </w:rPr>
              <w:instrText xml:space="preserve"> TC "</w:instrText>
            </w:r>
            <w:bookmarkStart w:id="90" w:name="_Toc239261440"/>
            <w:r w:rsidR="00D72AF8" w:rsidRPr="00B845AF">
              <w:rPr>
                <w:rFonts w:asciiTheme="minorHAnsi" w:eastAsiaTheme="minorEastAsia" w:hAnsiTheme="minorHAnsi" w:cstheme="minorHAnsi"/>
                <w:b/>
                <w:bCs/>
                <w:sz w:val="28"/>
                <w:szCs w:val="28"/>
                <w:lang w:eastAsia="ko-KR"/>
              </w:rPr>
              <w:instrText>SUMMARY REPORT</w:instrText>
            </w:r>
            <w:bookmarkEnd w:id="90"/>
            <w:r w:rsidR="00D72AF8" w:rsidRPr="00B845AF">
              <w:rPr>
                <w:rFonts w:asciiTheme="minorHAnsi" w:hAnsiTheme="minorHAnsi" w:cstheme="minorHAnsi"/>
                <w:sz w:val="28"/>
                <w:szCs w:val="28"/>
              </w:rPr>
              <w:instrText xml:space="preserve">" \f C \l "1" </w:instrText>
            </w:r>
            <w:r w:rsidR="00D72AF8" w:rsidRPr="00B845AF">
              <w:rPr>
                <w:rFonts w:asciiTheme="minorHAnsi" w:eastAsiaTheme="minorEastAsia" w:hAnsiTheme="minorHAnsi" w:cstheme="minorHAnsi"/>
                <w:b/>
                <w:bCs/>
                <w:sz w:val="28"/>
                <w:szCs w:val="28"/>
                <w:lang w:eastAsia="ko-KR"/>
              </w:rPr>
              <w:fldChar w:fldCharType="end"/>
            </w:r>
          </w:p>
        </w:tc>
      </w:tr>
    </w:tbl>
    <w:p w14:paraId="464C7283" w14:textId="77777777" w:rsidR="006D06E8" w:rsidRPr="00B845AF" w:rsidRDefault="006D06E8">
      <w:pPr>
        <w:rPr>
          <w:rFonts w:asciiTheme="minorHAnsi" w:hAnsiTheme="minorHAnsi" w:cstheme="minorHAnsi"/>
          <w:b/>
          <w:bCs/>
          <w:szCs w:val="22"/>
        </w:rPr>
      </w:pPr>
    </w:p>
    <w:p w14:paraId="7A5E077B" w14:textId="77777777" w:rsidR="006D06E8" w:rsidRPr="00B845AF" w:rsidRDefault="006D06E8">
      <w:pPr>
        <w:rPr>
          <w:rFonts w:asciiTheme="minorHAnsi" w:hAnsiTheme="minorHAnsi" w:cstheme="minorHAnsi"/>
          <w:b/>
          <w:bCs/>
          <w:szCs w:val="22"/>
        </w:rPr>
      </w:pPr>
    </w:p>
    <w:p w14:paraId="58B98B8A" w14:textId="2798DD0C" w:rsidR="00775411" w:rsidRPr="00B845AF" w:rsidRDefault="00775411" w:rsidP="00775411">
      <w:pPr>
        <w:rPr>
          <w:rFonts w:asciiTheme="minorHAnsi" w:eastAsia="MS Mincho" w:hAnsiTheme="minorHAnsi" w:cstheme="minorHAnsi"/>
          <w:szCs w:val="22"/>
          <w:lang w:eastAsia="ja-JP"/>
        </w:rPr>
      </w:pPr>
      <w:r w:rsidRPr="00B845AF">
        <w:rPr>
          <w:rFonts w:asciiTheme="minorHAnsi" w:hAnsiTheme="minorHAnsi" w:cstheme="minorHAnsi"/>
          <w:szCs w:val="22"/>
        </w:rPr>
        <w:t xml:space="preserve">Thank you, MC, and good morning and </w:t>
      </w:r>
      <w:proofErr w:type="spellStart"/>
      <w:r w:rsidRPr="00B845AF">
        <w:rPr>
          <w:rFonts w:asciiTheme="minorHAnsi" w:hAnsiTheme="minorHAnsi" w:cstheme="minorHAnsi"/>
          <w:szCs w:val="22"/>
        </w:rPr>
        <w:t>talofa</w:t>
      </w:r>
      <w:proofErr w:type="spellEnd"/>
      <w:r w:rsidRPr="00B845AF">
        <w:rPr>
          <w:rFonts w:asciiTheme="minorHAnsi" w:hAnsiTheme="minorHAnsi" w:cstheme="minorHAnsi"/>
          <w:szCs w:val="22"/>
        </w:rPr>
        <w:t xml:space="preserve"> lava to all. </w:t>
      </w:r>
    </w:p>
    <w:p w14:paraId="612B08EB" w14:textId="77777777" w:rsidR="00775411" w:rsidRPr="00B845AF" w:rsidRDefault="00775411" w:rsidP="00775411">
      <w:pPr>
        <w:jc w:val="both"/>
        <w:rPr>
          <w:rFonts w:asciiTheme="minorHAnsi" w:eastAsia="MS Mincho" w:hAnsiTheme="minorHAnsi" w:cstheme="minorHAnsi"/>
          <w:szCs w:val="22"/>
          <w:lang w:eastAsia="ja-JP"/>
        </w:rPr>
      </w:pPr>
      <w:r w:rsidRPr="00B845AF">
        <w:rPr>
          <w:rFonts w:asciiTheme="minorHAnsi" w:hAnsiTheme="minorHAnsi" w:cstheme="minorHAnsi"/>
          <w:szCs w:val="22"/>
        </w:rPr>
        <w:t>Hon. Prime Minister of Samoa and Members of your Cabinet,</w:t>
      </w:r>
    </w:p>
    <w:p w14:paraId="4B020CC4"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Honored Guests and Dignitaries from Samoa,</w:t>
      </w:r>
    </w:p>
    <w:p w14:paraId="28B09C89"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WCPFC Chair, Dr. Josie Tamate,</w:t>
      </w:r>
    </w:p>
    <w:p w14:paraId="1A720BBD"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SC Chair, Emily Crigler,</w:t>
      </w:r>
    </w:p>
    <w:p w14:paraId="24390E94"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 xml:space="preserve">Dr. Graham Pilling, head of SPC’s Oceanic Fisheries Program, </w:t>
      </w:r>
    </w:p>
    <w:p w14:paraId="3BF11118"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FFA Secretariat and PNA Office representatives,</w:t>
      </w:r>
    </w:p>
    <w:p w14:paraId="2A298A94" w14:textId="77777777" w:rsidR="00775411" w:rsidRPr="00B845AF" w:rsidRDefault="00775411" w:rsidP="00775411">
      <w:pPr>
        <w:jc w:val="both"/>
        <w:rPr>
          <w:rFonts w:asciiTheme="minorHAnsi" w:eastAsia="MS Mincho" w:hAnsiTheme="minorHAnsi" w:cstheme="minorHAnsi"/>
          <w:szCs w:val="22"/>
          <w:lang w:eastAsia="ja-JP"/>
        </w:rPr>
      </w:pPr>
      <w:r w:rsidRPr="00B845AF">
        <w:rPr>
          <w:rFonts w:asciiTheme="minorHAnsi" w:hAnsiTheme="minorHAnsi" w:cstheme="minorHAnsi"/>
          <w:szCs w:val="22"/>
        </w:rPr>
        <w:t>Distinguished delegates of CCMs and Observers, ladies, and gentlemen,</w:t>
      </w:r>
    </w:p>
    <w:p w14:paraId="63256717" w14:textId="77777777" w:rsidR="00981643" w:rsidRPr="00B845AF" w:rsidRDefault="00981643" w:rsidP="00775411">
      <w:pPr>
        <w:jc w:val="both"/>
        <w:rPr>
          <w:rFonts w:asciiTheme="minorHAnsi" w:eastAsia="MS Mincho" w:hAnsiTheme="minorHAnsi" w:cstheme="minorHAnsi"/>
          <w:szCs w:val="22"/>
          <w:lang w:eastAsia="ja-JP"/>
        </w:rPr>
      </w:pPr>
    </w:p>
    <w:p w14:paraId="16B626D6"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I want to begin by expressing, on behalf of the Secretariat, our sincere appreciation to our hosts, the people and government of Samoa, for the warm welcome to Apia. It’s wonderful to be welcomed by you, in particular Prime Minister, and members of your Cabinet. Your presence this morning motivates us to make the most of our short time here. </w:t>
      </w:r>
    </w:p>
    <w:p w14:paraId="64FC95C3" w14:textId="77777777" w:rsidR="00775411" w:rsidRPr="00B845AF" w:rsidRDefault="00775411" w:rsidP="00775411">
      <w:pPr>
        <w:jc w:val="both"/>
        <w:rPr>
          <w:rFonts w:asciiTheme="minorHAnsi" w:hAnsiTheme="minorHAnsi" w:cstheme="minorHAnsi"/>
          <w:szCs w:val="22"/>
        </w:rPr>
      </w:pPr>
    </w:p>
    <w:p w14:paraId="490A589E"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Whenever this Commission meets </w:t>
      </w:r>
      <w:proofErr w:type="gramStart"/>
      <w:r w:rsidRPr="00B845AF">
        <w:rPr>
          <w:rFonts w:asciiTheme="minorHAnsi" w:hAnsiTheme="minorHAnsi" w:cstheme="minorHAnsi"/>
          <w:szCs w:val="22"/>
        </w:rPr>
        <w:t>in</w:t>
      </w:r>
      <w:proofErr w:type="gramEnd"/>
      <w:r w:rsidRPr="00B845AF">
        <w:rPr>
          <w:rFonts w:asciiTheme="minorHAnsi" w:hAnsiTheme="minorHAnsi" w:cstheme="minorHAnsi"/>
          <w:szCs w:val="22"/>
        </w:rPr>
        <w:t xml:space="preserve"> one of its small </w:t>
      </w:r>
      <w:proofErr w:type="gramStart"/>
      <w:r w:rsidRPr="00B845AF">
        <w:rPr>
          <w:rFonts w:asciiTheme="minorHAnsi" w:hAnsiTheme="minorHAnsi" w:cstheme="minorHAnsi"/>
          <w:szCs w:val="22"/>
        </w:rPr>
        <w:t>island</w:t>
      </w:r>
      <w:proofErr w:type="gramEnd"/>
      <w:r w:rsidRPr="00B845AF">
        <w:rPr>
          <w:rFonts w:asciiTheme="minorHAnsi" w:hAnsiTheme="minorHAnsi" w:cstheme="minorHAnsi"/>
          <w:szCs w:val="22"/>
        </w:rPr>
        <w:t xml:space="preserve"> developing State members, we are reminded of why this organization’s work matters. Each day we are here, we </w:t>
      </w:r>
      <w:proofErr w:type="gramStart"/>
      <w:r w:rsidRPr="00B845AF">
        <w:rPr>
          <w:rFonts w:asciiTheme="minorHAnsi" w:hAnsiTheme="minorHAnsi" w:cstheme="minorHAnsi"/>
          <w:szCs w:val="22"/>
        </w:rPr>
        <w:t>have the ability to</w:t>
      </w:r>
      <w:proofErr w:type="gramEnd"/>
      <w:r w:rsidRPr="00B845AF">
        <w:rPr>
          <w:rFonts w:asciiTheme="minorHAnsi" w:hAnsiTheme="minorHAnsi" w:cstheme="minorHAnsi"/>
          <w:szCs w:val="22"/>
        </w:rPr>
        <w:t xml:space="preserve"> witness firsthand </w:t>
      </w:r>
      <w:proofErr w:type="gramStart"/>
      <w:r w:rsidRPr="00B845AF">
        <w:rPr>
          <w:rFonts w:asciiTheme="minorHAnsi" w:hAnsiTheme="minorHAnsi" w:cstheme="minorHAnsi"/>
          <w:szCs w:val="22"/>
        </w:rPr>
        <w:t>on a daily basis</w:t>
      </w:r>
      <w:proofErr w:type="gramEnd"/>
      <w:r w:rsidRPr="00B845AF">
        <w:rPr>
          <w:rFonts w:asciiTheme="minorHAnsi" w:hAnsiTheme="minorHAnsi" w:cstheme="minorHAnsi"/>
          <w:szCs w:val="22"/>
        </w:rPr>
        <w:t xml:space="preserve">, the connections between island communities and the ocean. May we embrace this opportunity and do our best to fulfil our obligations as a Scientific Committee.  </w:t>
      </w:r>
    </w:p>
    <w:p w14:paraId="2CF68C20" w14:textId="45F7AA92" w:rsidR="00775411" w:rsidRPr="00B845AF" w:rsidRDefault="00775411" w:rsidP="00775411">
      <w:pPr>
        <w:jc w:val="both"/>
        <w:rPr>
          <w:rFonts w:asciiTheme="minorHAnsi" w:eastAsia="MS Mincho" w:hAnsiTheme="minorHAnsi" w:cstheme="minorHAnsi"/>
          <w:szCs w:val="22"/>
          <w:lang w:eastAsia="ja-JP"/>
        </w:rPr>
      </w:pPr>
    </w:p>
    <w:p w14:paraId="096A8297"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I thought it would be useful to reflect briefly on the scientific work in this region’s tuna fishery. Reflection allows us to acknowledge how far we’ve come in the last two plus decades of SC, but more importantly, it provides us a benchmark for the work that still lies ahead. Of course, many in this room know that the Scientific Committee’s work began long before the establishment of WCPFC. The Standing Committee on Tuna and Billfish, or SCTB, held its first meeting in 1988 and in its 17 years of work that followed, well before this Committee held its first meeting in 2005, the SCTB put in place a robust scientific research and data collection framework for WCPO tuna stocks, that this Committee’s work continues to build on, today. </w:t>
      </w:r>
    </w:p>
    <w:p w14:paraId="6187B89B" w14:textId="77777777" w:rsidR="0008476E" w:rsidRPr="00B845AF" w:rsidRDefault="0008476E" w:rsidP="0008476E">
      <w:pPr>
        <w:jc w:val="both"/>
        <w:rPr>
          <w:rFonts w:asciiTheme="minorHAnsi" w:hAnsiTheme="minorHAnsi" w:cstheme="minorHAnsi"/>
          <w:szCs w:val="22"/>
        </w:rPr>
      </w:pPr>
    </w:p>
    <w:p w14:paraId="5620A1F6" w14:textId="77777777" w:rsidR="00775411" w:rsidRPr="00B845AF" w:rsidRDefault="00775411" w:rsidP="00D47778">
      <w:pPr>
        <w:numPr>
          <w:ilvl w:val="0"/>
          <w:numId w:val="37"/>
        </w:numPr>
        <w:jc w:val="both"/>
        <w:rPr>
          <w:rFonts w:asciiTheme="minorHAnsi" w:hAnsiTheme="minorHAnsi" w:cstheme="minorHAnsi"/>
          <w:szCs w:val="22"/>
        </w:rPr>
      </w:pPr>
      <w:proofErr w:type="gramStart"/>
      <w:r w:rsidRPr="00B845AF">
        <w:rPr>
          <w:rFonts w:asciiTheme="minorHAnsi" w:hAnsiTheme="minorHAnsi" w:cstheme="minorHAnsi"/>
          <w:szCs w:val="22"/>
        </w:rPr>
        <w:t>With thanks</w:t>
      </w:r>
      <w:proofErr w:type="gramEnd"/>
      <w:r w:rsidRPr="00B845AF">
        <w:rPr>
          <w:rFonts w:asciiTheme="minorHAnsi" w:hAnsiTheme="minorHAnsi" w:cstheme="minorHAnsi"/>
          <w:szCs w:val="22"/>
        </w:rPr>
        <w:t xml:space="preserve"> to SPC for its archive of early SCTB meetings, I had the chance to review some of the meeting records of those first years of the SCTB in the late 1980s and early 1990s. </w:t>
      </w:r>
    </w:p>
    <w:p w14:paraId="3CF242AB" w14:textId="77777777" w:rsidR="00775411" w:rsidRPr="00B845AF" w:rsidRDefault="00775411" w:rsidP="00775411">
      <w:pPr>
        <w:jc w:val="both"/>
        <w:rPr>
          <w:rFonts w:asciiTheme="minorHAnsi" w:hAnsiTheme="minorHAnsi" w:cstheme="minorHAnsi"/>
          <w:szCs w:val="22"/>
        </w:rPr>
      </w:pPr>
    </w:p>
    <w:p w14:paraId="34F46DF8" w14:textId="77777777" w:rsidR="00775411" w:rsidRPr="00B845AF" w:rsidRDefault="00775411" w:rsidP="00775411">
      <w:pPr>
        <w:jc w:val="both"/>
        <w:rPr>
          <w:rFonts w:asciiTheme="minorHAnsi" w:hAnsiTheme="minorHAnsi" w:cstheme="minorHAnsi"/>
          <w:szCs w:val="22"/>
        </w:rPr>
      </w:pPr>
      <w:r w:rsidRPr="00B845AF">
        <w:rPr>
          <w:rFonts w:asciiTheme="minorHAnsi" w:hAnsiTheme="minorHAnsi" w:cstheme="minorHAnsi"/>
          <w:szCs w:val="22"/>
        </w:rPr>
        <w:t>At that time:</w:t>
      </w:r>
    </w:p>
    <w:p w14:paraId="202B8063" w14:textId="77777777" w:rsidR="00775411" w:rsidRPr="00B845AF" w:rsidRDefault="00775411" w:rsidP="00D47778">
      <w:pPr>
        <w:numPr>
          <w:ilvl w:val="0"/>
          <w:numId w:val="36"/>
        </w:numPr>
        <w:jc w:val="both"/>
        <w:rPr>
          <w:rFonts w:asciiTheme="minorHAnsi" w:hAnsiTheme="minorHAnsi" w:cstheme="minorHAnsi"/>
          <w:szCs w:val="22"/>
        </w:rPr>
      </w:pPr>
      <w:proofErr w:type="gramStart"/>
      <w:r w:rsidRPr="00B845AF">
        <w:rPr>
          <w:rFonts w:asciiTheme="minorHAnsi" w:hAnsiTheme="minorHAnsi" w:cstheme="minorHAnsi"/>
          <w:szCs w:val="22"/>
        </w:rPr>
        <w:t>the</w:t>
      </w:r>
      <w:proofErr w:type="gramEnd"/>
      <w:r w:rsidRPr="00B845AF">
        <w:rPr>
          <w:rFonts w:asciiTheme="minorHAnsi" w:hAnsiTheme="minorHAnsi" w:cstheme="minorHAnsi"/>
          <w:szCs w:val="22"/>
        </w:rPr>
        <w:t xml:space="preserve"> regional tuna tagging program was just getting underway.</w:t>
      </w:r>
    </w:p>
    <w:p w14:paraId="3FE91FC5" w14:textId="77777777" w:rsidR="00775411" w:rsidRPr="00B845AF" w:rsidRDefault="00775411" w:rsidP="00D47778">
      <w:pPr>
        <w:numPr>
          <w:ilvl w:val="0"/>
          <w:numId w:val="36"/>
        </w:numPr>
        <w:jc w:val="both"/>
        <w:rPr>
          <w:rFonts w:asciiTheme="minorHAnsi" w:hAnsiTheme="minorHAnsi" w:cstheme="minorHAnsi"/>
          <w:szCs w:val="22"/>
        </w:rPr>
      </w:pPr>
      <w:r w:rsidRPr="00B845AF">
        <w:rPr>
          <w:rFonts w:asciiTheme="minorHAnsi" w:hAnsiTheme="minorHAnsi" w:cstheme="minorHAnsi"/>
          <w:szCs w:val="22"/>
        </w:rPr>
        <w:lastRenderedPageBreak/>
        <w:t>A common, regional tuna database was in early stages and data gaps were identified, along with efforts to close them.</w:t>
      </w:r>
    </w:p>
    <w:p w14:paraId="6D749F2E" w14:textId="77777777" w:rsidR="00775411" w:rsidRPr="00B845AF" w:rsidRDefault="00775411" w:rsidP="00D47778">
      <w:pPr>
        <w:numPr>
          <w:ilvl w:val="0"/>
          <w:numId w:val="36"/>
        </w:numPr>
        <w:jc w:val="both"/>
        <w:rPr>
          <w:rFonts w:asciiTheme="minorHAnsi" w:hAnsiTheme="minorHAnsi" w:cstheme="minorHAnsi"/>
          <w:szCs w:val="22"/>
        </w:rPr>
      </w:pPr>
      <w:r w:rsidRPr="00B845AF">
        <w:rPr>
          <w:rFonts w:asciiTheme="minorHAnsi" w:hAnsiTheme="minorHAnsi" w:cstheme="minorHAnsi"/>
          <w:szCs w:val="22"/>
        </w:rPr>
        <w:t>Research on tuna stocks was expanding, such as for South Pacific albacore and shortly after, for bigeye.</w:t>
      </w:r>
    </w:p>
    <w:p w14:paraId="2E0BA704" w14:textId="77777777" w:rsidR="00775411" w:rsidRPr="00B845AF" w:rsidRDefault="00775411" w:rsidP="00D47778">
      <w:pPr>
        <w:numPr>
          <w:ilvl w:val="0"/>
          <w:numId w:val="36"/>
        </w:numPr>
        <w:jc w:val="both"/>
        <w:rPr>
          <w:rFonts w:asciiTheme="minorHAnsi" w:hAnsiTheme="minorHAnsi" w:cstheme="minorHAnsi"/>
          <w:szCs w:val="22"/>
        </w:rPr>
      </w:pPr>
      <w:r w:rsidRPr="00B845AF">
        <w:rPr>
          <w:rFonts w:asciiTheme="minorHAnsi" w:hAnsiTheme="minorHAnsi" w:cstheme="minorHAnsi"/>
          <w:szCs w:val="22"/>
        </w:rPr>
        <w:t xml:space="preserve">And in 1990, there were 190 purse seine vessels fishing in the region, compared to 253 in 2025 </w:t>
      </w:r>
    </w:p>
    <w:p w14:paraId="48C50F0A" w14:textId="77777777" w:rsidR="0008476E" w:rsidRPr="00B845AF" w:rsidRDefault="0008476E" w:rsidP="0008476E">
      <w:pPr>
        <w:ind w:left="1080"/>
        <w:jc w:val="both"/>
        <w:rPr>
          <w:rFonts w:asciiTheme="minorHAnsi" w:hAnsiTheme="minorHAnsi" w:cstheme="minorHAnsi"/>
          <w:szCs w:val="22"/>
        </w:rPr>
      </w:pPr>
    </w:p>
    <w:p w14:paraId="10130F4F"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As we prepare for what lies ahead in this third decade of WCPFC’s work, there is value in remembering where we started and how fisheries science in the region has evolved. It hasn’t always been easy; there have been many challenges and triumphs along the way. This platform allows us the ability to cooperate, collaborate, and move forward together toward a common objective.</w:t>
      </w:r>
    </w:p>
    <w:p w14:paraId="463F0EC8" w14:textId="2C6F23F9" w:rsidR="00775411" w:rsidRPr="00B845AF" w:rsidRDefault="00775411" w:rsidP="00775411">
      <w:pPr>
        <w:jc w:val="both"/>
        <w:rPr>
          <w:rFonts w:asciiTheme="minorHAnsi" w:eastAsia="MS Mincho" w:hAnsiTheme="minorHAnsi" w:cstheme="minorHAnsi"/>
          <w:szCs w:val="22"/>
          <w:lang w:eastAsia="ja-JP"/>
        </w:rPr>
      </w:pPr>
    </w:p>
    <w:p w14:paraId="7C26FAA0"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At this meeting, you will review important updates to the yellowfin, bigeye, and North Pacific albacore stock assessments. You will also consider the </w:t>
      </w:r>
      <w:proofErr w:type="gramStart"/>
      <w:r w:rsidRPr="00B845AF">
        <w:rPr>
          <w:rFonts w:asciiTheme="minorHAnsi" w:hAnsiTheme="minorHAnsi" w:cstheme="minorHAnsi"/>
          <w:szCs w:val="22"/>
        </w:rPr>
        <w:t>recently</w:t>
      </w:r>
      <w:proofErr w:type="gramEnd"/>
      <w:r w:rsidRPr="00B845AF">
        <w:rPr>
          <w:rFonts w:asciiTheme="minorHAnsi" w:hAnsiTheme="minorHAnsi" w:cstheme="minorHAnsi"/>
          <w:szCs w:val="22"/>
        </w:rPr>
        <w:t xml:space="preserve"> peer reviewed Pacific Bluefin tuna stock assessment. Importantly, you will consider what advice to give to managers who are developing a management procedure for bigeye tuna this year. </w:t>
      </w:r>
    </w:p>
    <w:p w14:paraId="7B76147A" w14:textId="77777777" w:rsidR="0008476E" w:rsidRPr="00B845AF" w:rsidRDefault="0008476E" w:rsidP="0008476E">
      <w:pPr>
        <w:jc w:val="both"/>
        <w:rPr>
          <w:rFonts w:asciiTheme="minorHAnsi" w:hAnsiTheme="minorHAnsi" w:cstheme="minorHAnsi"/>
          <w:szCs w:val="22"/>
        </w:rPr>
      </w:pPr>
    </w:p>
    <w:p w14:paraId="7E69C282"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The workload continues to grow, as does the effort to streamline and become more efficient. One thing remains, though: strong science is </w:t>
      </w:r>
      <w:r w:rsidRPr="00B845AF">
        <w:rPr>
          <w:rFonts w:asciiTheme="minorHAnsi" w:hAnsiTheme="minorHAnsi" w:cstheme="minorHAnsi"/>
          <w:b/>
          <w:bCs/>
          <w:szCs w:val="22"/>
        </w:rPr>
        <w:t>the</w:t>
      </w:r>
      <w:r w:rsidRPr="00B845AF">
        <w:rPr>
          <w:rFonts w:asciiTheme="minorHAnsi" w:hAnsiTheme="minorHAnsi" w:cstheme="minorHAnsi"/>
          <w:szCs w:val="22"/>
        </w:rPr>
        <w:t xml:space="preserve"> foundation for good conservation and management, and no matter how challenging it is, </w:t>
      </w:r>
      <w:proofErr w:type="gramStart"/>
      <w:r w:rsidRPr="00B845AF">
        <w:rPr>
          <w:rFonts w:asciiTheme="minorHAnsi" w:hAnsiTheme="minorHAnsi" w:cstheme="minorHAnsi"/>
          <w:szCs w:val="22"/>
        </w:rPr>
        <w:t>staying</w:t>
      </w:r>
      <w:proofErr w:type="gramEnd"/>
      <w:r w:rsidRPr="00B845AF">
        <w:rPr>
          <w:rFonts w:asciiTheme="minorHAnsi" w:hAnsiTheme="minorHAnsi" w:cstheme="minorHAnsi"/>
          <w:szCs w:val="22"/>
        </w:rPr>
        <w:t xml:space="preserve"> the course is the only option. </w:t>
      </w:r>
    </w:p>
    <w:p w14:paraId="3A57F521" w14:textId="1D3809E6" w:rsidR="00775411" w:rsidRPr="00B845AF" w:rsidRDefault="00775411" w:rsidP="00775411">
      <w:pPr>
        <w:jc w:val="both"/>
        <w:rPr>
          <w:rFonts w:asciiTheme="minorHAnsi" w:eastAsia="MS Mincho" w:hAnsiTheme="minorHAnsi" w:cstheme="minorHAnsi"/>
          <w:szCs w:val="22"/>
          <w:lang w:eastAsia="ja-JP"/>
        </w:rPr>
      </w:pPr>
    </w:p>
    <w:p w14:paraId="5B63CF39"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The history of our work also matters as we move into a new era of cooperation in ocean governance. The arrival of the Agreement on Biodiversity Beyond National Jurisdiction – or BBNJ Agreement – shifts the global consciousness closer toward conservation, characterized in many circles as the absence of commercial fishing, in this case on the high seas. Although 80% of the tuna catch in this region is taken from the waters of coastal States, high seas governance will have an impact on the management of these migratory stocks. </w:t>
      </w:r>
    </w:p>
    <w:p w14:paraId="06EDFE44" w14:textId="77777777" w:rsidR="0008476E" w:rsidRPr="00B845AF" w:rsidRDefault="0008476E" w:rsidP="0008476E">
      <w:pPr>
        <w:jc w:val="both"/>
        <w:rPr>
          <w:rFonts w:asciiTheme="minorHAnsi" w:hAnsiTheme="minorHAnsi" w:cstheme="minorHAnsi"/>
          <w:szCs w:val="22"/>
        </w:rPr>
      </w:pPr>
    </w:p>
    <w:p w14:paraId="1F11AE8D"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Healthy fish stocks are but one component of a healthy ocean. In fact, healthy tuna needs a healthy ocean. This is where the era of international cooperation in oceans governance faces challenges. The growing global interest in deep sea mining, including in our Convention Area, will test the oceans governance framework and require WCPFC members to think carefully about the work it does on ecosystem-based management, on climate change integration, on equity and capacity-building for small island developing states under Article 30 of our Convention, and how these principles take us forward in the international ocean landscape. </w:t>
      </w:r>
    </w:p>
    <w:p w14:paraId="04621FD5" w14:textId="69354CD2" w:rsidR="00775411" w:rsidRPr="00B845AF" w:rsidRDefault="00775411" w:rsidP="00775411">
      <w:pPr>
        <w:jc w:val="both"/>
        <w:rPr>
          <w:rFonts w:asciiTheme="minorHAnsi" w:eastAsia="MS Mincho" w:hAnsiTheme="minorHAnsi" w:cstheme="minorHAnsi"/>
          <w:i/>
          <w:iCs/>
          <w:szCs w:val="22"/>
          <w:lang w:eastAsia="ja-JP"/>
        </w:rPr>
      </w:pPr>
    </w:p>
    <w:p w14:paraId="436BE23B"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In closing, I want to acknowledge the hard work of all delegates present here, today. The volume of information before this meeting is enormous, and you will spend the next 8 days working through it together, developing common understandings and identifying paths forward.</w:t>
      </w:r>
    </w:p>
    <w:p w14:paraId="37B3897F" w14:textId="77777777" w:rsidR="0008476E" w:rsidRPr="00B845AF" w:rsidRDefault="0008476E" w:rsidP="0008476E">
      <w:pPr>
        <w:jc w:val="both"/>
        <w:rPr>
          <w:rFonts w:asciiTheme="minorHAnsi" w:hAnsiTheme="minorHAnsi" w:cstheme="minorHAnsi"/>
          <w:szCs w:val="22"/>
        </w:rPr>
      </w:pPr>
    </w:p>
    <w:p w14:paraId="1CD2BF96"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To the science service provider, the team at SPC’s Oceanic Fisheries Program: thank you for your commitment and your dedication to delivering the science that we need, not just for this meeting, but for the last 30+ years. </w:t>
      </w:r>
    </w:p>
    <w:p w14:paraId="684256AA" w14:textId="77777777" w:rsidR="0008476E" w:rsidRPr="00B845AF" w:rsidRDefault="0008476E" w:rsidP="0008476E">
      <w:pPr>
        <w:jc w:val="both"/>
        <w:rPr>
          <w:rFonts w:asciiTheme="minorHAnsi" w:hAnsiTheme="minorHAnsi" w:cstheme="minorHAnsi"/>
          <w:szCs w:val="22"/>
        </w:rPr>
      </w:pPr>
    </w:p>
    <w:p w14:paraId="5C0CA246" w14:textId="77777777" w:rsidR="00775411"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I acknowledge you, Madam SC Chair, for continuing to guide this Committee’s work with your steady but gentle hand, through tears and laughter, and always with great competence and ability. </w:t>
      </w:r>
    </w:p>
    <w:p w14:paraId="18A942B4" w14:textId="77777777" w:rsidR="0008476E" w:rsidRPr="00B845AF" w:rsidRDefault="0008476E" w:rsidP="0008476E">
      <w:pPr>
        <w:jc w:val="both"/>
        <w:rPr>
          <w:rFonts w:asciiTheme="minorHAnsi" w:hAnsiTheme="minorHAnsi" w:cstheme="minorHAnsi"/>
          <w:szCs w:val="22"/>
        </w:rPr>
      </w:pPr>
    </w:p>
    <w:p w14:paraId="0E67D0CA" w14:textId="77777777" w:rsidR="007E1DED" w:rsidRPr="00B845AF" w:rsidRDefault="00775411" w:rsidP="00D47778">
      <w:pPr>
        <w:numPr>
          <w:ilvl w:val="0"/>
          <w:numId w:val="37"/>
        </w:numPr>
        <w:jc w:val="both"/>
        <w:rPr>
          <w:rFonts w:asciiTheme="minorHAnsi" w:hAnsiTheme="minorHAnsi" w:cstheme="minorHAnsi"/>
          <w:szCs w:val="22"/>
        </w:rPr>
      </w:pPr>
      <w:r w:rsidRPr="00B845AF">
        <w:rPr>
          <w:rFonts w:asciiTheme="minorHAnsi" w:hAnsiTheme="minorHAnsi" w:cstheme="minorHAnsi"/>
          <w:szCs w:val="22"/>
        </w:rPr>
        <w:t xml:space="preserve">Finally, Honorable Prime Minister and Cabinet Members, thank you, again, for your generous welcome and for accommodating our meeting with this facility and the helpful staff from the Ministry of Agriculture and Fisheries. The Secretariat looks forward to supporting members over the next eight days to </w:t>
      </w:r>
      <w:proofErr w:type="gramStart"/>
      <w:r w:rsidRPr="00B845AF">
        <w:rPr>
          <w:rFonts w:asciiTheme="minorHAnsi" w:hAnsiTheme="minorHAnsi" w:cstheme="minorHAnsi"/>
          <w:szCs w:val="22"/>
        </w:rPr>
        <w:t>a successful</w:t>
      </w:r>
      <w:proofErr w:type="gramEnd"/>
      <w:r w:rsidRPr="00B845AF">
        <w:rPr>
          <w:rFonts w:asciiTheme="minorHAnsi" w:hAnsiTheme="minorHAnsi" w:cstheme="minorHAnsi"/>
          <w:szCs w:val="22"/>
        </w:rPr>
        <w:t xml:space="preserve"> completion of SC22. </w:t>
      </w:r>
    </w:p>
    <w:p w14:paraId="6BBA4DE4" w14:textId="4952F402" w:rsidR="00775411" w:rsidRPr="00B845AF" w:rsidRDefault="00775411" w:rsidP="007E1DED">
      <w:pPr>
        <w:ind w:firstLine="720"/>
        <w:jc w:val="both"/>
        <w:rPr>
          <w:rFonts w:asciiTheme="minorHAnsi" w:hAnsiTheme="minorHAnsi" w:cstheme="minorHAnsi"/>
          <w:szCs w:val="22"/>
        </w:rPr>
      </w:pPr>
      <w:proofErr w:type="spellStart"/>
      <w:r w:rsidRPr="00B845AF">
        <w:rPr>
          <w:rFonts w:asciiTheme="minorHAnsi" w:hAnsiTheme="minorHAnsi" w:cstheme="minorHAnsi"/>
          <w:b/>
          <w:bCs/>
          <w:szCs w:val="22"/>
        </w:rPr>
        <w:t>Fa’afetai</w:t>
      </w:r>
      <w:proofErr w:type="spellEnd"/>
      <w:r w:rsidRPr="00B845AF">
        <w:rPr>
          <w:rFonts w:asciiTheme="minorHAnsi" w:hAnsiTheme="minorHAnsi" w:cstheme="minorHAnsi"/>
          <w:b/>
          <w:bCs/>
          <w:szCs w:val="22"/>
        </w:rPr>
        <w:t> lava</w:t>
      </w:r>
    </w:p>
    <w:p w14:paraId="30CBC329" w14:textId="5E1EA555" w:rsidR="009900F2" w:rsidRPr="00B845AF" w:rsidRDefault="00313106" w:rsidP="009900F2">
      <w:pPr>
        <w:jc w:val="both"/>
        <w:rPr>
          <w:rFonts w:asciiTheme="minorHAnsi" w:hAnsiTheme="minorHAnsi" w:cstheme="minorHAnsi"/>
          <w:szCs w:val="22"/>
        </w:rPr>
      </w:pPr>
      <w:r w:rsidRPr="00B845AF">
        <w:rPr>
          <w:rFonts w:asciiTheme="minorHAnsi" w:hAnsiTheme="minorHAnsi" w:cstheme="minorHAnsi"/>
          <w:szCs w:val="22"/>
        </w:rPr>
        <w:t xml:space="preserve"> </w:t>
      </w:r>
    </w:p>
    <w:p w14:paraId="568D9AFD" w14:textId="77777777" w:rsidR="006D06E8" w:rsidRPr="00B845AF" w:rsidRDefault="006D06E8">
      <w:pPr>
        <w:rPr>
          <w:rFonts w:asciiTheme="minorHAnsi" w:hAnsiTheme="minorHAnsi" w:cstheme="minorHAnsi"/>
          <w:b/>
          <w:bCs/>
          <w:szCs w:val="22"/>
        </w:rPr>
      </w:pPr>
    </w:p>
    <w:p w14:paraId="66334D53" w14:textId="77777777" w:rsidR="00035C22" w:rsidRPr="00B845AF" w:rsidRDefault="00035C22" w:rsidP="001A23E2">
      <w:pPr>
        <w:autoSpaceDE w:val="0"/>
        <w:autoSpaceDN w:val="0"/>
        <w:adjustRightInd w:val="0"/>
        <w:snapToGrid w:val="0"/>
        <w:jc w:val="both"/>
        <w:rPr>
          <w:rFonts w:asciiTheme="minorHAnsi" w:hAnsiTheme="minorHAnsi" w:cstheme="minorHAnsi"/>
          <w:b/>
          <w:bCs/>
          <w:szCs w:val="22"/>
        </w:rPr>
      </w:pPr>
    </w:p>
    <w:p w14:paraId="49FC0689" w14:textId="77777777" w:rsidR="006D06E8" w:rsidRPr="00B845AF" w:rsidRDefault="006D06E8" w:rsidP="001A23E2">
      <w:pPr>
        <w:autoSpaceDE w:val="0"/>
        <w:autoSpaceDN w:val="0"/>
        <w:adjustRightInd w:val="0"/>
        <w:snapToGrid w:val="0"/>
        <w:jc w:val="both"/>
        <w:rPr>
          <w:rFonts w:asciiTheme="minorHAnsi" w:hAnsiTheme="minorHAnsi" w:cstheme="minorHAnsi"/>
          <w:b/>
          <w:bCs/>
          <w:szCs w:val="22"/>
        </w:rPr>
      </w:pPr>
    </w:p>
    <w:p w14:paraId="09CE5E4F" w14:textId="77777777" w:rsidR="006D06E8" w:rsidRPr="00B845AF" w:rsidRDefault="006D06E8" w:rsidP="001A23E2">
      <w:pPr>
        <w:autoSpaceDE w:val="0"/>
        <w:autoSpaceDN w:val="0"/>
        <w:adjustRightInd w:val="0"/>
        <w:snapToGrid w:val="0"/>
        <w:jc w:val="both"/>
        <w:rPr>
          <w:rFonts w:asciiTheme="minorHAnsi" w:hAnsiTheme="minorHAnsi" w:cstheme="minorHAnsi"/>
          <w:b/>
          <w:bCs/>
          <w:szCs w:val="22"/>
        </w:rPr>
      </w:pPr>
    </w:p>
    <w:p w14:paraId="23C2D8B2" w14:textId="36E1220B" w:rsidR="002766DF" w:rsidRPr="00B845AF" w:rsidRDefault="002766DF">
      <w:pPr>
        <w:rPr>
          <w:rFonts w:asciiTheme="minorHAnsi" w:hAnsiTheme="minorHAnsi" w:cstheme="minorHAnsi"/>
          <w:b/>
          <w:bCs/>
          <w:szCs w:val="22"/>
        </w:rPr>
      </w:pPr>
      <w:r w:rsidRPr="00B845AF">
        <w:rPr>
          <w:rFonts w:asciiTheme="minorHAnsi" w:hAnsiTheme="minorHAnsi" w:cstheme="minorHAnsi"/>
          <w:b/>
          <w:bCs/>
          <w:szCs w:val="22"/>
        </w:rPr>
        <w:br w:type="page"/>
      </w:r>
    </w:p>
    <w:p w14:paraId="5C66C7BA" w14:textId="77777777" w:rsidR="002766DF" w:rsidRPr="00B845AF" w:rsidRDefault="002766DF" w:rsidP="002766DF">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E</w:t>
      </w:r>
    </w:p>
    <w:p w14:paraId="6E0916FD" w14:textId="77777777" w:rsidR="002766DF" w:rsidRPr="00B845AF" w:rsidRDefault="002766DF" w:rsidP="002766DF">
      <w:pPr>
        <w:adjustRightInd w:val="0"/>
        <w:snapToGrid w:val="0"/>
        <w:jc w:val="center"/>
        <w:rPr>
          <w:rFonts w:asciiTheme="minorHAnsi" w:hAnsiTheme="minorHAnsi" w:cstheme="minorHAnsi"/>
          <w:b/>
          <w:bCs/>
          <w:szCs w:val="22"/>
          <w:lang w:eastAsia="en-NZ"/>
        </w:rPr>
      </w:pPr>
    </w:p>
    <w:p w14:paraId="5B2C3FB1" w14:textId="77777777" w:rsidR="009414BA" w:rsidRPr="00B845AF" w:rsidRDefault="009414BA" w:rsidP="009414BA">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4B9442D7" w14:textId="77777777" w:rsidR="009414BA" w:rsidRPr="00B845AF" w:rsidRDefault="009414BA" w:rsidP="009414BA">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11D50E45" w14:textId="77777777" w:rsidR="009414BA" w:rsidRPr="00B845AF" w:rsidRDefault="009414BA" w:rsidP="009414BA">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35913094" w14:textId="77777777" w:rsidR="009414BA" w:rsidRPr="00B845AF" w:rsidRDefault="009414BA" w:rsidP="009414BA">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1E016A7F" w14:textId="77777777" w:rsidR="009414BA" w:rsidRPr="00B845AF" w:rsidRDefault="009414BA" w:rsidP="009414BA">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9414BA" w:rsidRPr="00B845AF" w14:paraId="5BCB81B5" w14:textId="77777777" w:rsidTr="00835632">
        <w:tc>
          <w:tcPr>
            <w:tcW w:w="9576" w:type="dxa"/>
            <w:hideMark/>
          </w:tcPr>
          <w:p w14:paraId="375F3D9D" w14:textId="4473D752" w:rsidR="009414BA" w:rsidRPr="00B845AF" w:rsidRDefault="009414BA"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szCs w:val="28"/>
                <w:lang w:eastAsia="ja-JP"/>
              </w:rPr>
              <w:t>Agenda</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91" w:name="_Toc239261441"/>
            <w:r w:rsidRPr="00B845AF">
              <w:rPr>
                <w:rFonts w:asciiTheme="minorHAnsi" w:eastAsiaTheme="minorEastAsia" w:hAnsiTheme="minorHAnsi" w:cstheme="minorHAnsi"/>
                <w:b/>
                <w:bCs/>
                <w:sz w:val="28"/>
                <w:szCs w:val="28"/>
                <w:lang w:eastAsia="ko-KR"/>
              </w:rPr>
              <w:instrText>SUMMARY REPORT</w:instrText>
            </w:r>
            <w:bookmarkEnd w:id="91"/>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2782EAD6" w14:textId="63518377" w:rsidR="00E2036B" w:rsidRPr="00B845AF" w:rsidRDefault="00E2036B" w:rsidP="00E2036B">
      <w:pPr>
        <w:tabs>
          <w:tab w:val="left" w:pos="2160"/>
        </w:tabs>
        <w:spacing w:before="240" w:after="60"/>
        <w:rPr>
          <w:rFonts w:asciiTheme="minorHAnsi" w:hAnsiTheme="minorHAnsi" w:cstheme="minorHAnsi"/>
        </w:rPr>
      </w:pPr>
      <w:r w:rsidRPr="00B845AF">
        <w:rPr>
          <w:rFonts w:asciiTheme="minorHAnsi" w:eastAsia="Calibri" w:hAnsiTheme="minorHAnsi" w:cstheme="minorHAnsi"/>
          <w:b/>
          <w:bCs/>
          <w:szCs w:val="22"/>
        </w:rPr>
        <w:t>AGENDA ITEM 1</w:t>
      </w:r>
      <w:r w:rsidRPr="00B845AF">
        <w:rPr>
          <w:rFonts w:asciiTheme="minorHAnsi" w:eastAsia="Calibri" w:hAnsiTheme="minorHAnsi" w:cstheme="minorHAnsi"/>
          <w:b/>
          <w:bCs/>
          <w:szCs w:val="22"/>
        </w:rPr>
        <w:tab/>
        <w:t>OPENING OF THE MEETING</w:t>
      </w:r>
    </w:p>
    <w:p w14:paraId="6477D82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1.1</w:t>
      </w:r>
      <w:r w:rsidRPr="00B845AF">
        <w:rPr>
          <w:rFonts w:asciiTheme="minorHAnsi" w:eastAsia="Calibri" w:hAnsiTheme="minorHAnsi" w:cstheme="minorHAnsi"/>
          <w:b/>
          <w:bCs/>
          <w:szCs w:val="22"/>
        </w:rPr>
        <w:tab/>
        <w:t>Welcome address</w:t>
      </w:r>
    </w:p>
    <w:p w14:paraId="64AC23C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1.2</w:t>
      </w:r>
      <w:r w:rsidRPr="00B845AF">
        <w:rPr>
          <w:rFonts w:asciiTheme="minorHAnsi" w:eastAsia="Calibri" w:hAnsiTheme="minorHAnsi" w:cstheme="minorHAnsi"/>
          <w:b/>
          <w:bCs/>
          <w:szCs w:val="22"/>
        </w:rPr>
        <w:tab/>
        <w:t>Meeting arrangements</w:t>
      </w:r>
    </w:p>
    <w:p w14:paraId="3AE5CB2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1.3</w:t>
      </w:r>
      <w:r w:rsidRPr="00B845AF">
        <w:rPr>
          <w:rFonts w:asciiTheme="minorHAnsi" w:eastAsia="Calibri" w:hAnsiTheme="minorHAnsi" w:cstheme="minorHAnsi"/>
          <w:b/>
          <w:bCs/>
          <w:szCs w:val="22"/>
        </w:rPr>
        <w:tab/>
        <w:t>Issues arising from the Commission</w:t>
      </w:r>
    </w:p>
    <w:p w14:paraId="1CAEAD8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1.4</w:t>
      </w:r>
      <w:r w:rsidRPr="00B845AF">
        <w:rPr>
          <w:rFonts w:asciiTheme="minorHAnsi" w:eastAsia="Calibri" w:hAnsiTheme="minorHAnsi" w:cstheme="minorHAnsi"/>
          <w:b/>
          <w:bCs/>
          <w:szCs w:val="22"/>
        </w:rPr>
        <w:tab/>
        <w:t>Adoption of the agenda</w:t>
      </w:r>
    </w:p>
    <w:p w14:paraId="74439CCF"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1.5</w:t>
      </w:r>
      <w:r w:rsidRPr="00B845AF">
        <w:rPr>
          <w:rFonts w:asciiTheme="minorHAnsi" w:eastAsia="Calibri" w:hAnsiTheme="minorHAnsi" w:cstheme="minorHAnsi"/>
          <w:b/>
          <w:bCs/>
          <w:szCs w:val="22"/>
        </w:rPr>
        <w:tab/>
        <w:t>Reporting arrangements</w:t>
      </w:r>
    </w:p>
    <w:p w14:paraId="60E394B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1.6</w:t>
      </w:r>
      <w:r w:rsidRPr="00B845AF">
        <w:rPr>
          <w:rFonts w:asciiTheme="minorHAnsi" w:eastAsia="Calibri" w:hAnsiTheme="minorHAnsi" w:cstheme="minorHAnsi"/>
          <w:b/>
          <w:bCs/>
          <w:szCs w:val="22"/>
        </w:rPr>
        <w:tab/>
        <w:t>Intersessional activities of the Scientific Committee</w:t>
      </w:r>
    </w:p>
    <w:p w14:paraId="15CC9FA0"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2</w:t>
      </w:r>
      <w:r w:rsidRPr="00B845AF">
        <w:rPr>
          <w:rFonts w:asciiTheme="minorHAnsi" w:eastAsia="Calibri" w:hAnsiTheme="minorHAnsi" w:cstheme="minorHAnsi"/>
          <w:b/>
          <w:bCs/>
          <w:szCs w:val="22"/>
        </w:rPr>
        <w:tab/>
        <w:t>REVIEW OF FISHERIES</w:t>
      </w:r>
    </w:p>
    <w:p w14:paraId="6614759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2.1</w:t>
      </w:r>
      <w:r w:rsidRPr="00B845AF">
        <w:rPr>
          <w:rFonts w:asciiTheme="minorHAnsi" w:eastAsia="Calibri" w:hAnsiTheme="minorHAnsi" w:cstheme="minorHAnsi"/>
          <w:b/>
          <w:bCs/>
          <w:szCs w:val="22"/>
        </w:rPr>
        <w:tab/>
        <w:t>Overview of Western and Central Pacific Ocean (WCPO) fisheries</w:t>
      </w:r>
    </w:p>
    <w:p w14:paraId="39F12CF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2.2</w:t>
      </w:r>
      <w:r w:rsidRPr="00B845AF">
        <w:rPr>
          <w:rFonts w:asciiTheme="minorHAnsi" w:eastAsia="Calibri" w:hAnsiTheme="minorHAnsi" w:cstheme="minorHAnsi"/>
          <w:b/>
          <w:bCs/>
          <w:szCs w:val="22"/>
        </w:rPr>
        <w:tab/>
        <w:t>Overview of Eastern Pacific Ocean (EPO) fisheries</w:t>
      </w:r>
    </w:p>
    <w:p w14:paraId="74565E7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2.3</w:t>
      </w:r>
      <w:r w:rsidRPr="00B845AF">
        <w:rPr>
          <w:rFonts w:asciiTheme="minorHAnsi" w:eastAsia="Calibri" w:hAnsiTheme="minorHAnsi" w:cstheme="minorHAnsi"/>
          <w:b/>
          <w:bCs/>
          <w:szCs w:val="22"/>
        </w:rPr>
        <w:tab/>
        <w:t>Annual Report – Part 1 from Members, Cooperating Non-Members, and Participating Territories</w:t>
      </w:r>
    </w:p>
    <w:p w14:paraId="3072BC3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2.4</w:t>
      </w:r>
      <w:r w:rsidRPr="00B845AF">
        <w:rPr>
          <w:rFonts w:asciiTheme="minorHAnsi" w:eastAsia="Calibri" w:hAnsiTheme="minorHAnsi" w:cstheme="minorHAnsi"/>
          <w:b/>
          <w:bCs/>
          <w:szCs w:val="22"/>
        </w:rPr>
        <w:tab/>
        <w:t>Reports from regional fisheries bodies and other organisations</w:t>
      </w:r>
    </w:p>
    <w:p w14:paraId="3CAA9039"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3</w:t>
      </w:r>
      <w:r w:rsidRPr="00B845AF">
        <w:rPr>
          <w:rFonts w:asciiTheme="minorHAnsi" w:eastAsia="Calibri" w:hAnsiTheme="minorHAnsi" w:cstheme="minorHAnsi"/>
          <w:b/>
          <w:bCs/>
          <w:szCs w:val="22"/>
        </w:rPr>
        <w:tab/>
        <w:t>DATA AND STATISTICS THEME</w:t>
      </w:r>
    </w:p>
    <w:p w14:paraId="766BAE2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w:t>
      </w:r>
      <w:r w:rsidRPr="00B845AF">
        <w:rPr>
          <w:rFonts w:asciiTheme="minorHAnsi" w:eastAsia="Calibri" w:hAnsiTheme="minorHAnsi" w:cstheme="minorHAnsi"/>
          <w:b/>
          <w:bCs/>
          <w:szCs w:val="22"/>
        </w:rPr>
        <w:tab/>
        <w:t>Data gaps of the Commission</w:t>
      </w:r>
    </w:p>
    <w:p w14:paraId="1C05DB8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3.1.1</w:t>
      </w:r>
      <w:r w:rsidRPr="00B845AF">
        <w:rPr>
          <w:rFonts w:asciiTheme="minorHAnsi" w:eastAsia="Calibri" w:hAnsiTheme="minorHAnsi" w:cstheme="minorHAnsi"/>
          <w:b/>
          <w:bCs/>
          <w:szCs w:val="22"/>
        </w:rPr>
        <w:tab/>
        <w:t>Report on the WCPFC scientific data</w:t>
      </w:r>
    </w:p>
    <w:p w14:paraId="27C3822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3.1.2</w:t>
      </w:r>
      <w:r w:rsidRPr="00B845AF">
        <w:rPr>
          <w:rFonts w:asciiTheme="minorHAnsi" w:eastAsia="Calibri" w:hAnsiTheme="minorHAnsi" w:cstheme="minorHAnsi"/>
          <w:b/>
          <w:bCs/>
          <w:szCs w:val="22"/>
        </w:rPr>
        <w:tab/>
        <w:t>Reconciliation of size composition data for stock assessments (Project 127 and 127a)</w:t>
      </w:r>
    </w:p>
    <w:p w14:paraId="126560F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3.1.3</w:t>
      </w:r>
      <w:r w:rsidRPr="00B845AF">
        <w:rPr>
          <w:rFonts w:asciiTheme="minorHAnsi" w:eastAsia="Calibri" w:hAnsiTheme="minorHAnsi" w:cstheme="minorHAnsi"/>
          <w:b/>
          <w:bCs/>
          <w:szCs w:val="22"/>
        </w:rPr>
        <w:tab/>
        <w:t>Improved coverage of cannery receipt data (Project 114)</w:t>
      </w:r>
    </w:p>
    <w:p w14:paraId="5645F08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3.1.4</w:t>
      </w:r>
      <w:r w:rsidRPr="00B845AF">
        <w:rPr>
          <w:rFonts w:asciiTheme="minorHAnsi" w:eastAsia="Calibri" w:hAnsiTheme="minorHAnsi" w:cstheme="minorHAnsi"/>
          <w:b/>
          <w:bCs/>
          <w:szCs w:val="22"/>
        </w:rPr>
        <w:tab/>
        <w:t>Scientific data (SciData) submission standardisation and data management improvements</w:t>
      </w:r>
    </w:p>
    <w:p w14:paraId="542903C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3.1.5</w:t>
      </w:r>
      <w:r w:rsidRPr="00B845AF">
        <w:rPr>
          <w:rFonts w:asciiTheme="minorHAnsi" w:eastAsia="Calibri" w:hAnsiTheme="minorHAnsi" w:cstheme="minorHAnsi"/>
          <w:b/>
          <w:bCs/>
          <w:szCs w:val="22"/>
        </w:rPr>
        <w:tab/>
        <w:t>Minimum data reporting requirements</w:t>
      </w:r>
    </w:p>
    <w:p w14:paraId="4482742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3.2</w:t>
      </w:r>
      <w:r w:rsidRPr="00B845AF">
        <w:rPr>
          <w:rFonts w:asciiTheme="minorHAnsi" w:eastAsia="Calibri" w:hAnsiTheme="minorHAnsi" w:cstheme="minorHAnsi"/>
          <w:b/>
          <w:bCs/>
          <w:szCs w:val="22"/>
        </w:rPr>
        <w:tab/>
        <w:t>Evaluation of purse seine fishing activities</w:t>
      </w:r>
    </w:p>
    <w:p w14:paraId="5BAF095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3.3</w:t>
      </w:r>
      <w:r w:rsidRPr="00B845AF">
        <w:rPr>
          <w:rFonts w:asciiTheme="minorHAnsi" w:eastAsia="Calibri" w:hAnsiTheme="minorHAnsi" w:cstheme="minorHAnsi"/>
          <w:b/>
          <w:bCs/>
          <w:szCs w:val="22"/>
        </w:rPr>
        <w:tab/>
        <w:t>Regional Observer Programme</w:t>
      </w:r>
    </w:p>
    <w:p w14:paraId="6505E3CF"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3.4</w:t>
      </w:r>
      <w:r w:rsidRPr="00B845AF">
        <w:rPr>
          <w:rFonts w:asciiTheme="minorHAnsi" w:eastAsia="Calibri" w:hAnsiTheme="minorHAnsi" w:cstheme="minorHAnsi"/>
          <w:b/>
          <w:bCs/>
          <w:szCs w:val="22"/>
        </w:rPr>
        <w:tab/>
        <w:t>Electronic Reporting and Electronic Monitoring</w:t>
      </w:r>
    </w:p>
    <w:p w14:paraId="2E01658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3.5</w:t>
      </w:r>
      <w:r w:rsidRPr="00B845AF">
        <w:rPr>
          <w:rFonts w:asciiTheme="minorHAnsi" w:eastAsia="Calibri" w:hAnsiTheme="minorHAnsi" w:cstheme="minorHAnsi"/>
          <w:b/>
          <w:bCs/>
          <w:szCs w:val="22"/>
        </w:rPr>
        <w:tab/>
        <w:t>Other ST Theme issues</w:t>
      </w:r>
    </w:p>
    <w:p w14:paraId="06A1948A"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4</w:t>
      </w:r>
      <w:r w:rsidRPr="00B845AF">
        <w:rPr>
          <w:rFonts w:asciiTheme="minorHAnsi" w:eastAsia="Calibri" w:hAnsiTheme="minorHAnsi" w:cstheme="minorHAnsi"/>
          <w:b/>
          <w:bCs/>
          <w:szCs w:val="22"/>
        </w:rPr>
        <w:tab/>
        <w:t>STOCK ASSESSMENT THEME</w:t>
      </w:r>
    </w:p>
    <w:p w14:paraId="7FCC1C1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4.1</w:t>
      </w:r>
      <w:r w:rsidRPr="00B845AF">
        <w:rPr>
          <w:rFonts w:asciiTheme="minorHAnsi" w:eastAsia="Calibri" w:hAnsiTheme="minorHAnsi" w:cstheme="minorHAnsi"/>
          <w:b/>
          <w:bCs/>
          <w:szCs w:val="22"/>
        </w:rPr>
        <w:tab/>
        <w:t>Improvement of stock assessment software</w:t>
      </w:r>
    </w:p>
    <w:p w14:paraId="545E93C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4.1.1</w:t>
      </w:r>
      <w:r w:rsidRPr="00B845AF">
        <w:rPr>
          <w:rFonts w:asciiTheme="minorHAnsi" w:eastAsia="Calibri" w:hAnsiTheme="minorHAnsi" w:cstheme="minorHAnsi"/>
          <w:b/>
          <w:bCs/>
          <w:szCs w:val="22"/>
        </w:rPr>
        <w:tab/>
        <w:t>Update of the MULTIFAN-CL software</w:t>
      </w:r>
    </w:p>
    <w:p w14:paraId="4B57B85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4.1.2</w:t>
      </w:r>
      <w:r w:rsidRPr="00B845AF">
        <w:rPr>
          <w:rFonts w:asciiTheme="minorHAnsi" w:eastAsia="Calibri" w:hAnsiTheme="minorHAnsi" w:cstheme="minorHAnsi"/>
          <w:b/>
          <w:bCs/>
          <w:szCs w:val="22"/>
        </w:rPr>
        <w:tab/>
        <w:t>Scoping the next generation of stock assessment software (Project 123)</w:t>
      </w:r>
    </w:p>
    <w:p w14:paraId="7F46EDC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4.2</w:t>
      </w:r>
      <w:r w:rsidRPr="00B845AF">
        <w:rPr>
          <w:rFonts w:asciiTheme="minorHAnsi" w:eastAsia="Calibri" w:hAnsiTheme="minorHAnsi" w:cstheme="minorHAnsi"/>
          <w:b/>
          <w:bCs/>
          <w:szCs w:val="22"/>
        </w:rPr>
        <w:tab/>
        <w:t>Tagging data and research for stock assessment</w:t>
      </w:r>
    </w:p>
    <w:p w14:paraId="5F1C591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4.3</w:t>
      </w:r>
      <w:r w:rsidRPr="00B845AF">
        <w:rPr>
          <w:rFonts w:asciiTheme="minorHAnsi" w:eastAsia="Calibri" w:hAnsiTheme="minorHAnsi" w:cstheme="minorHAnsi"/>
          <w:b/>
          <w:bCs/>
          <w:szCs w:val="22"/>
        </w:rPr>
        <w:tab/>
        <w:t>WCPO Tunas</w:t>
      </w:r>
    </w:p>
    <w:p w14:paraId="5D92759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4.3.1</w:t>
      </w:r>
      <w:r w:rsidRPr="00B845AF">
        <w:rPr>
          <w:rFonts w:asciiTheme="minorHAnsi" w:eastAsia="Calibri" w:hAnsiTheme="minorHAnsi" w:cstheme="minorHAnsi"/>
          <w:b/>
          <w:bCs/>
          <w:szCs w:val="22"/>
        </w:rPr>
        <w:tab/>
        <w:t>WCPO yellowfin tuna (</w:t>
      </w:r>
      <w:r w:rsidRPr="00B845AF">
        <w:rPr>
          <w:rFonts w:asciiTheme="minorHAnsi" w:eastAsia="Calibri" w:hAnsiTheme="minorHAnsi" w:cstheme="minorHAnsi"/>
          <w:b/>
          <w:bCs/>
          <w:i/>
          <w:iCs/>
          <w:szCs w:val="22"/>
        </w:rPr>
        <w:t>Thunnus albacares</w:t>
      </w:r>
      <w:r w:rsidRPr="00B845AF">
        <w:rPr>
          <w:rFonts w:asciiTheme="minorHAnsi" w:eastAsia="Calibri" w:hAnsiTheme="minorHAnsi" w:cstheme="minorHAnsi"/>
          <w:b/>
          <w:bCs/>
          <w:szCs w:val="22"/>
        </w:rPr>
        <w:t>)</w:t>
      </w:r>
    </w:p>
    <w:p w14:paraId="56B5D81A"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4.3.1.1</w:t>
      </w:r>
      <w:r w:rsidRPr="00B845AF">
        <w:rPr>
          <w:rFonts w:asciiTheme="minorHAnsi" w:eastAsia="Calibri" w:hAnsiTheme="minorHAnsi" w:cstheme="minorHAnsi"/>
          <w:szCs w:val="22"/>
        </w:rPr>
        <w:tab/>
        <w:t>Research and information</w:t>
      </w:r>
    </w:p>
    <w:p w14:paraId="19304AC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4.3.1.2</w:t>
      </w:r>
      <w:r w:rsidRPr="00B845AF">
        <w:rPr>
          <w:rFonts w:asciiTheme="minorHAnsi" w:eastAsia="Calibri" w:hAnsiTheme="minorHAnsi" w:cstheme="minorHAnsi"/>
          <w:szCs w:val="22"/>
        </w:rPr>
        <w:tab/>
        <w:t>Provision of scientific information to the Commission</w:t>
      </w:r>
    </w:p>
    <w:p w14:paraId="6CB11B90"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lastRenderedPageBreak/>
        <w:t>4.3.2</w:t>
      </w:r>
      <w:r w:rsidRPr="00B845AF">
        <w:rPr>
          <w:rFonts w:asciiTheme="minorHAnsi" w:eastAsia="Calibri" w:hAnsiTheme="minorHAnsi" w:cstheme="minorHAnsi"/>
          <w:b/>
          <w:bCs/>
          <w:szCs w:val="22"/>
        </w:rPr>
        <w:tab/>
        <w:t>WCPO bigeye tuna (</w:t>
      </w:r>
      <w:r w:rsidRPr="00B845AF">
        <w:rPr>
          <w:rFonts w:asciiTheme="minorHAnsi" w:eastAsia="Calibri" w:hAnsiTheme="minorHAnsi" w:cstheme="minorHAnsi"/>
          <w:b/>
          <w:bCs/>
          <w:i/>
          <w:iCs/>
          <w:szCs w:val="22"/>
        </w:rPr>
        <w:t>Thunnus obesus</w:t>
      </w:r>
      <w:r w:rsidRPr="00B845AF">
        <w:rPr>
          <w:rFonts w:asciiTheme="minorHAnsi" w:eastAsia="Calibri" w:hAnsiTheme="minorHAnsi" w:cstheme="minorHAnsi"/>
          <w:b/>
          <w:bCs/>
          <w:szCs w:val="22"/>
        </w:rPr>
        <w:t>)</w:t>
      </w:r>
    </w:p>
    <w:p w14:paraId="617B65C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4.3.2.1</w:t>
      </w:r>
      <w:r w:rsidRPr="00B845AF">
        <w:rPr>
          <w:rFonts w:asciiTheme="minorHAnsi" w:eastAsia="Calibri" w:hAnsiTheme="minorHAnsi" w:cstheme="minorHAnsi"/>
          <w:szCs w:val="22"/>
        </w:rPr>
        <w:tab/>
        <w:t>Research and information</w:t>
      </w:r>
    </w:p>
    <w:p w14:paraId="55FBCCD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4.3.2.2</w:t>
      </w:r>
      <w:r w:rsidRPr="00B845AF">
        <w:rPr>
          <w:rFonts w:asciiTheme="minorHAnsi" w:eastAsia="Calibri" w:hAnsiTheme="minorHAnsi" w:cstheme="minorHAnsi"/>
          <w:szCs w:val="22"/>
        </w:rPr>
        <w:tab/>
        <w:t>Provision of scientific information to the Commission</w:t>
      </w:r>
    </w:p>
    <w:p w14:paraId="37ED6C1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4.3.3</w:t>
      </w:r>
      <w:r w:rsidRPr="00B845AF">
        <w:rPr>
          <w:rFonts w:asciiTheme="minorHAnsi" w:eastAsia="Calibri" w:hAnsiTheme="minorHAnsi" w:cstheme="minorHAnsi"/>
          <w:b/>
          <w:bCs/>
          <w:szCs w:val="22"/>
        </w:rPr>
        <w:tab/>
        <w:t>Fisheries indicators for target tuna stocks</w:t>
      </w:r>
    </w:p>
    <w:p w14:paraId="2A591D2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4.4</w:t>
      </w:r>
      <w:r w:rsidRPr="00B845AF">
        <w:rPr>
          <w:rFonts w:asciiTheme="minorHAnsi" w:eastAsia="Calibri" w:hAnsiTheme="minorHAnsi" w:cstheme="minorHAnsi"/>
          <w:b/>
          <w:bCs/>
          <w:szCs w:val="22"/>
        </w:rPr>
        <w:tab/>
        <w:t>Northern stocks</w:t>
      </w:r>
    </w:p>
    <w:p w14:paraId="37C036B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4.4.1</w:t>
      </w:r>
      <w:r w:rsidRPr="00B845AF">
        <w:rPr>
          <w:rFonts w:asciiTheme="minorHAnsi" w:eastAsia="Calibri" w:hAnsiTheme="minorHAnsi" w:cstheme="minorHAnsi"/>
          <w:b/>
          <w:bCs/>
          <w:szCs w:val="22"/>
        </w:rPr>
        <w:tab/>
        <w:t>Provision of scientific information from the ISC</w:t>
      </w:r>
    </w:p>
    <w:p w14:paraId="6400B4C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4.4.2</w:t>
      </w:r>
      <w:r w:rsidRPr="00B845AF">
        <w:rPr>
          <w:rFonts w:asciiTheme="minorHAnsi" w:eastAsia="Calibri" w:hAnsiTheme="minorHAnsi" w:cstheme="minorHAnsi"/>
          <w:b/>
          <w:bCs/>
          <w:szCs w:val="22"/>
        </w:rPr>
        <w:tab/>
        <w:t>North Pacific albacore (</w:t>
      </w:r>
      <w:r w:rsidRPr="00B845AF">
        <w:rPr>
          <w:rFonts w:asciiTheme="minorHAnsi" w:eastAsia="Calibri" w:hAnsiTheme="minorHAnsi" w:cstheme="minorHAnsi"/>
          <w:b/>
          <w:bCs/>
          <w:i/>
          <w:iCs/>
          <w:szCs w:val="22"/>
        </w:rPr>
        <w:t>Thunnus alalunga</w:t>
      </w:r>
      <w:r w:rsidRPr="00B845AF">
        <w:rPr>
          <w:rFonts w:asciiTheme="minorHAnsi" w:eastAsia="Calibri" w:hAnsiTheme="minorHAnsi" w:cstheme="minorHAnsi"/>
          <w:b/>
          <w:bCs/>
          <w:szCs w:val="22"/>
        </w:rPr>
        <w:t>)</w:t>
      </w:r>
    </w:p>
    <w:p w14:paraId="0A23C7A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4.4.2.1</w:t>
      </w:r>
      <w:r w:rsidRPr="00B845AF">
        <w:rPr>
          <w:rFonts w:asciiTheme="minorHAnsi" w:eastAsia="Calibri" w:hAnsiTheme="minorHAnsi" w:cstheme="minorHAnsi"/>
          <w:szCs w:val="22"/>
        </w:rPr>
        <w:tab/>
        <w:t>Research and information</w:t>
      </w:r>
    </w:p>
    <w:p w14:paraId="19B0171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4.4.2.2</w:t>
      </w:r>
      <w:r w:rsidRPr="00B845AF">
        <w:rPr>
          <w:rFonts w:asciiTheme="minorHAnsi" w:eastAsia="Calibri" w:hAnsiTheme="minorHAnsi" w:cstheme="minorHAnsi"/>
          <w:szCs w:val="22"/>
        </w:rPr>
        <w:tab/>
        <w:t>Provision of scientific information to the Commission</w:t>
      </w:r>
    </w:p>
    <w:p w14:paraId="1372554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4.4.3</w:t>
      </w:r>
      <w:r w:rsidRPr="00B845AF">
        <w:rPr>
          <w:rFonts w:asciiTheme="minorHAnsi" w:eastAsia="Calibri" w:hAnsiTheme="minorHAnsi" w:cstheme="minorHAnsi"/>
          <w:b/>
          <w:bCs/>
          <w:szCs w:val="22"/>
        </w:rPr>
        <w:tab/>
        <w:t>Pacific bluefin tuna (</w:t>
      </w:r>
      <w:r w:rsidRPr="00B845AF">
        <w:rPr>
          <w:rFonts w:asciiTheme="minorHAnsi" w:eastAsia="Calibri" w:hAnsiTheme="minorHAnsi" w:cstheme="minorHAnsi"/>
          <w:b/>
          <w:bCs/>
          <w:i/>
          <w:iCs/>
          <w:szCs w:val="22"/>
        </w:rPr>
        <w:t>Thunnus orientalis</w:t>
      </w:r>
      <w:r w:rsidRPr="00B845AF">
        <w:rPr>
          <w:rFonts w:asciiTheme="minorHAnsi" w:eastAsia="Calibri" w:hAnsiTheme="minorHAnsi" w:cstheme="minorHAnsi"/>
          <w:b/>
          <w:bCs/>
          <w:szCs w:val="22"/>
        </w:rPr>
        <w:t>)</w:t>
      </w:r>
    </w:p>
    <w:p w14:paraId="243F2831"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4.4.3.1</w:t>
      </w:r>
      <w:r w:rsidRPr="00B845AF">
        <w:rPr>
          <w:rFonts w:asciiTheme="minorHAnsi" w:eastAsia="Calibri" w:hAnsiTheme="minorHAnsi" w:cstheme="minorHAnsi"/>
          <w:szCs w:val="22"/>
        </w:rPr>
        <w:tab/>
        <w:t>Research on migratory patterns</w:t>
      </w:r>
    </w:p>
    <w:p w14:paraId="25F5A2A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4.4.3.2</w:t>
      </w:r>
      <w:r w:rsidRPr="00B845AF">
        <w:rPr>
          <w:rFonts w:asciiTheme="minorHAnsi" w:eastAsia="Calibri" w:hAnsiTheme="minorHAnsi" w:cstheme="minorHAnsi"/>
          <w:szCs w:val="22"/>
        </w:rPr>
        <w:tab/>
        <w:t>Pacific bluefin tuna stock assessment peer review</w:t>
      </w:r>
    </w:p>
    <w:p w14:paraId="5B6D21F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4.5</w:t>
      </w:r>
      <w:r w:rsidRPr="00B845AF">
        <w:rPr>
          <w:rFonts w:asciiTheme="minorHAnsi" w:eastAsia="Calibri" w:hAnsiTheme="minorHAnsi" w:cstheme="minorHAnsi"/>
          <w:b/>
          <w:bCs/>
          <w:szCs w:val="22"/>
        </w:rPr>
        <w:tab/>
        <w:t>Billfish</w:t>
      </w:r>
    </w:p>
    <w:p w14:paraId="04BC663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4.5.1</w:t>
      </w:r>
      <w:r w:rsidRPr="00B845AF">
        <w:rPr>
          <w:rFonts w:asciiTheme="minorHAnsi" w:eastAsia="Calibri" w:hAnsiTheme="minorHAnsi" w:cstheme="minorHAnsi"/>
          <w:b/>
          <w:bCs/>
          <w:szCs w:val="22"/>
        </w:rPr>
        <w:tab/>
        <w:t>Pacific blue marlin (</w:t>
      </w:r>
      <w:r w:rsidRPr="00B845AF">
        <w:rPr>
          <w:rFonts w:asciiTheme="minorHAnsi" w:eastAsia="Calibri" w:hAnsiTheme="minorHAnsi" w:cstheme="minorHAnsi"/>
          <w:b/>
          <w:bCs/>
          <w:i/>
          <w:iCs/>
          <w:szCs w:val="22"/>
        </w:rPr>
        <w:t>Makaira nigricans</w:t>
      </w:r>
      <w:r w:rsidRPr="00B845AF">
        <w:rPr>
          <w:rFonts w:asciiTheme="minorHAnsi" w:eastAsia="Calibri" w:hAnsiTheme="minorHAnsi" w:cstheme="minorHAnsi"/>
          <w:b/>
          <w:bCs/>
          <w:szCs w:val="22"/>
        </w:rPr>
        <w:t>)</w:t>
      </w:r>
    </w:p>
    <w:p w14:paraId="4AA9CD8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4.5.1.1</w:t>
      </w:r>
      <w:r w:rsidRPr="00B845AF">
        <w:rPr>
          <w:rFonts w:asciiTheme="minorHAnsi" w:eastAsia="Calibri" w:hAnsiTheme="minorHAnsi" w:cstheme="minorHAnsi"/>
          <w:szCs w:val="22"/>
        </w:rPr>
        <w:tab/>
        <w:t>Pacific blue marlin stock assessment</w:t>
      </w:r>
    </w:p>
    <w:p w14:paraId="6F3F934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4.5.1.2</w:t>
      </w:r>
      <w:r w:rsidRPr="00B845AF">
        <w:rPr>
          <w:rFonts w:asciiTheme="minorHAnsi" w:eastAsia="Calibri" w:hAnsiTheme="minorHAnsi" w:cstheme="minorHAnsi"/>
          <w:szCs w:val="22"/>
        </w:rPr>
        <w:tab/>
        <w:t>Provision of scientific information to the Commission</w:t>
      </w:r>
    </w:p>
    <w:p w14:paraId="7503058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w:t>
      </w:r>
      <w:r w:rsidRPr="00B845AF">
        <w:rPr>
          <w:rFonts w:asciiTheme="minorHAnsi" w:eastAsia="Calibri" w:hAnsiTheme="minorHAnsi" w:cstheme="minorHAnsi"/>
          <w:b/>
          <w:bCs/>
          <w:szCs w:val="22"/>
        </w:rPr>
        <w:tab/>
        <w:t>Projects and Requests</w:t>
      </w:r>
    </w:p>
    <w:p w14:paraId="0FF8F9EC"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4.6.1</w:t>
      </w:r>
      <w:r w:rsidRPr="00B845AF">
        <w:rPr>
          <w:rFonts w:asciiTheme="minorHAnsi" w:eastAsia="Calibri" w:hAnsiTheme="minorHAnsi" w:cstheme="minorHAnsi"/>
          <w:b/>
          <w:bCs/>
          <w:szCs w:val="22"/>
        </w:rPr>
        <w:tab/>
        <w:t>Application of Close-Kin-Mark-Recapture methods (Project 100d)</w:t>
      </w:r>
    </w:p>
    <w:p w14:paraId="5D98846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4.6.2</w:t>
      </w:r>
      <w:r w:rsidRPr="00B845AF">
        <w:rPr>
          <w:rFonts w:asciiTheme="minorHAnsi" w:eastAsia="Calibri" w:hAnsiTheme="minorHAnsi" w:cstheme="minorHAnsi"/>
          <w:b/>
          <w:bCs/>
          <w:szCs w:val="22"/>
        </w:rPr>
        <w:tab/>
        <w:t>Updated reproductive biology of tropical tunas (Project 120)</w:t>
      </w:r>
    </w:p>
    <w:p w14:paraId="3F1C9A6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4.6.3</w:t>
      </w:r>
      <w:r w:rsidRPr="00B845AF">
        <w:rPr>
          <w:rFonts w:asciiTheme="minorHAnsi" w:eastAsia="Calibri" w:hAnsiTheme="minorHAnsi" w:cstheme="minorHAnsi"/>
          <w:b/>
          <w:bCs/>
          <w:szCs w:val="22"/>
        </w:rPr>
        <w:tab/>
        <w:t>Global tuna RFMO technical workshop on longline CPUE analysis to support best available science (Project 122a)</w:t>
      </w:r>
    </w:p>
    <w:p w14:paraId="475BDDE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4.6.4</w:t>
      </w:r>
      <w:r w:rsidRPr="00B845AF">
        <w:rPr>
          <w:rFonts w:asciiTheme="minorHAnsi" w:eastAsia="Calibri" w:hAnsiTheme="minorHAnsi" w:cstheme="minorHAnsi"/>
          <w:b/>
          <w:bCs/>
          <w:szCs w:val="22"/>
        </w:rPr>
        <w:tab/>
        <w:t>Biology from billfish in longline fisheries (Project 125)</w:t>
      </w:r>
    </w:p>
    <w:p w14:paraId="2A5C85CA"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4.6.5</w:t>
      </w:r>
      <w:r w:rsidRPr="00B845AF">
        <w:rPr>
          <w:rFonts w:asciiTheme="minorHAnsi" w:eastAsia="Calibri" w:hAnsiTheme="minorHAnsi" w:cstheme="minorHAnsi"/>
          <w:b/>
          <w:bCs/>
          <w:szCs w:val="22"/>
        </w:rPr>
        <w:tab/>
        <w:t>Developing a sampling strategy for sharks (Project 117, 118 and 126)</w:t>
      </w:r>
    </w:p>
    <w:p w14:paraId="3A8569E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4.6.6</w:t>
      </w:r>
      <w:r w:rsidRPr="00B845AF">
        <w:rPr>
          <w:rFonts w:asciiTheme="minorHAnsi" w:eastAsia="Calibri" w:hAnsiTheme="minorHAnsi" w:cstheme="minorHAnsi"/>
          <w:b/>
          <w:bCs/>
          <w:szCs w:val="22"/>
        </w:rPr>
        <w:tab/>
        <w:t>Age-length data stream for tuna assessments (Project 129)</w:t>
      </w:r>
    </w:p>
    <w:p w14:paraId="2B3D973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4.6.7</w:t>
      </w:r>
      <w:r w:rsidRPr="00B845AF">
        <w:rPr>
          <w:rFonts w:asciiTheme="minorHAnsi" w:eastAsia="Calibri" w:hAnsiTheme="minorHAnsi" w:cstheme="minorHAnsi"/>
          <w:b/>
          <w:bCs/>
          <w:szCs w:val="22"/>
        </w:rPr>
        <w:tab/>
        <w:t>Joint bycatch assessment workshop for billfish and sharks (Project 130)</w:t>
      </w:r>
    </w:p>
    <w:p w14:paraId="74DFFFCF"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4.6.8</w:t>
      </w:r>
      <w:r w:rsidRPr="00B845AF">
        <w:rPr>
          <w:rFonts w:asciiTheme="minorHAnsi" w:eastAsia="Calibri" w:hAnsiTheme="minorHAnsi" w:cstheme="minorHAnsi"/>
          <w:b/>
          <w:bCs/>
          <w:szCs w:val="22"/>
        </w:rPr>
        <w:tab/>
        <w:t>Research Plan Update</w:t>
      </w:r>
    </w:p>
    <w:p w14:paraId="5065A3AE" w14:textId="58BA331C"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4.6.8.1</w:t>
      </w:r>
      <w:r w:rsidRPr="00B845AF">
        <w:rPr>
          <w:rFonts w:asciiTheme="minorHAnsi" w:eastAsia="Calibri" w:hAnsiTheme="minorHAnsi" w:cstheme="minorHAnsi"/>
          <w:szCs w:val="22"/>
        </w:rPr>
        <w:tab/>
        <w:t xml:space="preserve">Tuna Assessment Research Plan (TARP) for </w:t>
      </w:r>
      <w:r w:rsidR="002E4F0A" w:rsidRPr="00B845AF">
        <w:rPr>
          <w:rFonts w:asciiTheme="minorHAnsi" w:eastAsia="MS Mincho" w:hAnsiTheme="minorHAnsi" w:cstheme="minorHAnsi"/>
          <w:szCs w:val="22"/>
          <w:lang w:eastAsia="ja-JP"/>
        </w:rPr>
        <w:t>‘</w:t>
      </w:r>
      <w:r w:rsidRPr="00B845AF">
        <w:rPr>
          <w:rFonts w:asciiTheme="minorHAnsi" w:eastAsia="Calibri" w:hAnsiTheme="minorHAnsi" w:cstheme="minorHAnsi"/>
          <w:szCs w:val="22"/>
        </w:rPr>
        <w:t>Key</w:t>
      </w:r>
      <w:r w:rsidR="002E4F0A" w:rsidRPr="00B845AF">
        <w:rPr>
          <w:rFonts w:asciiTheme="minorHAnsi" w:eastAsia="MS Mincho" w:hAnsiTheme="minorHAnsi" w:cstheme="minorHAnsi"/>
          <w:szCs w:val="22"/>
          <w:lang w:eastAsia="ja-JP"/>
        </w:rPr>
        <w:t>’</w:t>
      </w:r>
      <w:r w:rsidRPr="00B845AF">
        <w:rPr>
          <w:rFonts w:asciiTheme="minorHAnsi" w:eastAsia="Calibri" w:hAnsiTheme="minorHAnsi" w:cstheme="minorHAnsi"/>
          <w:szCs w:val="22"/>
        </w:rPr>
        <w:t xml:space="preserve"> Tuna Species Assessments in the WCPO, 2026-2029</w:t>
      </w:r>
    </w:p>
    <w:p w14:paraId="6645313C"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4.6.8.2</w:t>
      </w:r>
      <w:r w:rsidRPr="00B845AF">
        <w:rPr>
          <w:rFonts w:asciiTheme="minorHAnsi" w:eastAsia="Calibri" w:hAnsiTheme="minorHAnsi" w:cstheme="minorHAnsi"/>
          <w:szCs w:val="22"/>
        </w:rPr>
        <w:tab/>
        <w:t>Billfish Research Plan (2023 – 2030) annual update</w:t>
      </w:r>
    </w:p>
    <w:p w14:paraId="077EC1A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4.6.8.3</w:t>
      </w:r>
      <w:r w:rsidRPr="00B845AF">
        <w:rPr>
          <w:rFonts w:asciiTheme="minorHAnsi" w:eastAsia="Calibri" w:hAnsiTheme="minorHAnsi" w:cstheme="minorHAnsi"/>
          <w:szCs w:val="22"/>
        </w:rPr>
        <w:tab/>
        <w:t>Shark Research Plan 2021-2030 annual updates</w:t>
      </w:r>
    </w:p>
    <w:p w14:paraId="24D740D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4.7</w:t>
      </w:r>
      <w:r w:rsidRPr="00B845AF">
        <w:rPr>
          <w:rFonts w:asciiTheme="minorHAnsi" w:eastAsia="Calibri" w:hAnsiTheme="minorHAnsi" w:cstheme="minorHAnsi"/>
          <w:b/>
          <w:bCs/>
          <w:szCs w:val="22"/>
        </w:rPr>
        <w:tab/>
        <w:t>Application of Convention language to stock assessment advice</w:t>
      </w:r>
    </w:p>
    <w:p w14:paraId="70DF3B8A"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4.8</w:t>
      </w:r>
      <w:r w:rsidRPr="00B845AF">
        <w:rPr>
          <w:rFonts w:asciiTheme="minorHAnsi" w:eastAsia="Calibri" w:hAnsiTheme="minorHAnsi" w:cstheme="minorHAnsi"/>
          <w:b/>
          <w:bCs/>
          <w:szCs w:val="22"/>
        </w:rPr>
        <w:tab/>
        <w:t>Other SA Theme issues</w:t>
      </w:r>
    </w:p>
    <w:p w14:paraId="3EFC0941"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5</w:t>
      </w:r>
      <w:r w:rsidRPr="00B845AF">
        <w:rPr>
          <w:rFonts w:asciiTheme="minorHAnsi" w:eastAsia="Calibri" w:hAnsiTheme="minorHAnsi" w:cstheme="minorHAnsi"/>
          <w:b/>
          <w:bCs/>
          <w:szCs w:val="22"/>
        </w:rPr>
        <w:tab/>
        <w:t>MANAGEMENT ISSUES THEME</w:t>
      </w:r>
    </w:p>
    <w:p w14:paraId="65FBE0A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w:t>
      </w:r>
      <w:r w:rsidRPr="00B845AF">
        <w:rPr>
          <w:rFonts w:asciiTheme="minorHAnsi" w:eastAsia="Calibri" w:hAnsiTheme="minorHAnsi" w:cstheme="minorHAnsi"/>
          <w:b/>
          <w:bCs/>
          <w:szCs w:val="22"/>
        </w:rPr>
        <w:tab/>
        <w:t>Development of the WCPFC harvest strategy framework</w:t>
      </w:r>
    </w:p>
    <w:p w14:paraId="0AE6189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5.1.1</w:t>
      </w:r>
      <w:r w:rsidRPr="00B845AF">
        <w:rPr>
          <w:rFonts w:asciiTheme="minorHAnsi" w:eastAsia="Calibri" w:hAnsiTheme="minorHAnsi" w:cstheme="minorHAnsi"/>
          <w:b/>
          <w:bCs/>
          <w:szCs w:val="22"/>
        </w:rPr>
        <w:tab/>
        <w:t>Bigeye tuna harvest strategy</w:t>
      </w:r>
    </w:p>
    <w:p w14:paraId="384971D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5.1.1.1</w:t>
      </w:r>
      <w:r w:rsidRPr="00B845AF">
        <w:rPr>
          <w:rFonts w:asciiTheme="minorHAnsi" w:eastAsia="Calibri" w:hAnsiTheme="minorHAnsi" w:cstheme="minorHAnsi"/>
          <w:szCs w:val="22"/>
        </w:rPr>
        <w:tab/>
        <w:t>Bigeye operating models</w:t>
      </w:r>
    </w:p>
    <w:p w14:paraId="74A0B53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5.1.1.2</w:t>
      </w:r>
      <w:r w:rsidRPr="00B845AF">
        <w:rPr>
          <w:rFonts w:asciiTheme="minorHAnsi" w:eastAsia="Calibri" w:hAnsiTheme="minorHAnsi" w:cstheme="minorHAnsi"/>
          <w:szCs w:val="22"/>
        </w:rPr>
        <w:tab/>
        <w:t>Bigeye estimation method</w:t>
      </w:r>
    </w:p>
    <w:p w14:paraId="54551210"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5.1.1.3</w:t>
      </w:r>
      <w:r w:rsidRPr="00B845AF">
        <w:rPr>
          <w:rFonts w:asciiTheme="minorHAnsi" w:eastAsia="Calibri" w:hAnsiTheme="minorHAnsi" w:cstheme="minorHAnsi"/>
          <w:szCs w:val="22"/>
        </w:rPr>
        <w:tab/>
        <w:t>Bigeye management procedure – design and implementation considerations</w:t>
      </w:r>
    </w:p>
    <w:p w14:paraId="5EA2DF3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5.1.1.4</w:t>
      </w:r>
      <w:r w:rsidRPr="00B845AF">
        <w:rPr>
          <w:rFonts w:asciiTheme="minorHAnsi" w:eastAsia="Calibri" w:hAnsiTheme="minorHAnsi" w:cstheme="minorHAnsi"/>
          <w:szCs w:val="22"/>
        </w:rPr>
        <w:tab/>
        <w:t>Bigeye management procedure – evaluations</w:t>
      </w:r>
    </w:p>
    <w:p w14:paraId="295AB81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5.1.1.5</w:t>
      </w:r>
      <w:r w:rsidRPr="00B845AF">
        <w:rPr>
          <w:rFonts w:asciiTheme="minorHAnsi" w:eastAsia="Calibri" w:hAnsiTheme="minorHAnsi" w:cstheme="minorHAnsi"/>
          <w:szCs w:val="22"/>
        </w:rPr>
        <w:tab/>
        <w:t>Bigeye tuna management workshop</w:t>
      </w:r>
    </w:p>
    <w:p w14:paraId="18554C8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5.1.2</w:t>
      </w:r>
      <w:r w:rsidRPr="00B845AF">
        <w:rPr>
          <w:rFonts w:asciiTheme="minorHAnsi" w:eastAsia="Calibri" w:hAnsiTheme="minorHAnsi" w:cstheme="minorHAnsi"/>
          <w:b/>
          <w:bCs/>
          <w:szCs w:val="22"/>
        </w:rPr>
        <w:tab/>
        <w:t>Yellowfin tuna harvest strategy</w:t>
      </w:r>
    </w:p>
    <w:p w14:paraId="1B64DE4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5.1.2.1</w:t>
      </w:r>
      <w:r w:rsidRPr="00B845AF">
        <w:rPr>
          <w:rFonts w:asciiTheme="minorHAnsi" w:eastAsia="Calibri" w:hAnsiTheme="minorHAnsi" w:cstheme="minorHAnsi"/>
          <w:szCs w:val="22"/>
        </w:rPr>
        <w:tab/>
        <w:t>Yellowfin operating models</w:t>
      </w:r>
    </w:p>
    <w:p w14:paraId="07AF6B50"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5.1.2.2</w:t>
      </w:r>
      <w:r w:rsidRPr="00B845AF">
        <w:rPr>
          <w:rFonts w:asciiTheme="minorHAnsi" w:eastAsia="Calibri" w:hAnsiTheme="minorHAnsi" w:cstheme="minorHAnsi"/>
          <w:szCs w:val="22"/>
        </w:rPr>
        <w:tab/>
        <w:t>Yellowfin outcome evaluations</w:t>
      </w:r>
    </w:p>
    <w:p w14:paraId="6FB48DAA"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5.1.3</w:t>
      </w:r>
      <w:r w:rsidRPr="00B845AF">
        <w:rPr>
          <w:rFonts w:asciiTheme="minorHAnsi" w:eastAsia="Calibri" w:hAnsiTheme="minorHAnsi" w:cstheme="minorHAnsi"/>
          <w:b/>
          <w:bCs/>
          <w:szCs w:val="22"/>
        </w:rPr>
        <w:tab/>
        <w:t>South Pacific albacore harvest strategy</w:t>
      </w:r>
    </w:p>
    <w:p w14:paraId="7CAB960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5.1.3.1</w:t>
      </w:r>
      <w:r w:rsidRPr="00B845AF">
        <w:rPr>
          <w:rFonts w:asciiTheme="minorHAnsi" w:eastAsia="Calibri" w:hAnsiTheme="minorHAnsi" w:cstheme="minorHAnsi"/>
          <w:szCs w:val="22"/>
        </w:rPr>
        <w:tab/>
        <w:t>South Pacific albacore management procedure – run 3</w:t>
      </w:r>
    </w:p>
    <w:p w14:paraId="5DA7CB0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5.1.3.2</w:t>
      </w:r>
      <w:r w:rsidRPr="00B845AF">
        <w:rPr>
          <w:rFonts w:asciiTheme="minorHAnsi" w:eastAsia="Calibri" w:hAnsiTheme="minorHAnsi" w:cstheme="minorHAnsi"/>
          <w:szCs w:val="22"/>
        </w:rPr>
        <w:tab/>
        <w:t>South Pacific albacore monitoring strategy</w:t>
      </w:r>
    </w:p>
    <w:p w14:paraId="0924E42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5.1.3.3</w:t>
      </w:r>
      <w:r w:rsidRPr="00B845AF">
        <w:rPr>
          <w:rFonts w:asciiTheme="minorHAnsi" w:eastAsia="Calibri" w:hAnsiTheme="minorHAnsi" w:cstheme="minorHAnsi"/>
          <w:szCs w:val="22"/>
        </w:rPr>
        <w:tab/>
        <w:t>Joint WCPFC/IATTC Working Group for South Pacific Albacore</w:t>
      </w:r>
    </w:p>
    <w:p w14:paraId="675245E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lastRenderedPageBreak/>
        <w:t>5.1.3.4</w:t>
      </w:r>
      <w:r w:rsidRPr="00B845AF">
        <w:rPr>
          <w:rFonts w:asciiTheme="minorHAnsi" w:eastAsia="Calibri" w:hAnsiTheme="minorHAnsi" w:cstheme="minorHAnsi"/>
          <w:szCs w:val="22"/>
        </w:rPr>
        <w:tab/>
        <w:t>Updates on SP Albacore Roadmap IWG</w:t>
      </w:r>
    </w:p>
    <w:p w14:paraId="5A50613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5.1.4</w:t>
      </w:r>
      <w:r w:rsidRPr="00B845AF">
        <w:rPr>
          <w:rFonts w:asciiTheme="minorHAnsi" w:eastAsia="Calibri" w:hAnsiTheme="minorHAnsi" w:cstheme="minorHAnsi"/>
          <w:b/>
          <w:bCs/>
          <w:szCs w:val="22"/>
        </w:rPr>
        <w:tab/>
        <w:t>Skipjack tuna harvest strategy</w:t>
      </w:r>
    </w:p>
    <w:p w14:paraId="58AD906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szCs w:val="22"/>
        </w:rPr>
        <w:t>5.1.4.1</w:t>
      </w:r>
      <w:r w:rsidRPr="00B845AF">
        <w:rPr>
          <w:rFonts w:asciiTheme="minorHAnsi" w:eastAsia="Calibri" w:hAnsiTheme="minorHAnsi" w:cstheme="minorHAnsi"/>
          <w:szCs w:val="22"/>
        </w:rPr>
        <w:tab/>
        <w:t>Skipjack monitoring strategy</w:t>
      </w:r>
    </w:p>
    <w:p w14:paraId="158AC0ED"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5.1.5</w:t>
      </w:r>
      <w:r w:rsidRPr="00B845AF">
        <w:rPr>
          <w:rFonts w:asciiTheme="minorHAnsi" w:eastAsia="Calibri" w:hAnsiTheme="minorHAnsi" w:cstheme="minorHAnsi"/>
          <w:b/>
          <w:bCs/>
          <w:szCs w:val="22"/>
        </w:rPr>
        <w:tab/>
        <w:t>Mixed fishery monitoring strategy</w:t>
      </w:r>
    </w:p>
    <w:p w14:paraId="07180C5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5.1.6</w:t>
      </w:r>
      <w:r w:rsidRPr="00B845AF">
        <w:rPr>
          <w:rFonts w:asciiTheme="minorHAnsi" w:eastAsia="Calibri" w:hAnsiTheme="minorHAnsi" w:cstheme="minorHAnsi"/>
          <w:b/>
          <w:bCs/>
          <w:szCs w:val="22"/>
        </w:rPr>
        <w:tab/>
        <w:t>Progress of the WCPFC Harvest Strategy Work Plan</w:t>
      </w:r>
    </w:p>
    <w:p w14:paraId="409DD040"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5.1.7</w:t>
      </w:r>
      <w:r w:rsidRPr="00B845AF">
        <w:rPr>
          <w:rFonts w:asciiTheme="minorHAnsi" w:eastAsia="Calibri" w:hAnsiTheme="minorHAnsi" w:cstheme="minorHAnsi"/>
          <w:b/>
          <w:bCs/>
          <w:szCs w:val="22"/>
        </w:rPr>
        <w:tab/>
        <w:t>Pacific bluefin tuna – Long-term harvest strategy</w:t>
      </w:r>
    </w:p>
    <w:p w14:paraId="014B0A0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5.1.8</w:t>
      </w:r>
      <w:r w:rsidRPr="00B845AF">
        <w:rPr>
          <w:rFonts w:asciiTheme="minorHAnsi" w:eastAsia="Calibri" w:hAnsiTheme="minorHAnsi" w:cstheme="minorHAnsi"/>
          <w:b/>
          <w:bCs/>
          <w:szCs w:val="22"/>
        </w:rPr>
        <w:tab/>
        <w:t>Southwest Pacific swordfish management procedure (Project 131)</w:t>
      </w:r>
    </w:p>
    <w:p w14:paraId="36CBB1A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5.2</w:t>
      </w:r>
      <w:r w:rsidRPr="00B845AF">
        <w:rPr>
          <w:rFonts w:asciiTheme="minorHAnsi" w:eastAsia="Calibri" w:hAnsiTheme="minorHAnsi" w:cstheme="minorHAnsi"/>
          <w:b/>
          <w:bCs/>
          <w:szCs w:val="22"/>
        </w:rPr>
        <w:tab/>
        <w:t>Review of effectiveness of CMM 2025-02</w:t>
      </w:r>
    </w:p>
    <w:p w14:paraId="3F6A9BEC"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5.3</w:t>
      </w:r>
      <w:r w:rsidRPr="00B845AF">
        <w:rPr>
          <w:rFonts w:asciiTheme="minorHAnsi" w:eastAsia="Calibri" w:hAnsiTheme="minorHAnsi" w:cstheme="minorHAnsi"/>
          <w:b/>
          <w:bCs/>
          <w:szCs w:val="22"/>
        </w:rPr>
        <w:tab/>
        <w:t>Other MI Theme issues</w:t>
      </w:r>
    </w:p>
    <w:p w14:paraId="77EC8CA4"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6</w:t>
      </w:r>
      <w:r w:rsidRPr="00B845AF">
        <w:rPr>
          <w:rFonts w:asciiTheme="minorHAnsi" w:eastAsia="Calibri" w:hAnsiTheme="minorHAnsi" w:cstheme="minorHAnsi"/>
          <w:b/>
          <w:bCs/>
          <w:szCs w:val="22"/>
        </w:rPr>
        <w:tab/>
        <w:t>ECOSYSTEM AND BYCATCH MITIGATION THEME</w:t>
      </w:r>
    </w:p>
    <w:p w14:paraId="48DC5C9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6.1</w:t>
      </w:r>
      <w:r w:rsidRPr="00B845AF">
        <w:rPr>
          <w:rFonts w:asciiTheme="minorHAnsi" w:eastAsia="Calibri" w:hAnsiTheme="minorHAnsi" w:cstheme="minorHAnsi"/>
          <w:b/>
          <w:bCs/>
          <w:szCs w:val="22"/>
        </w:rPr>
        <w:tab/>
        <w:t>Ecosystem and Climate Indicators</w:t>
      </w:r>
    </w:p>
    <w:p w14:paraId="48D93E8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6.1.1</w:t>
      </w:r>
      <w:r w:rsidRPr="00B845AF">
        <w:rPr>
          <w:rFonts w:asciiTheme="minorHAnsi" w:eastAsia="Calibri" w:hAnsiTheme="minorHAnsi" w:cstheme="minorHAnsi"/>
          <w:b/>
          <w:bCs/>
          <w:szCs w:val="22"/>
        </w:rPr>
        <w:tab/>
        <w:t>Progress of Project 121 (Ecosystem and Climate Indicators)</w:t>
      </w:r>
    </w:p>
    <w:p w14:paraId="513FF4C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6.1.2</w:t>
      </w:r>
      <w:r w:rsidRPr="00B845AF">
        <w:rPr>
          <w:rFonts w:asciiTheme="minorHAnsi" w:eastAsia="Calibri" w:hAnsiTheme="minorHAnsi" w:cstheme="minorHAnsi"/>
          <w:b/>
          <w:bCs/>
          <w:szCs w:val="22"/>
        </w:rPr>
        <w:tab/>
        <w:t>Development of early warning tools and expanded climate impact assessments</w:t>
      </w:r>
    </w:p>
    <w:p w14:paraId="1D9DE07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6.1.3</w:t>
      </w:r>
      <w:r w:rsidRPr="00B845AF">
        <w:rPr>
          <w:rFonts w:asciiTheme="minorHAnsi" w:eastAsia="Calibri" w:hAnsiTheme="minorHAnsi" w:cstheme="minorHAnsi"/>
          <w:b/>
          <w:bCs/>
          <w:szCs w:val="22"/>
        </w:rPr>
        <w:tab/>
        <w:t>Climate Change Workplan</w:t>
      </w:r>
    </w:p>
    <w:p w14:paraId="4CB9FAB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6.2</w:t>
      </w:r>
      <w:r w:rsidRPr="00B845AF">
        <w:rPr>
          <w:rFonts w:asciiTheme="minorHAnsi" w:eastAsia="Calibri" w:hAnsiTheme="minorHAnsi" w:cstheme="minorHAnsi"/>
          <w:b/>
          <w:bCs/>
          <w:szCs w:val="22"/>
        </w:rPr>
        <w:tab/>
        <w:t>Updates on the 2019 SEAPODYM Review</w:t>
      </w:r>
    </w:p>
    <w:p w14:paraId="15D4407C"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6.3</w:t>
      </w:r>
      <w:r w:rsidRPr="00B845AF">
        <w:rPr>
          <w:rFonts w:asciiTheme="minorHAnsi" w:eastAsia="Calibri" w:hAnsiTheme="minorHAnsi" w:cstheme="minorHAnsi"/>
          <w:b/>
          <w:bCs/>
          <w:szCs w:val="22"/>
        </w:rPr>
        <w:tab/>
        <w:t>FAD impacts</w:t>
      </w:r>
    </w:p>
    <w:p w14:paraId="0ABA8E2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6.3.1</w:t>
      </w:r>
      <w:r w:rsidRPr="00B845AF">
        <w:rPr>
          <w:rFonts w:asciiTheme="minorHAnsi" w:eastAsia="Calibri" w:hAnsiTheme="minorHAnsi" w:cstheme="minorHAnsi"/>
          <w:b/>
          <w:bCs/>
          <w:szCs w:val="22"/>
        </w:rPr>
        <w:tab/>
        <w:t>Research on non-entangling and biodegradable FADs</w:t>
      </w:r>
    </w:p>
    <w:p w14:paraId="31EBE4A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6.3.2</w:t>
      </w:r>
      <w:r w:rsidRPr="00B845AF">
        <w:rPr>
          <w:rFonts w:asciiTheme="minorHAnsi" w:eastAsia="Calibri" w:hAnsiTheme="minorHAnsi" w:cstheme="minorHAnsi"/>
          <w:b/>
          <w:bCs/>
          <w:szCs w:val="22"/>
        </w:rPr>
        <w:tab/>
        <w:t>Research on dFAD loss and abandonment</w:t>
      </w:r>
    </w:p>
    <w:p w14:paraId="41AFB1E2"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6.3.3</w:t>
      </w:r>
      <w:r w:rsidRPr="00B845AF">
        <w:rPr>
          <w:rFonts w:asciiTheme="minorHAnsi" w:eastAsia="Calibri" w:hAnsiTheme="minorHAnsi" w:cstheme="minorHAnsi"/>
          <w:b/>
          <w:bCs/>
          <w:szCs w:val="22"/>
        </w:rPr>
        <w:tab/>
        <w:t>Updates on FAD Management Options IWG</w:t>
      </w:r>
    </w:p>
    <w:p w14:paraId="0C48156E"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6.4</w:t>
      </w:r>
      <w:r w:rsidRPr="00B845AF">
        <w:rPr>
          <w:rFonts w:asciiTheme="minorHAnsi" w:eastAsia="Calibri" w:hAnsiTheme="minorHAnsi" w:cstheme="minorHAnsi"/>
          <w:b/>
          <w:bCs/>
          <w:szCs w:val="22"/>
        </w:rPr>
        <w:tab/>
        <w:t>Bycatch management</w:t>
      </w:r>
    </w:p>
    <w:p w14:paraId="446AC6C5"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6.4.1</w:t>
      </w:r>
      <w:r w:rsidRPr="00B845AF">
        <w:rPr>
          <w:rFonts w:asciiTheme="minorHAnsi" w:eastAsia="Calibri" w:hAnsiTheme="minorHAnsi" w:cstheme="minorHAnsi"/>
          <w:b/>
          <w:bCs/>
          <w:szCs w:val="22"/>
        </w:rPr>
        <w:tab/>
        <w:t>Bycatch Management Information System</w:t>
      </w:r>
    </w:p>
    <w:p w14:paraId="4F585B0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6.4.2</w:t>
      </w:r>
      <w:r w:rsidRPr="00B845AF">
        <w:rPr>
          <w:rFonts w:asciiTheme="minorHAnsi" w:eastAsia="Calibri" w:hAnsiTheme="minorHAnsi" w:cstheme="minorHAnsi"/>
          <w:b/>
          <w:bCs/>
          <w:szCs w:val="22"/>
        </w:rPr>
        <w:tab/>
        <w:t>Review of CMM for seabirds (CMM 2025-05)</w:t>
      </w:r>
    </w:p>
    <w:p w14:paraId="0BA988E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6.4.3</w:t>
      </w:r>
      <w:r w:rsidRPr="00B845AF">
        <w:rPr>
          <w:rFonts w:asciiTheme="minorHAnsi" w:eastAsia="Calibri" w:hAnsiTheme="minorHAnsi" w:cstheme="minorHAnsi"/>
          <w:b/>
          <w:bCs/>
          <w:szCs w:val="22"/>
        </w:rPr>
        <w:tab/>
        <w:t>Review of CMM for Sea Turtles (CMM 2018-04)</w:t>
      </w:r>
    </w:p>
    <w:p w14:paraId="01F663A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6.5</w:t>
      </w:r>
      <w:r w:rsidRPr="00B845AF">
        <w:rPr>
          <w:rFonts w:asciiTheme="minorHAnsi" w:eastAsia="Calibri" w:hAnsiTheme="minorHAnsi" w:cstheme="minorHAnsi"/>
          <w:b/>
          <w:bCs/>
          <w:szCs w:val="22"/>
        </w:rPr>
        <w:tab/>
        <w:t>Marine pollution</w:t>
      </w:r>
    </w:p>
    <w:p w14:paraId="6459038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6.6</w:t>
      </w:r>
      <w:r w:rsidRPr="00B845AF">
        <w:rPr>
          <w:rFonts w:asciiTheme="minorHAnsi" w:eastAsia="Calibri" w:hAnsiTheme="minorHAnsi" w:cstheme="minorHAnsi"/>
          <w:b/>
          <w:bCs/>
          <w:szCs w:val="22"/>
        </w:rPr>
        <w:tab/>
        <w:t>Deep-sea mining</w:t>
      </w:r>
    </w:p>
    <w:p w14:paraId="45E975C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6.7</w:t>
      </w:r>
      <w:r w:rsidRPr="00B845AF">
        <w:rPr>
          <w:rFonts w:asciiTheme="minorHAnsi" w:eastAsia="Calibri" w:hAnsiTheme="minorHAnsi" w:cstheme="minorHAnsi"/>
          <w:b/>
          <w:bCs/>
          <w:szCs w:val="22"/>
        </w:rPr>
        <w:tab/>
        <w:t>Other EB Theme issues</w:t>
      </w:r>
    </w:p>
    <w:p w14:paraId="2857A643"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7</w:t>
      </w:r>
      <w:r w:rsidRPr="00B845AF">
        <w:rPr>
          <w:rFonts w:asciiTheme="minorHAnsi" w:eastAsia="Calibri" w:hAnsiTheme="minorHAnsi" w:cstheme="minorHAnsi"/>
          <w:b/>
          <w:bCs/>
          <w:szCs w:val="22"/>
        </w:rPr>
        <w:tab/>
        <w:t>OTHER RESEARCH PROJECTS</w:t>
      </w:r>
    </w:p>
    <w:p w14:paraId="45922BCF"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7.1</w:t>
      </w:r>
      <w:r w:rsidRPr="00B845AF">
        <w:rPr>
          <w:rFonts w:asciiTheme="minorHAnsi" w:eastAsia="Calibri" w:hAnsiTheme="minorHAnsi" w:cstheme="minorHAnsi"/>
          <w:b/>
          <w:bCs/>
          <w:szCs w:val="22"/>
        </w:rPr>
        <w:tab/>
        <w:t>Pacific Marine Specimen Bank (Project 35b)</w:t>
      </w:r>
    </w:p>
    <w:p w14:paraId="13A78B61"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7.1.1</w:t>
      </w:r>
      <w:r w:rsidRPr="00B845AF">
        <w:rPr>
          <w:rFonts w:asciiTheme="minorHAnsi" w:eastAsia="Calibri" w:hAnsiTheme="minorHAnsi" w:cstheme="minorHAnsi"/>
          <w:b/>
          <w:bCs/>
          <w:szCs w:val="22"/>
        </w:rPr>
        <w:tab/>
        <w:t>Updates on pollutant studies in WCPO tuna</w:t>
      </w:r>
    </w:p>
    <w:p w14:paraId="1D9AC049"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7.2</w:t>
      </w:r>
      <w:r w:rsidRPr="00B845AF">
        <w:rPr>
          <w:rFonts w:asciiTheme="minorHAnsi" w:eastAsia="Calibri" w:hAnsiTheme="minorHAnsi" w:cstheme="minorHAnsi"/>
          <w:b/>
          <w:bCs/>
          <w:szCs w:val="22"/>
        </w:rPr>
        <w:tab/>
        <w:t>Pacific Tuna Tagging Project (Project 42)</w:t>
      </w:r>
    </w:p>
    <w:p w14:paraId="54CF8543"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7.3</w:t>
      </w:r>
      <w:r w:rsidRPr="00B845AF">
        <w:rPr>
          <w:rFonts w:asciiTheme="minorHAnsi" w:eastAsia="Calibri" w:hAnsiTheme="minorHAnsi" w:cstheme="minorHAnsi"/>
          <w:b/>
          <w:bCs/>
          <w:szCs w:val="22"/>
        </w:rPr>
        <w:tab/>
        <w:t>West Pacific East Asia Project</w:t>
      </w:r>
    </w:p>
    <w:p w14:paraId="383845E4"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7.4</w:t>
      </w:r>
      <w:r w:rsidRPr="00B845AF">
        <w:rPr>
          <w:rFonts w:asciiTheme="minorHAnsi" w:eastAsia="Calibri" w:hAnsiTheme="minorHAnsi" w:cstheme="minorHAnsi"/>
          <w:b/>
          <w:bCs/>
          <w:szCs w:val="22"/>
        </w:rPr>
        <w:tab/>
        <w:t>Japan Trust Fund activities</w:t>
      </w:r>
    </w:p>
    <w:p w14:paraId="61DDFA8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7.5</w:t>
      </w:r>
      <w:r w:rsidRPr="00B845AF">
        <w:rPr>
          <w:rFonts w:asciiTheme="minorHAnsi" w:eastAsia="Calibri" w:hAnsiTheme="minorHAnsi" w:cstheme="minorHAnsi"/>
          <w:b/>
          <w:bCs/>
          <w:szCs w:val="22"/>
        </w:rPr>
        <w:tab/>
        <w:t>Other Projects</w:t>
      </w:r>
    </w:p>
    <w:p w14:paraId="1BE1819D"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8</w:t>
      </w:r>
      <w:r w:rsidRPr="00B845AF">
        <w:rPr>
          <w:rFonts w:asciiTheme="minorHAnsi" w:eastAsia="Calibri" w:hAnsiTheme="minorHAnsi" w:cstheme="minorHAnsi"/>
          <w:b/>
          <w:bCs/>
          <w:szCs w:val="22"/>
        </w:rPr>
        <w:tab/>
        <w:t>COOPERATION WITH OTHER ORGANISATIONS</w:t>
      </w:r>
    </w:p>
    <w:p w14:paraId="353612B7"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9</w:t>
      </w:r>
      <w:r w:rsidRPr="00B845AF">
        <w:rPr>
          <w:rFonts w:asciiTheme="minorHAnsi" w:eastAsia="Calibri" w:hAnsiTheme="minorHAnsi" w:cstheme="minorHAnsi"/>
          <w:b/>
          <w:bCs/>
          <w:szCs w:val="22"/>
        </w:rPr>
        <w:tab/>
        <w:t>SPECIAL REQUIREMENTS OF DEVELOPING STATES AND PARTICIPATING TERRITORIES</w:t>
      </w:r>
    </w:p>
    <w:p w14:paraId="7678D689"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10</w:t>
      </w:r>
      <w:r w:rsidRPr="00B845AF">
        <w:rPr>
          <w:rFonts w:asciiTheme="minorHAnsi" w:eastAsia="Calibri" w:hAnsiTheme="minorHAnsi" w:cstheme="minorHAnsi"/>
          <w:b/>
          <w:bCs/>
          <w:szCs w:val="22"/>
        </w:rPr>
        <w:tab/>
        <w:t>FUTURE WORK PROGRAM AND BUDGET</w:t>
      </w:r>
    </w:p>
    <w:p w14:paraId="14CB40BB"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10.1</w:t>
      </w:r>
      <w:r w:rsidRPr="00B845AF">
        <w:rPr>
          <w:rFonts w:asciiTheme="minorHAnsi" w:eastAsia="Calibri" w:hAnsiTheme="minorHAnsi" w:cstheme="minorHAnsi"/>
          <w:b/>
          <w:bCs/>
          <w:szCs w:val="22"/>
        </w:rPr>
        <w:tab/>
        <w:t>Development of the 2027 work program and budget, and projection of the 2028-2029 provisional work program and indicative budget</w:t>
      </w:r>
    </w:p>
    <w:p w14:paraId="547EFC41"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11</w:t>
      </w:r>
      <w:r w:rsidRPr="00B845AF">
        <w:rPr>
          <w:rFonts w:asciiTheme="minorHAnsi" w:eastAsia="Calibri" w:hAnsiTheme="minorHAnsi" w:cstheme="minorHAnsi"/>
          <w:b/>
          <w:bCs/>
          <w:szCs w:val="22"/>
        </w:rPr>
        <w:tab/>
        <w:t>ADMINISTRATIVE MATTERS</w:t>
      </w:r>
    </w:p>
    <w:p w14:paraId="26A03DE7"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11.1</w:t>
      </w:r>
      <w:r w:rsidRPr="00B845AF">
        <w:rPr>
          <w:rFonts w:asciiTheme="minorHAnsi" w:eastAsia="Calibri" w:hAnsiTheme="minorHAnsi" w:cstheme="minorHAnsi"/>
          <w:b/>
          <w:bCs/>
          <w:szCs w:val="22"/>
        </w:rPr>
        <w:tab/>
        <w:t>Future operation of the Scientific Committee</w:t>
      </w:r>
    </w:p>
    <w:p w14:paraId="6C739D28"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lastRenderedPageBreak/>
        <w:t>11.1.1</w:t>
      </w:r>
      <w:r w:rsidRPr="00B845AF">
        <w:rPr>
          <w:rFonts w:asciiTheme="minorHAnsi" w:eastAsia="Calibri" w:hAnsiTheme="minorHAnsi" w:cstheme="minorHAnsi"/>
          <w:b/>
          <w:bCs/>
          <w:szCs w:val="22"/>
        </w:rPr>
        <w:tab/>
        <w:t>Activities addressing challenges in the delivery of stock assessments in time for member's peer review</w:t>
      </w:r>
    </w:p>
    <w:p w14:paraId="2A610A5C"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11.1.2</w:t>
      </w:r>
      <w:r w:rsidRPr="00B845AF">
        <w:rPr>
          <w:rFonts w:asciiTheme="minorHAnsi" w:eastAsia="Calibri" w:hAnsiTheme="minorHAnsi" w:cstheme="minorHAnsi"/>
          <w:b/>
          <w:bCs/>
          <w:szCs w:val="22"/>
        </w:rPr>
        <w:tab/>
        <w:t>Prioritizing the work of the Scientific Committee</w:t>
      </w:r>
    </w:p>
    <w:p w14:paraId="67D72497" w14:textId="4171EF23"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11.1.3</w:t>
      </w:r>
      <w:r w:rsidRPr="00B845AF">
        <w:rPr>
          <w:rFonts w:asciiTheme="minorHAnsi" w:eastAsia="Calibri" w:hAnsiTheme="minorHAnsi" w:cstheme="minorHAnsi"/>
          <w:b/>
          <w:bCs/>
          <w:szCs w:val="22"/>
        </w:rPr>
        <w:tab/>
        <w:t>Framework for the independent review of WCPFC Stock Assessments (WCPFC-SC22-2026-GN</w:t>
      </w:r>
      <w:r w:rsidR="00F01A36" w:rsidRPr="00B845AF">
        <w:rPr>
          <w:rFonts w:asciiTheme="minorHAnsi" w:eastAsia="MS Mincho" w:hAnsiTheme="minorHAnsi" w:cstheme="minorHAnsi"/>
          <w:b/>
          <w:bCs/>
          <w:szCs w:val="22"/>
          <w:lang w:eastAsia="ja-JP"/>
        </w:rPr>
        <w:t>-</w:t>
      </w:r>
      <w:r w:rsidRPr="00B845AF">
        <w:rPr>
          <w:rFonts w:asciiTheme="minorHAnsi" w:eastAsia="Calibri" w:hAnsiTheme="minorHAnsi" w:cstheme="minorHAnsi"/>
          <w:b/>
          <w:bCs/>
          <w:szCs w:val="22"/>
        </w:rPr>
        <w:t>WP06)</w:t>
      </w:r>
    </w:p>
    <w:p w14:paraId="43A3A566" w14:textId="77777777" w:rsidR="00E2036B" w:rsidRPr="00B845AF" w:rsidRDefault="00E2036B" w:rsidP="00E2036B">
      <w:pPr>
        <w:tabs>
          <w:tab w:val="left" w:pos="720"/>
        </w:tabs>
        <w:ind w:left="720" w:hanging="720"/>
        <w:rPr>
          <w:rFonts w:asciiTheme="minorHAnsi" w:hAnsiTheme="minorHAnsi" w:cstheme="minorHAnsi"/>
        </w:rPr>
      </w:pPr>
      <w:r w:rsidRPr="00B845AF">
        <w:rPr>
          <w:rFonts w:asciiTheme="minorHAnsi" w:eastAsia="Calibri" w:hAnsiTheme="minorHAnsi" w:cstheme="minorHAnsi"/>
          <w:b/>
          <w:bCs/>
          <w:szCs w:val="22"/>
        </w:rPr>
        <w:t>11.2</w:t>
      </w:r>
      <w:r w:rsidRPr="00B845AF">
        <w:rPr>
          <w:rFonts w:asciiTheme="minorHAnsi" w:eastAsia="Calibri" w:hAnsiTheme="minorHAnsi" w:cstheme="minorHAnsi"/>
          <w:b/>
          <w:bCs/>
          <w:szCs w:val="22"/>
        </w:rPr>
        <w:tab/>
        <w:t>Next meeting</w:t>
      </w:r>
    </w:p>
    <w:p w14:paraId="780D0D26"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12</w:t>
      </w:r>
      <w:r w:rsidRPr="00B845AF">
        <w:rPr>
          <w:rFonts w:asciiTheme="minorHAnsi" w:eastAsia="Calibri" w:hAnsiTheme="minorHAnsi" w:cstheme="minorHAnsi"/>
          <w:b/>
          <w:bCs/>
          <w:szCs w:val="22"/>
        </w:rPr>
        <w:tab/>
        <w:t>OTHER MATTERS</w:t>
      </w:r>
    </w:p>
    <w:p w14:paraId="27BE5581"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13</w:t>
      </w:r>
      <w:r w:rsidRPr="00B845AF">
        <w:rPr>
          <w:rFonts w:asciiTheme="minorHAnsi" w:eastAsia="Calibri" w:hAnsiTheme="minorHAnsi" w:cstheme="minorHAnsi"/>
          <w:b/>
          <w:bCs/>
          <w:szCs w:val="22"/>
        </w:rPr>
        <w:tab/>
        <w:t>ADOPTION OF THE SUMMARY REPORT OF THE TWENTY-SECOND REGULAR SESSION OF THE SCIENTIFIC COMMITTEE</w:t>
      </w:r>
    </w:p>
    <w:p w14:paraId="4BE30284" w14:textId="77777777" w:rsidR="00E2036B" w:rsidRPr="00B845AF" w:rsidRDefault="00E2036B" w:rsidP="00E2036B">
      <w:pPr>
        <w:tabs>
          <w:tab w:val="left" w:pos="2160"/>
        </w:tabs>
        <w:spacing w:before="240" w:after="60"/>
        <w:ind w:left="2160" w:hanging="2160"/>
        <w:rPr>
          <w:rFonts w:asciiTheme="minorHAnsi" w:hAnsiTheme="minorHAnsi" w:cstheme="minorHAnsi"/>
        </w:rPr>
      </w:pPr>
      <w:r w:rsidRPr="00B845AF">
        <w:rPr>
          <w:rFonts w:asciiTheme="minorHAnsi" w:eastAsia="Calibri" w:hAnsiTheme="minorHAnsi" w:cstheme="minorHAnsi"/>
          <w:b/>
          <w:bCs/>
          <w:szCs w:val="22"/>
        </w:rPr>
        <w:t>AGENDA ITEM 14</w:t>
      </w:r>
      <w:r w:rsidRPr="00B845AF">
        <w:rPr>
          <w:rFonts w:asciiTheme="minorHAnsi" w:eastAsia="Calibri" w:hAnsiTheme="minorHAnsi" w:cstheme="minorHAnsi"/>
          <w:b/>
          <w:bCs/>
          <w:szCs w:val="22"/>
        </w:rPr>
        <w:tab/>
        <w:t>CLOSE OF THE MEETING</w:t>
      </w:r>
    </w:p>
    <w:p w14:paraId="6AC260B5" w14:textId="77777777" w:rsidR="009900F2" w:rsidRPr="00B845AF" w:rsidRDefault="009900F2" w:rsidP="009900F2">
      <w:pPr>
        <w:rPr>
          <w:rFonts w:asciiTheme="minorHAnsi" w:hAnsiTheme="minorHAnsi" w:cstheme="minorHAnsi"/>
        </w:rPr>
      </w:pPr>
    </w:p>
    <w:p w14:paraId="0B2FE3B2" w14:textId="77777777" w:rsidR="002766DF" w:rsidRPr="00B845AF" w:rsidRDefault="002766DF" w:rsidP="001A23E2">
      <w:pPr>
        <w:autoSpaceDE w:val="0"/>
        <w:autoSpaceDN w:val="0"/>
        <w:adjustRightInd w:val="0"/>
        <w:snapToGrid w:val="0"/>
        <w:jc w:val="both"/>
        <w:rPr>
          <w:rFonts w:asciiTheme="minorHAnsi" w:hAnsiTheme="minorHAnsi" w:cstheme="minorHAnsi"/>
          <w:b/>
          <w:bCs/>
          <w:szCs w:val="22"/>
        </w:rPr>
      </w:pPr>
    </w:p>
    <w:p w14:paraId="4E7A6CA6" w14:textId="07027257" w:rsidR="002766DF" w:rsidRPr="00B845AF" w:rsidRDefault="002766DF">
      <w:pPr>
        <w:rPr>
          <w:rFonts w:asciiTheme="minorHAnsi" w:hAnsiTheme="minorHAnsi" w:cstheme="minorHAnsi"/>
          <w:b/>
          <w:bCs/>
          <w:szCs w:val="22"/>
        </w:rPr>
      </w:pPr>
      <w:r w:rsidRPr="00B845AF">
        <w:rPr>
          <w:rFonts w:asciiTheme="minorHAnsi" w:hAnsiTheme="minorHAnsi" w:cstheme="minorHAnsi"/>
          <w:b/>
          <w:bCs/>
          <w:szCs w:val="22"/>
        </w:rPr>
        <w:br w:type="page"/>
      </w:r>
    </w:p>
    <w:p w14:paraId="481F2A44" w14:textId="19AF3D6D" w:rsidR="004A2594" w:rsidRPr="00B845AF" w:rsidRDefault="004A2594" w:rsidP="004A2594">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F</w:t>
      </w:r>
    </w:p>
    <w:p w14:paraId="6EA551C9" w14:textId="77777777" w:rsidR="004A2594" w:rsidRPr="00B845AF" w:rsidRDefault="004A2594" w:rsidP="004A2594">
      <w:pPr>
        <w:adjustRightInd w:val="0"/>
        <w:snapToGrid w:val="0"/>
        <w:jc w:val="center"/>
        <w:rPr>
          <w:rFonts w:asciiTheme="minorHAnsi" w:hAnsiTheme="minorHAnsi" w:cstheme="minorHAnsi"/>
          <w:b/>
          <w:bCs/>
          <w:szCs w:val="22"/>
          <w:lang w:eastAsia="en-NZ"/>
        </w:rPr>
      </w:pPr>
    </w:p>
    <w:p w14:paraId="195AF6E7" w14:textId="77777777" w:rsidR="008D2022" w:rsidRPr="00B845AF" w:rsidRDefault="008D2022" w:rsidP="008D2022">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51BEB949" w14:textId="77777777" w:rsidR="008D2022" w:rsidRPr="00B845AF" w:rsidRDefault="008D2022" w:rsidP="008D2022">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1CD6F64B" w14:textId="77777777" w:rsidR="008D2022" w:rsidRPr="00B845AF" w:rsidRDefault="008D2022" w:rsidP="008D2022">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7DB36DBD" w14:textId="77777777" w:rsidR="008D2022" w:rsidRPr="00B845AF" w:rsidRDefault="008D2022" w:rsidP="008D2022">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6785EB56" w14:textId="77777777" w:rsidR="008D2022" w:rsidRPr="00B845AF" w:rsidRDefault="008D2022" w:rsidP="008D2022">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8D2022" w:rsidRPr="00B845AF" w14:paraId="44130129" w14:textId="77777777" w:rsidTr="00835632">
        <w:tc>
          <w:tcPr>
            <w:tcW w:w="9576" w:type="dxa"/>
            <w:hideMark/>
          </w:tcPr>
          <w:p w14:paraId="17A22FDD" w14:textId="77777777" w:rsidR="008D2022" w:rsidRPr="00B845AF" w:rsidRDefault="008D2022"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Theme="minorEastAsia" w:hAnsiTheme="minorHAnsi" w:cstheme="minorHAnsi"/>
                <w:b/>
                <w:bCs/>
                <w:sz w:val="24"/>
                <w:szCs w:val="28"/>
                <w:lang w:eastAsia="ko-KR"/>
              </w:rPr>
              <w:t>Report from ISG02</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92" w:name="_Toc239261442"/>
            <w:r w:rsidRPr="00B845AF">
              <w:rPr>
                <w:rFonts w:asciiTheme="minorHAnsi" w:eastAsiaTheme="minorEastAsia" w:hAnsiTheme="minorHAnsi" w:cstheme="minorHAnsi"/>
                <w:b/>
                <w:bCs/>
                <w:sz w:val="28"/>
                <w:szCs w:val="28"/>
                <w:lang w:eastAsia="ko-KR"/>
              </w:rPr>
              <w:instrText>SUMMARY REPORT</w:instrText>
            </w:r>
            <w:bookmarkEnd w:id="92"/>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174F05D8" w14:textId="77777777" w:rsidR="004A2594" w:rsidRPr="00B845AF" w:rsidRDefault="004A2594" w:rsidP="004A2594">
      <w:pPr>
        <w:autoSpaceDE w:val="0"/>
        <w:autoSpaceDN w:val="0"/>
        <w:adjustRightInd w:val="0"/>
        <w:snapToGrid w:val="0"/>
        <w:jc w:val="both"/>
        <w:rPr>
          <w:rFonts w:asciiTheme="minorHAnsi" w:hAnsiTheme="minorHAnsi" w:cstheme="minorHAnsi"/>
          <w:b/>
          <w:bCs/>
          <w:szCs w:val="22"/>
        </w:rPr>
      </w:pPr>
    </w:p>
    <w:p w14:paraId="12924294" w14:textId="77777777" w:rsidR="004A2594" w:rsidRPr="00B845AF" w:rsidRDefault="004A2594" w:rsidP="004A2594">
      <w:pPr>
        <w:pStyle w:val="ListParagraph"/>
        <w:widowControl w:val="0"/>
        <w:kinsoku w:val="0"/>
        <w:overflowPunct w:val="0"/>
        <w:autoSpaceDE w:val="0"/>
        <w:autoSpaceDN w:val="0"/>
        <w:adjustRightInd w:val="0"/>
        <w:snapToGrid w:val="0"/>
        <w:jc w:val="both"/>
        <w:rPr>
          <w:rFonts w:asciiTheme="minorHAnsi" w:eastAsiaTheme="minorEastAsia" w:hAnsiTheme="minorHAnsi" w:cstheme="minorHAnsi"/>
          <w:color w:val="FF0000"/>
          <w:szCs w:val="22"/>
          <w:lang w:eastAsia="ko-KR"/>
        </w:rPr>
      </w:pPr>
    </w:p>
    <w:p w14:paraId="38FFF2F9" w14:textId="77777777" w:rsidR="00CA5547" w:rsidRPr="00B845AF" w:rsidRDefault="00CA5547" w:rsidP="00CA5547">
      <w:pPr>
        <w:widowControl w:val="0"/>
        <w:spacing w:after="200"/>
        <w:jc w:val="both"/>
        <w:rPr>
          <w:rFonts w:asciiTheme="minorHAnsi" w:hAnsiTheme="minorHAnsi" w:cstheme="minorHAnsi"/>
        </w:rPr>
      </w:pPr>
      <w:r w:rsidRPr="00B845AF">
        <w:rPr>
          <w:rFonts w:asciiTheme="minorHAnsi" w:hAnsiTheme="minorHAnsi" w:cstheme="minorHAnsi"/>
        </w:rPr>
        <w:t xml:space="preserve">ISG02 (Scientific Data Provisions) reviewed the recommendations included in WCPFC-SC22-2026-ST-WP05_Rev02, </w:t>
      </w:r>
      <w:proofErr w:type="gramStart"/>
      <w:r w:rsidRPr="00B845AF">
        <w:rPr>
          <w:rFonts w:asciiTheme="minorHAnsi" w:hAnsiTheme="minorHAnsi" w:cstheme="minorHAnsi"/>
        </w:rPr>
        <w:t>in order to</w:t>
      </w:r>
      <w:proofErr w:type="gramEnd"/>
      <w:r w:rsidRPr="00B845AF">
        <w:rPr>
          <w:rFonts w:asciiTheme="minorHAnsi" w:hAnsiTheme="minorHAnsi" w:cstheme="minorHAnsi"/>
        </w:rPr>
        <w:t xml:space="preserve"> provide advice and recommendations to SC22. </w:t>
      </w:r>
    </w:p>
    <w:p w14:paraId="4E1912A6" w14:textId="77777777" w:rsidR="00CA5547" w:rsidRPr="00B845AF" w:rsidRDefault="00CA5547" w:rsidP="00CA5547">
      <w:pPr>
        <w:widowControl w:val="0"/>
        <w:spacing w:after="200"/>
        <w:jc w:val="both"/>
        <w:rPr>
          <w:rFonts w:asciiTheme="minorHAnsi" w:hAnsiTheme="minorHAnsi" w:cstheme="minorHAnsi"/>
        </w:rPr>
      </w:pPr>
      <w:r w:rsidRPr="00B845AF">
        <w:rPr>
          <w:rFonts w:asciiTheme="minorHAnsi" w:hAnsiTheme="minorHAnsi" w:cstheme="minorHAnsi"/>
        </w:rPr>
        <w:t>ISG02 was generally supportive of the overall direction of the revisions, however, participants identified several areas which may require further clarification or consideration. Some participants noted that some of the proposed changes could require modifications to existing operations and electronic reporting systems and suggested additional time for consideration prior to TCC22.</w:t>
      </w:r>
    </w:p>
    <w:p w14:paraId="32ED3C21" w14:textId="77777777" w:rsidR="00CA5547" w:rsidRPr="00B845AF" w:rsidRDefault="00CA5547" w:rsidP="00CA5547">
      <w:pPr>
        <w:widowControl w:val="0"/>
        <w:spacing w:after="200"/>
        <w:jc w:val="both"/>
        <w:rPr>
          <w:rFonts w:asciiTheme="minorHAnsi" w:hAnsiTheme="minorHAnsi" w:cstheme="minorHAnsi"/>
        </w:rPr>
      </w:pPr>
      <w:r w:rsidRPr="00B845AF">
        <w:rPr>
          <w:rFonts w:asciiTheme="minorHAnsi" w:hAnsiTheme="minorHAnsi" w:cstheme="minorHAnsi"/>
        </w:rPr>
        <w:t>Based on initial discussions in ISG02, SPC attempted to separate out the proposed SciData revisions to include only those that either simplified the existing SciData provisions or are already implemented via the standardized data templates and remove those that might require operational changes to the logbook data collection process. The following proposed revisions were removed from the discussion:</w:t>
      </w:r>
    </w:p>
    <w:p w14:paraId="52287EF3"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Removed suggestions to add a field for archipelagic waters from the ACE. Although this initial suggestion was removed, additional text about the provision of ACE by EEZ (where the archipelagic distinction is applicable) was included. This provision currently applies to two CCMs, and that information is already being provided; however, the SSP will prepare a dedicated data submission template for this data source, an identified gap in the existing templates.</w:t>
      </w:r>
    </w:p>
    <w:p w14:paraId="769B1C9F"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 xml:space="preserve">Removed IMO from vessel info in the trip level operational data submissions. This proposed revision </w:t>
      </w:r>
      <w:proofErr w:type="gramStart"/>
      <w:r w:rsidRPr="00B845AF">
        <w:rPr>
          <w:rFonts w:asciiTheme="minorHAnsi" w:hAnsiTheme="minorHAnsi" w:cstheme="minorHAnsi"/>
        </w:rPr>
        <w:t>is considered to be</w:t>
      </w:r>
      <w:proofErr w:type="gramEnd"/>
      <w:r w:rsidRPr="00B845AF">
        <w:rPr>
          <w:rFonts w:asciiTheme="minorHAnsi" w:hAnsiTheme="minorHAnsi" w:cstheme="minorHAnsi"/>
        </w:rPr>
        <w:t xml:space="preserve"> important, and will likely require minimal additional effort, but was removed in the interest of time. </w:t>
      </w:r>
    </w:p>
    <w:p w14:paraId="37A5F2A1"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Removed changing noon position for non-fishing days to mandatory (retained at optional</w:t>
      </w:r>
    </w:p>
    <w:p w14:paraId="7459CF7F" w14:textId="77777777" w:rsidR="00CA5547" w:rsidRPr="00B845AF" w:rsidRDefault="00CA5547" w:rsidP="00CA5547">
      <w:pPr>
        <w:widowControl w:val="0"/>
        <w:ind w:left="720"/>
        <w:jc w:val="both"/>
        <w:rPr>
          <w:rFonts w:asciiTheme="minorHAnsi" w:hAnsiTheme="minorHAnsi" w:cstheme="minorHAnsi"/>
        </w:rPr>
      </w:pPr>
      <w:r w:rsidRPr="00B845AF">
        <w:rPr>
          <w:rFonts w:asciiTheme="minorHAnsi" w:hAnsiTheme="minorHAnsi" w:cstheme="minorHAnsi"/>
        </w:rPr>
        <w:t>where that is the status in the current SciData).</w:t>
      </w:r>
    </w:p>
    <w:p w14:paraId="347A2024"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Removed suggestion to change mainline units from km to nm, as there was no support from</w:t>
      </w:r>
    </w:p>
    <w:p w14:paraId="4C2FD939" w14:textId="77777777" w:rsidR="00CA5547" w:rsidRPr="00B845AF" w:rsidRDefault="00CA5547" w:rsidP="00CA5547">
      <w:pPr>
        <w:widowControl w:val="0"/>
        <w:ind w:left="720"/>
        <w:jc w:val="both"/>
        <w:rPr>
          <w:rFonts w:asciiTheme="minorHAnsi" w:hAnsiTheme="minorHAnsi" w:cstheme="minorHAnsi"/>
        </w:rPr>
      </w:pPr>
      <w:r w:rsidRPr="00B845AF">
        <w:rPr>
          <w:rFonts w:asciiTheme="minorHAnsi" w:hAnsiTheme="minorHAnsi" w:cstheme="minorHAnsi"/>
        </w:rPr>
        <w:t>the SC.</w:t>
      </w:r>
    </w:p>
    <w:p w14:paraId="62AD38DF"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Removed the suggestions around adding hook size and type, as the justification for those</w:t>
      </w:r>
    </w:p>
    <w:p w14:paraId="2A6BA2B2" w14:textId="77777777" w:rsidR="00CA5547" w:rsidRPr="00B845AF" w:rsidRDefault="00CA5547" w:rsidP="00CA5547">
      <w:pPr>
        <w:widowControl w:val="0"/>
        <w:ind w:left="720"/>
        <w:jc w:val="both"/>
        <w:rPr>
          <w:rFonts w:asciiTheme="minorHAnsi" w:hAnsiTheme="minorHAnsi" w:cstheme="minorHAnsi"/>
        </w:rPr>
      </w:pPr>
      <w:r w:rsidRPr="00B845AF">
        <w:rPr>
          <w:rFonts w:asciiTheme="minorHAnsi" w:hAnsiTheme="minorHAnsi" w:cstheme="minorHAnsi"/>
        </w:rPr>
        <w:t>fields will be discussed during the EB theme relative to the review of the sea turtle measure.</w:t>
      </w:r>
    </w:p>
    <w:p w14:paraId="7E4D5EC7" w14:textId="77777777" w:rsidR="00CA5547" w:rsidRPr="00B845AF" w:rsidRDefault="00CA5547" w:rsidP="00D47778">
      <w:pPr>
        <w:widowControl w:val="0"/>
        <w:numPr>
          <w:ilvl w:val="0"/>
          <w:numId w:val="38"/>
        </w:numPr>
        <w:jc w:val="both"/>
        <w:rPr>
          <w:rFonts w:asciiTheme="minorHAnsi" w:hAnsiTheme="minorHAnsi" w:cstheme="minorHAnsi"/>
        </w:rPr>
      </w:pPr>
      <w:r w:rsidRPr="00B845AF">
        <w:rPr>
          <w:rFonts w:asciiTheme="minorHAnsi" w:hAnsiTheme="minorHAnsi" w:cstheme="minorHAnsi"/>
        </w:rPr>
        <w:t>Removed redundant text about size data metadata in the ACE section of the document (this</w:t>
      </w:r>
    </w:p>
    <w:p w14:paraId="7939E982" w14:textId="77777777" w:rsidR="00CA5547" w:rsidRPr="00B845AF" w:rsidRDefault="00CA5547" w:rsidP="00CA5547">
      <w:pPr>
        <w:widowControl w:val="0"/>
        <w:spacing w:after="200"/>
        <w:ind w:left="720"/>
        <w:jc w:val="both"/>
        <w:rPr>
          <w:rFonts w:asciiTheme="minorHAnsi" w:hAnsiTheme="minorHAnsi" w:cstheme="minorHAnsi"/>
        </w:rPr>
      </w:pPr>
      <w:r w:rsidRPr="00B845AF">
        <w:rPr>
          <w:rFonts w:asciiTheme="minorHAnsi" w:hAnsiTheme="minorHAnsi" w:cstheme="minorHAnsi"/>
        </w:rPr>
        <w:t>is repeated in the size data section).</w:t>
      </w:r>
    </w:p>
    <w:p w14:paraId="3DC00BC0" w14:textId="77777777" w:rsidR="00CA5547" w:rsidRPr="00B845AF" w:rsidRDefault="00CA5547" w:rsidP="00CA5547">
      <w:pPr>
        <w:widowControl w:val="0"/>
        <w:spacing w:after="200"/>
        <w:jc w:val="both"/>
        <w:rPr>
          <w:rFonts w:asciiTheme="minorHAnsi" w:hAnsiTheme="minorHAnsi" w:cstheme="minorHAnsi"/>
        </w:rPr>
      </w:pPr>
      <w:r w:rsidRPr="00B845AF">
        <w:rPr>
          <w:rFonts w:asciiTheme="minorHAnsi" w:hAnsiTheme="minorHAnsi" w:cstheme="minorHAnsi"/>
        </w:rPr>
        <w:t>ISG02 also discussed potential revisions to the SciData that were related to project 127/127a (WCPFC-SC22-2026-SA-WP02 - Review and reconciliation of size data for stock assessment purposes), which recommended that SciData size data submission information proforma to be added to the standardized data submission process adopted at WCPFC22. Since there was general agreement on this recommendation during plenary, ISG02 also briefly discussed these changes.</w:t>
      </w:r>
    </w:p>
    <w:p w14:paraId="0B8F9168" w14:textId="77777777" w:rsidR="00CA5547" w:rsidRPr="00B845AF" w:rsidRDefault="00CA5547" w:rsidP="00CA5547">
      <w:pPr>
        <w:widowControl w:val="0"/>
        <w:spacing w:after="200"/>
        <w:jc w:val="both"/>
        <w:rPr>
          <w:rFonts w:asciiTheme="minorHAnsi" w:hAnsiTheme="minorHAnsi" w:cstheme="minorHAnsi"/>
        </w:rPr>
      </w:pPr>
      <w:r w:rsidRPr="00B845AF">
        <w:rPr>
          <w:rFonts w:asciiTheme="minorHAnsi" w:hAnsiTheme="minorHAnsi" w:cstheme="minorHAnsi"/>
        </w:rPr>
        <w:t>ISG02 recommended adoption of the proposed changes to SciData included in Annex 1.</w:t>
      </w:r>
    </w:p>
    <w:p w14:paraId="1DC9EF4B" w14:textId="77777777" w:rsidR="00CA5547" w:rsidRPr="00B845AF" w:rsidRDefault="00CA5547" w:rsidP="00CA5547">
      <w:pPr>
        <w:widowControl w:val="0"/>
        <w:spacing w:after="200"/>
        <w:rPr>
          <w:rFonts w:asciiTheme="minorHAnsi" w:eastAsia="MS Mincho" w:hAnsiTheme="minorHAnsi" w:cstheme="minorHAnsi"/>
          <w:lang w:eastAsia="ja-JP"/>
        </w:rPr>
        <w:sectPr w:rsidR="00CA5547" w:rsidRPr="00B845AF" w:rsidSect="00F14811">
          <w:pgSz w:w="12240" w:h="15840" w:code="1"/>
          <w:pgMar w:top="1440" w:right="1440" w:bottom="1440" w:left="1440" w:header="708" w:footer="708" w:gutter="0"/>
          <w:cols w:space="708"/>
          <w:docGrid w:linePitch="360"/>
        </w:sectPr>
      </w:pPr>
    </w:p>
    <w:p w14:paraId="66EDBFAC" w14:textId="20DB030C" w:rsidR="00CA5547" w:rsidRPr="00B845AF" w:rsidRDefault="00CA5547" w:rsidP="00CA5547">
      <w:pPr>
        <w:adjustRightInd w:val="0"/>
        <w:snapToGrid w:val="0"/>
        <w:ind w:left="4321"/>
        <w:jc w:val="right"/>
        <w:rPr>
          <w:rFonts w:asciiTheme="minorHAnsi" w:eastAsia="MS Mincho" w:hAnsiTheme="minorHAnsi" w:cstheme="minorHAnsi"/>
          <w:b/>
          <w:lang w:eastAsia="ja-JP"/>
        </w:rPr>
      </w:pPr>
      <w:bookmarkStart w:id="93" w:name="_Hlk238486590"/>
      <w:r w:rsidRPr="00B845AF">
        <w:rPr>
          <w:rFonts w:asciiTheme="minorHAnsi" w:eastAsiaTheme="minorEastAsia" w:hAnsiTheme="minorHAnsi" w:cstheme="minorHAnsi"/>
          <w:b/>
          <w:lang w:eastAsia="ja-JP"/>
        </w:rPr>
        <w:lastRenderedPageBreak/>
        <w:t xml:space="preserve">Attachment </w:t>
      </w:r>
      <w:r w:rsidR="007955F5" w:rsidRPr="00B845AF">
        <w:rPr>
          <w:rFonts w:asciiTheme="minorHAnsi" w:eastAsia="MS Mincho" w:hAnsiTheme="minorHAnsi" w:cstheme="minorHAnsi"/>
          <w:b/>
          <w:lang w:eastAsia="ja-JP"/>
        </w:rPr>
        <w:t>1</w:t>
      </w:r>
    </w:p>
    <w:p w14:paraId="49DF28DD" w14:textId="77777777" w:rsidR="00CA5547" w:rsidRPr="00B845AF" w:rsidRDefault="00CA5547" w:rsidP="00CA5547">
      <w:pPr>
        <w:adjustRightInd w:val="0"/>
        <w:snapToGrid w:val="0"/>
        <w:jc w:val="center"/>
        <w:rPr>
          <w:rFonts w:asciiTheme="minorHAnsi" w:hAnsiTheme="minorHAnsi" w:cstheme="minorHAnsi"/>
          <w:b/>
        </w:rPr>
      </w:pPr>
      <w:r w:rsidRPr="00B845AF">
        <w:rPr>
          <w:rFonts w:asciiTheme="minorHAnsi" w:hAnsiTheme="minorHAnsi" w:cstheme="minorHAnsi"/>
          <w:noProof/>
        </w:rPr>
        <w:drawing>
          <wp:inline distT="0" distB="0" distL="0" distR="0" wp14:anchorId="35D1AC91" wp14:editId="47D605F3">
            <wp:extent cx="2467430" cy="858550"/>
            <wp:effectExtent l="0" t="0" r="0" b="9525"/>
            <wp:docPr id="2009399976" name="Picture 2009399976"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399976" name="Picture 2009399976" descr="A blue and black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2467430" cy="858550"/>
                    </a:xfrm>
                    <a:prstGeom prst="rect">
                      <a:avLst/>
                    </a:prstGeom>
                  </pic:spPr>
                </pic:pic>
              </a:graphicData>
            </a:graphic>
          </wp:inline>
        </w:drawing>
      </w:r>
    </w:p>
    <w:p w14:paraId="112F7809" w14:textId="77777777" w:rsidR="00CA5547" w:rsidRPr="00B845AF" w:rsidRDefault="00CA5547" w:rsidP="00CA5547">
      <w:pPr>
        <w:adjustRightInd w:val="0"/>
        <w:snapToGrid w:val="0"/>
        <w:jc w:val="center"/>
        <w:rPr>
          <w:rFonts w:asciiTheme="minorHAnsi" w:hAnsiTheme="minorHAnsi" w:cstheme="minorHAnsi"/>
          <w:b/>
        </w:rPr>
      </w:pPr>
    </w:p>
    <w:p w14:paraId="651CAB43" w14:textId="77777777" w:rsidR="00CA5547" w:rsidRPr="00B845AF" w:rsidRDefault="00CA5547" w:rsidP="00CA5547">
      <w:pPr>
        <w:pBdr>
          <w:top w:val="single" w:sz="6" w:space="1" w:color="auto"/>
          <w:bottom w:val="single" w:sz="6" w:space="1" w:color="auto"/>
        </w:pBdr>
        <w:adjustRightInd w:val="0"/>
        <w:snapToGrid w:val="0"/>
        <w:jc w:val="center"/>
        <w:rPr>
          <w:rFonts w:asciiTheme="minorHAnsi" w:hAnsiTheme="minorHAnsi" w:cstheme="minorHAnsi"/>
        </w:rPr>
      </w:pPr>
      <w:r w:rsidRPr="00B845AF">
        <w:rPr>
          <w:rFonts w:asciiTheme="minorHAnsi" w:hAnsiTheme="minorHAnsi" w:cstheme="minorHAnsi"/>
          <w:b/>
        </w:rPr>
        <w:t>SCIENTIFIC DATA TO BE PROVIDED TO THE COMMISSION</w:t>
      </w:r>
      <w:r w:rsidRPr="00B845AF">
        <w:rPr>
          <w:rFonts w:asciiTheme="minorHAnsi" w:hAnsiTheme="minorHAnsi" w:cstheme="minorHAnsi"/>
          <w:b/>
          <w:vertAlign w:val="superscript"/>
        </w:rPr>
        <w:footnoteReference w:id="1"/>
      </w:r>
    </w:p>
    <w:p w14:paraId="17E319CF" w14:textId="77777777" w:rsidR="00CA5547" w:rsidRPr="00B845AF" w:rsidRDefault="00CA5547" w:rsidP="00CA5547">
      <w:pPr>
        <w:adjustRightInd w:val="0"/>
        <w:snapToGrid w:val="0"/>
        <w:rPr>
          <w:rFonts w:asciiTheme="minorHAnsi" w:hAnsiTheme="minorHAnsi" w:cstheme="minorHAnsi"/>
        </w:rPr>
      </w:pPr>
    </w:p>
    <w:p w14:paraId="7E61E653" w14:textId="77777777" w:rsidR="00CA5547" w:rsidRPr="00B845AF" w:rsidRDefault="00CA5547" w:rsidP="00CA5547">
      <w:pPr>
        <w:keepNext/>
        <w:keepLines/>
        <w:tabs>
          <w:tab w:val="center" w:pos="1990"/>
        </w:tabs>
        <w:adjustRightInd w:val="0"/>
        <w:snapToGrid w:val="0"/>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1</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Estimates</w:t>
      </w:r>
      <w:proofErr w:type="gramEnd"/>
      <w:r w:rsidRPr="00B845AF">
        <w:rPr>
          <w:rFonts w:asciiTheme="minorHAnsi" w:eastAsiaTheme="majorEastAsia" w:hAnsiTheme="minorHAnsi" w:cstheme="minorHAnsi"/>
          <w:b/>
          <w:bCs/>
          <w:szCs w:val="22"/>
        </w:rPr>
        <w:t xml:space="preserve"> of annual catches </w:t>
      </w:r>
    </w:p>
    <w:p w14:paraId="0CCDECFA" w14:textId="77777777" w:rsidR="00CA5547" w:rsidRPr="00B845AF" w:rsidRDefault="00CA5547" w:rsidP="00CA5547">
      <w:pPr>
        <w:adjustRightInd w:val="0"/>
        <w:snapToGrid w:val="0"/>
        <w:rPr>
          <w:rFonts w:asciiTheme="minorHAnsi" w:hAnsiTheme="minorHAnsi" w:cstheme="minorHAnsi"/>
        </w:rPr>
      </w:pPr>
      <w:r w:rsidRPr="00B845AF">
        <w:rPr>
          <w:rFonts w:asciiTheme="minorHAnsi" w:hAnsiTheme="minorHAnsi" w:cstheme="minorHAnsi"/>
        </w:rPr>
        <w:t xml:space="preserve"> </w:t>
      </w:r>
    </w:p>
    <w:p w14:paraId="5308D8CF"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following estimates of catches during each calendar year shall be provided to the Commission for each gear type: </w:t>
      </w:r>
    </w:p>
    <w:p w14:paraId="15725A90" w14:textId="77777777" w:rsidR="00CA5547" w:rsidRPr="00B845AF" w:rsidRDefault="00CA5547" w:rsidP="00CA5547">
      <w:pPr>
        <w:adjustRightInd w:val="0"/>
        <w:snapToGrid w:val="0"/>
        <w:rPr>
          <w:rFonts w:asciiTheme="minorHAnsi" w:hAnsiTheme="minorHAnsi" w:cstheme="minorHAnsi"/>
        </w:rPr>
      </w:pPr>
      <w:r w:rsidRPr="00B845AF">
        <w:rPr>
          <w:rFonts w:asciiTheme="minorHAnsi" w:hAnsiTheme="minorHAnsi" w:cstheme="minorHAnsi"/>
        </w:rPr>
        <w:t xml:space="preserve"> </w:t>
      </w:r>
    </w:p>
    <w:p w14:paraId="5F09063A" w14:textId="77777777" w:rsidR="00CA5547" w:rsidRPr="00B845AF" w:rsidRDefault="00CA5547" w:rsidP="00D47778">
      <w:pPr>
        <w:numPr>
          <w:ilvl w:val="0"/>
          <w:numId w:val="39"/>
        </w:numPr>
        <w:adjustRightInd w:val="0"/>
        <w:snapToGrid w:val="0"/>
        <w:ind w:right="38"/>
        <w:jc w:val="both"/>
        <w:rPr>
          <w:rFonts w:asciiTheme="minorHAnsi" w:hAnsiTheme="minorHAnsi" w:cstheme="minorHAnsi"/>
        </w:rPr>
      </w:pPr>
      <w:r w:rsidRPr="00B845AF">
        <w:rPr>
          <w:rFonts w:asciiTheme="minorHAnsi" w:hAnsiTheme="minorHAnsi" w:cstheme="minorHAnsi"/>
        </w:rPr>
        <w:t>Catches for all key species to be reported to the Commission (see full list in Annex 2.1.3) shall be provided for the WCPFC Statistical Area see paragraph 9)</w:t>
      </w:r>
      <w:r w:rsidRPr="00B845AF">
        <w:rPr>
          <w:rFonts w:asciiTheme="minorHAnsi" w:hAnsiTheme="minorHAnsi" w:cstheme="minorHAnsi"/>
          <w:vertAlign w:val="superscript"/>
        </w:rPr>
        <w:footnoteReference w:id="2"/>
      </w:r>
      <w:r w:rsidRPr="00B845AF">
        <w:rPr>
          <w:rFonts w:asciiTheme="minorHAnsi" w:hAnsiTheme="minorHAnsi" w:cstheme="minorHAnsi"/>
        </w:rPr>
        <w:t xml:space="preserve">. </w:t>
      </w:r>
    </w:p>
    <w:p w14:paraId="7840B695" w14:textId="77777777" w:rsidR="00CA5547" w:rsidRPr="00B845AF" w:rsidRDefault="00CA5547" w:rsidP="00CA5547">
      <w:pPr>
        <w:adjustRightInd w:val="0"/>
        <w:snapToGrid w:val="0"/>
        <w:ind w:left="360" w:right="38"/>
        <w:rPr>
          <w:rFonts w:asciiTheme="minorHAnsi" w:hAnsiTheme="minorHAnsi" w:cstheme="minorHAnsi"/>
        </w:rPr>
      </w:pPr>
    </w:p>
    <w:p w14:paraId="65A97853" w14:textId="77777777" w:rsidR="00CA5547" w:rsidRPr="00B845AF" w:rsidRDefault="00CA5547" w:rsidP="00D47778">
      <w:pPr>
        <w:numPr>
          <w:ilvl w:val="0"/>
          <w:numId w:val="39"/>
        </w:numPr>
        <w:adjustRightInd w:val="0"/>
        <w:snapToGrid w:val="0"/>
        <w:ind w:right="38"/>
        <w:jc w:val="both"/>
        <w:rPr>
          <w:rFonts w:asciiTheme="minorHAnsi" w:hAnsiTheme="minorHAnsi" w:cstheme="minorHAnsi"/>
        </w:rPr>
      </w:pPr>
      <w:r w:rsidRPr="00B845AF">
        <w:rPr>
          <w:rFonts w:asciiTheme="minorHAnsi" w:hAnsiTheme="minorHAnsi" w:cstheme="minorHAnsi"/>
        </w:rPr>
        <w:t>catches of bigeye tuna (</w:t>
      </w:r>
      <w:r w:rsidRPr="00B845AF">
        <w:rPr>
          <w:rFonts w:asciiTheme="minorHAnsi" w:hAnsiTheme="minorHAnsi" w:cstheme="minorHAnsi"/>
          <w:i/>
        </w:rPr>
        <w:t>Thunnus obesus</w:t>
      </w:r>
      <w:r w:rsidRPr="00B845AF">
        <w:rPr>
          <w:rFonts w:asciiTheme="minorHAnsi" w:hAnsiTheme="minorHAnsi" w:cstheme="minorHAnsi"/>
        </w:rPr>
        <w:t>), skipjack tuna (</w:t>
      </w:r>
      <w:r w:rsidRPr="00B845AF">
        <w:rPr>
          <w:rFonts w:asciiTheme="minorHAnsi" w:hAnsiTheme="minorHAnsi" w:cstheme="minorHAnsi"/>
          <w:i/>
        </w:rPr>
        <w:t>Katsuwonus pelamis</w:t>
      </w:r>
      <w:r w:rsidRPr="00B845AF">
        <w:rPr>
          <w:rFonts w:asciiTheme="minorHAnsi" w:hAnsiTheme="minorHAnsi" w:cstheme="minorHAnsi"/>
        </w:rPr>
        <w:t>), yellowfin tuna (</w:t>
      </w:r>
      <w:r w:rsidRPr="00B845AF">
        <w:rPr>
          <w:rFonts w:asciiTheme="minorHAnsi" w:hAnsiTheme="minorHAnsi" w:cstheme="minorHAnsi"/>
          <w:i/>
        </w:rPr>
        <w:t>Thunnus albacares</w:t>
      </w:r>
      <w:r w:rsidRPr="00B845AF">
        <w:rPr>
          <w:rFonts w:asciiTheme="minorHAnsi" w:hAnsiTheme="minorHAnsi" w:cstheme="minorHAnsi"/>
        </w:rPr>
        <w:t>), blue marlin (</w:t>
      </w:r>
      <w:r w:rsidRPr="00B845AF">
        <w:rPr>
          <w:rFonts w:asciiTheme="minorHAnsi" w:hAnsiTheme="minorHAnsi" w:cstheme="minorHAnsi"/>
          <w:i/>
        </w:rPr>
        <w:t>Makaira mazara</w:t>
      </w:r>
      <w:r w:rsidRPr="00B845AF">
        <w:rPr>
          <w:rFonts w:asciiTheme="minorHAnsi" w:hAnsiTheme="minorHAnsi" w:cstheme="minorHAnsi"/>
        </w:rPr>
        <w:t>), black marlin (</w:t>
      </w:r>
      <w:r w:rsidRPr="00B845AF">
        <w:rPr>
          <w:rFonts w:asciiTheme="minorHAnsi" w:hAnsiTheme="minorHAnsi" w:cstheme="minorHAnsi"/>
          <w:i/>
        </w:rPr>
        <w:t>Makaira indica</w:t>
      </w:r>
      <w:r w:rsidRPr="00B845AF">
        <w:rPr>
          <w:rFonts w:asciiTheme="minorHAnsi" w:hAnsiTheme="minorHAnsi" w:cstheme="minorHAnsi"/>
        </w:rPr>
        <w:t>), shortbill spearfish (</w:t>
      </w:r>
      <w:r w:rsidRPr="00B845AF">
        <w:rPr>
          <w:rFonts w:asciiTheme="minorHAnsi" w:hAnsiTheme="minorHAnsi" w:cstheme="minorHAnsi"/>
          <w:i/>
        </w:rPr>
        <w:t xml:space="preserve">Tetrapturus </w:t>
      </w:r>
      <w:proofErr w:type="spellStart"/>
      <w:r w:rsidRPr="00B845AF">
        <w:rPr>
          <w:rFonts w:asciiTheme="minorHAnsi" w:hAnsiTheme="minorHAnsi" w:cstheme="minorHAnsi"/>
          <w:i/>
        </w:rPr>
        <w:t>angustirostris</w:t>
      </w:r>
      <w:proofErr w:type="spellEnd"/>
      <w:r w:rsidRPr="00B845AF">
        <w:rPr>
          <w:rFonts w:asciiTheme="minorHAnsi" w:hAnsiTheme="minorHAnsi" w:cstheme="minorHAnsi"/>
        </w:rPr>
        <w:t>) and sailfish (</w:t>
      </w:r>
      <w:proofErr w:type="spellStart"/>
      <w:r w:rsidRPr="00B845AF">
        <w:rPr>
          <w:rFonts w:asciiTheme="minorHAnsi" w:hAnsiTheme="minorHAnsi" w:cstheme="minorHAnsi"/>
          <w:i/>
        </w:rPr>
        <w:t>Istiophorus</w:t>
      </w:r>
      <w:proofErr w:type="spellEnd"/>
      <w:r w:rsidRPr="00B845AF">
        <w:rPr>
          <w:rFonts w:asciiTheme="minorHAnsi" w:hAnsiTheme="minorHAnsi" w:cstheme="minorHAnsi"/>
          <w:i/>
        </w:rPr>
        <w:t xml:space="preserve"> </w:t>
      </w:r>
      <w:proofErr w:type="spellStart"/>
      <w:r w:rsidRPr="00B845AF">
        <w:rPr>
          <w:rFonts w:asciiTheme="minorHAnsi" w:hAnsiTheme="minorHAnsi" w:cstheme="minorHAnsi"/>
          <w:i/>
        </w:rPr>
        <w:t>platypterus</w:t>
      </w:r>
      <w:proofErr w:type="spellEnd"/>
      <w:r w:rsidRPr="00B845AF">
        <w:rPr>
          <w:rFonts w:asciiTheme="minorHAnsi" w:hAnsiTheme="minorHAnsi" w:cstheme="minorHAnsi"/>
        </w:rPr>
        <w:t xml:space="preserve">) in the portion of the WCPFC Statistical Area east of the 150° meridian of west longitude (i.e., the overlap area); and   </w:t>
      </w:r>
    </w:p>
    <w:p w14:paraId="3179EE48" w14:textId="77777777" w:rsidR="00CA5547" w:rsidRPr="00B845AF" w:rsidRDefault="00CA5547" w:rsidP="00CA5547">
      <w:pPr>
        <w:adjustRightInd w:val="0"/>
        <w:snapToGrid w:val="0"/>
        <w:rPr>
          <w:rFonts w:asciiTheme="minorHAnsi" w:hAnsiTheme="minorHAnsi" w:cstheme="minorHAnsi"/>
        </w:rPr>
      </w:pPr>
      <w:r w:rsidRPr="00B845AF">
        <w:rPr>
          <w:rFonts w:asciiTheme="minorHAnsi" w:hAnsiTheme="minorHAnsi" w:cstheme="minorHAnsi"/>
        </w:rPr>
        <w:t xml:space="preserve"> </w:t>
      </w:r>
    </w:p>
    <w:p w14:paraId="2DB709BD" w14:textId="77777777" w:rsidR="00CA5547" w:rsidRPr="00B845AF" w:rsidRDefault="00CA5547" w:rsidP="00D47778">
      <w:pPr>
        <w:numPr>
          <w:ilvl w:val="0"/>
          <w:numId w:val="39"/>
        </w:numPr>
        <w:adjustRightInd w:val="0"/>
        <w:snapToGrid w:val="0"/>
        <w:ind w:left="351" w:right="38"/>
        <w:jc w:val="both"/>
        <w:rPr>
          <w:rFonts w:asciiTheme="minorHAnsi" w:hAnsiTheme="minorHAnsi" w:cstheme="minorHAnsi"/>
        </w:rPr>
      </w:pPr>
      <w:r w:rsidRPr="00B845AF">
        <w:rPr>
          <w:rFonts w:asciiTheme="minorHAnsi" w:hAnsiTheme="minorHAnsi" w:cstheme="minorHAnsi"/>
        </w:rPr>
        <w:t>catches of albacore (</w:t>
      </w:r>
      <w:r w:rsidRPr="00B845AF">
        <w:rPr>
          <w:rFonts w:asciiTheme="minorHAnsi" w:hAnsiTheme="minorHAnsi" w:cstheme="minorHAnsi"/>
          <w:i/>
        </w:rPr>
        <w:t>Thunnus alalunga</w:t>
      </w:r>
      <w:r w:rsidRPr="00B845AF">
        <w:rPr>
          <w:rFonts w:asciiTheme="minorHAnsi" w:hAnsiTheme="minorHAnsi" w:cstheme="minorHAnsi"/>
        </w:rPr>
        <w:t>), striped marlin (</w:t>
      </w:r>
      <w:r w:rsidRPr="00B845AF">
        <w:rPr>
          <w:rFonts w:asciiTheme="minorHAnsi" w:hAnsiTheme="minorHAnsi" w:cstheme="minorHAnsi"/>
          <w:i/>
        </w:rPr>
        <w:t>Tetrapturus audax</w:t>
      </w:r>
      <w:r w:rsidRPr="00B845AF">
        <w:rPr>
          <w:rFonts w:asciiTheme="minorHAnsi" w:hAnsiTheme="minorHAnsi" w:cstheme="minorHAnsi"/>
        </w:rPr>
        <w:t>), swordfish (</w:t>
      </w:r>
      <w:r w:rsidRPr="00B845AF">
        <w:rPr>
          <w:rFonts w:asciiTheme="minorHAnsi" w:hAnsiTheme="minorHAnsi" w:cstheme="minorHAnsi"/>
          <w:i/>
        </w:rPr>
        <w:t>Xiphias gladius</w:t>
      </w:r>
      <w:r w:rsidRPr="00B845AF">
        <w:rPr>
          <w:rFonts w:asciiTheme="minorHAnsi" w:hAnsiTheme="minorHAnsi" w:cstheme="minorHAnsi"/>
        </w:rPr>
        <w:t>), Pacific bluefin tuna (</w:t>
      </w:r>
      <w:r w:rsidRPr="00B845AF">
        <w:rPr>
          <w:rFonts w:asciiTheme="minorHAnsi" w:hAnsiTheme="minorHAnsi" w:cstheme="minorHAnsi"/>
          <w:i/>
        </w:rPr>
        <w:t>Thunnus orientalis</w:t>
      </w:r>
      <w:r w:rsidRPr="00B845AF">
        <w:rPr>
          <w:rFonts w:asciiTheme="minorHAnsi" w:hAnsiTheme="minorHAnsi" w:cstheme="minorHAnsi"/>
        </w:rPr>
        <w:t>), thresher sharks (</w:t>
      </w:r>
      <w:r w:rsidRPr="00B845AF">
        <w:rPr>
          <w:rFonts w:asciiTheme="minorHAnsi" w:hAnsiTheme="minorHAnsi" w:cstheme="minorHAnsi"/>
          <w:i/>
        </w:rPr>
        <w:t>Alopias spp.</w:t>
      </w:r>
      <w:r w:rsidRPr="00B845AF">
        <w:rPr>
          <w:rFonts w:asciiTheme="minorHAnsi" w:hAnsiTheme="minorHAnsi" w:cstheme="minorHAnsi"/>
        </w:rPr>
        <w:t>), blue shark (</w:t>
      </w:r>
      <w:r w:rsidRPr="00B845AF">
        <w:rPr>
          <w:rFonts w:asciiTheme="minorHAnsi" w:hAnsiTheme="minorHAnsi" w:cstheme="minorHAnsi"/>
          <w:i/>
        </w:rPr>
        <w:t>Prionace glauca</w:t>
      </w:r>
      <w:r w:rsidRPr="00B845AF">
        <w:rPr>
          <w:rFonts w:asciiTheme="minorHAnsi" w:hAnsiTheme="minorHAnsi" w:cstheme="minorHAnsi"/>
        </w:rPr>
        <w:t>) and mako sharks (</w:t>
      </w:r>
      <w:r w:rsidRPr="00B845AF">
        <w:rPr>
          <w:rFonts w:asciiTheme="minorHAnsi" w:hAnsiTheme="minorHAnsi" w:cstheme="minorHAnsi"/>
          <w:i/>
        </w:rPr>
        <w:t>Isurus spp.</w:t>
      </w:r>
      <w:r w:rsidRPr="00B845AF">
        <w:rPr>
          <w:rFonts w:asciiTheme="minorHAnsi" w:hAnsiTheme="minorHAnsi" w:cstheme="minorHAnsi"/>
        </w:rPr>
        <w:t>) in: 1) the Pacific Ocean south of the Equator, 2) the Pacific Ocean north of the Equator, 3) the WCPFC Statistical Area north of the Equator, 4) the WCPFC Statistical Area south of the Equator, and 5) the portion of the WCPFC Statistical Area east of the 150° meridian of west longitude.</w:t>
      </w:r>
    </w:p>
    <w:p w14:paraId="61FD595F" w14:textId="77777777" w:rsidR="00CA5547" w:rsidRPr="00B845AF" w:rsidRDefault="00CA5547" w:rsidP="00CA5547">
      <w:pPr>
        <w:adjustRightInd w:val="0"/>
        <w:snapToGrid w:val="0"/>
        <w:rPr>
          <w:rFonts w:asciiTheme="minorHAnsi" w:hAnsiTheme="minorHAnsi" w:cstheme="minorHAnsi"/>
        </w:rPr>
      </w:pPr>
      <w:r w:rsidRPr="00B845AF">
        <w:rPr>
          <w:rFonts w:asciiTheme="minorHAnsi" w:hAnsiTheme="minorHAnsi" w:cstheme="minorHAnsi"/>
        </w:rPr>
        <w:t xml:space="preserve"> </w:t>
      </w:r>
    </w:p>
    <w:p w14:paraId="4F5A76D0" w14:textId="77777777" w:rsidR="00CA5547" w:rsidRPr="00B845AF" w:rsidRDefault="00CA5547" w:rsidP="00CA5547">
      <w:pPr>
        <w:adjustRightInd w:val="0"/>
        <w:snapToGrid w:val="0"/>
        <w:rPr>
          <w:rFonts w:asciiTheme="minorHAnsi" w:hAnsiTheme="minorHAnsi" w:cstheme="minorHAnsi"/>
        </w:rPr>
      </w:pPr>
    </w:p>
    <w:p w14:paraId="5C8CF994" w14:textId="77777777" w:rsidR="00CA5547" w:rsidRPr="00B845AF" w:rsidRDefault="00CA5547" w:rsidP="00CA5547">
      <w:pPr>
        <w:adjustRightInd w:val="0"/>
        <w:snapToGrid w:val="0"/>
        <w:rPr>
          <w:rFonts w:asciiTheme="minorHAnsi" w:hAnsiTheme="minorHAnsi" w:cstheme="minorHAnsi"/>
        </w:rPr>
      </w:pPr>
    </w:p>
    <w:p w14:paraId="274F91D0" w14:textId="77777777" w:rsidR="00CA5547" w:rsidRPr="00B845AF" w:rsidRDefault="00CA5547" w:rsidP="00CA5547">
      <w:pPr>
        <w:adjustRightInd w:val="0"/>
        <w:snapToGrid w:val="0"/>
        <w:rPr>
          <w:rFonts w:asciiTheme="minorHAnsi" w:hAnsiTheme="minorHAnsi" w:cstheme="minorHAnsi"/>
        </w:rPr>
      </w:pPr>
    </w:p>
    <w:p w14:paraId="32999362" w14:textId="77777777" w:rsidR="00CA5547" w:rsidRPr="00B845AF" w:rsidRDefault="00CA5547" w:rsidP="00CA5547">
      <w:pPr>
        <w:adjustRightInd w:val="0"/>
        <w:snapToGrid w:val="0"/>
        <w:rPr>
          <w:rFonts w:asciiTheme="minorHAnsi" w:hAnsiTheme="minorHAnsi" w:cstheme="minorHAnsi"/>
        </w:rPr>
      </w:pPr>
    </w:p>
    <w:p w14:paraId="48B7E0A1" w14:textId="77777777" w:rsidR="00CA5547" w:rsidRPr="00B845AF" w:rsidRDefault="00CA5547" w:rsidP="00CA5547">
      <w:pPr>
        <w:adjustRightInd w:val="0"/>
        <w:snapToGrid w:val="0"/>
        <w:rPr>
          <w:rFonts w:asciiTheme="minorHAnsi" w:hAnsiTheme="minorHAnsi" w:cstheme="minorHAnsi"/>
        </w:rPr>
      </w:pPr>
    </w:p>
    <w:p w14:paraId="51316C02" w14:textId="77777777" w:rsidR="00CA5547" w:rsidRPr="00B845AF" w:rsidRDefault="00CA5547" w:rsidP="00CA5547">
      <w:pPr>
        <w:adjustRightInd w:val="0"/>
        <w:snapToGrid w:val="0"/>
        <w:rPr>
          <w:rFonts w:asciiTheme="minorHAnsi" w:hAnsiTheme="minorHAnsi" w:cstheme="minorHAnsi"/>
        </w:rPr>
      </w:pPr>
    </w:p>
    <w:p w14:paraId="70097BAA" w14:textId="77777777" w:rsidR="00CA5547" w:rsidRPr="00B845AF" w:rsidRDefault="00CA5547" w:rsidP="00CA5547">
      <w:pPr>
        <w:adjustRightInd w:val="0"/>
        <w:snapToGrid w:val="0"/>
        <w:rPr>
          <w:rFonts w:asciiTheme="minorHAnsi" w:hAnsiTheme="minorHAnsi" w:cstheme="minorHAnsi"/>
        </w:rPr>
      </w:pPr>
    </w:p>
    <w:p w14:paraId="36DA1B06" w14:textId="77777777" w:rsidR="00CA5547" w:rsidRPr="00B845AF" w:rsidRDefault="00CA5547" w:rsidP="00CA5547">
      <w:pPr>
        <w:adjustRightInd w:val="0"/>
        <w:snapToGrid w:val="0"/>
        <w:rPr>
          <w:rFonts w:asciiTheme="minorHAnsi" w:hAnsiTheme="minorHAnsi" w:cstheme="minorHAnsi"/>
        </w:rPr>
      </w:pPr>
    </w:p>
    <w:p w14:paraId="684B8F2B" w14:textId="77777777" w:rsidR="00CA5547" w:rsidRPr="00B845AF" w:rsidRDefault="00CA5547" w:rsidP="00CA5547">
      <w:pPr>
        <w:adjustRightInd w:val="0"/>
        <w:snapToGrid w:val="0"/>
        <w:rPr>
          <w:rFonts w:asciiTheme="minorHAnsi" w:hAnsiTheme="minorHAnsi" w:cstheme="minorHAnsi"/>
        </w:rPr>
      </w:pPr>
    </w:p>
    <w:p w14:paraId="35C0443B" w14:textId="77777777" w:rsidR="00CA5547" w:rsidRPr="00B845AF" w:rsidRDefault="00CA5547" w:rsidP="00CA5547">
      <w:pPr>
        <w:adjustRightInd w:val="0"/>
        <w:snapToGrid w:val="0"/>
        <w:rPr>
          <w:rFonts w:asciiTheme="minorHAnsi" w:hAnsiTheme="minorHAnsi" w:cstheme="minorHAnsi"/>
        </w:rPr>
      </w:pPr>
    </w:p>
    <w:p w14:paraId="2C065C95" w14:textId="77777777" w:rsidR="00CA5547" w:rsidRPr="00B845AF" w:rsidRDefault="00CA5547" w:rsidP="00CA5547">
      <w:pPr>
        <w:adjustRightInd w:val="0"/>
        <w:snapToGrid w:val="0"/>
        <w:rPr>
          <w:rFonts w:asciiTheme="minorHAnsi" w:hAnsiTheme="minorHAnsi" w:cstheme="minorHAnsi"/>
        </w:rPr>
      </w:pPr>
    </w:p>
    <w:p w14:paraId="0B1A8F1B" w14:textId="77777777" w:rsidR="00CA5547" w:rsidRPr="00B845AF" w:rsidRDefault="00CA5547" w:rsidP="00CA5547">
      <w:pPr>
        <w:rPr>
          <w:rFonts w:asciiTheme="minorHAnsi" w:hAnsiTheme="minorHAnsi" w:cstheme="minorHAnsi"/>
          <w:b/>
          <w:bCs/>
        </w:rPr>
      </w:pPr>
      <w:r w:rsidRPr="00B845AF">
        <w:rPr>
          <w:rFonts w:asciiTheme="minorHAnsi" w:hAnsiTheme="minorHAnsi" w:cstheme="minorHAnsi"/>
          <w:b/>
          <w:bCs/>
        </w:rPr>
        <w:br w:type="page"/>
      </w:r>
    </w:p>
    <w:p w14:paraId="14F0C385" w14:textId="77777777" w:rsidR="00CA5547" w:rsidRPr="00B845AF" w:rsidRDefault="00CA5547" w:rsidP="00CA5547">
      <w:pPr>
        <w:adjustRightInd w:val="0"/>
        <w:snapToGrid w:val="0"/>
        <w:ind w:left="-5" w:right="38"/>
        <w:rPr>
          <w:rFonts w:asciiTheme="minorHAnsi" w:hAnsiTheme="minorHAnsi" w:cstheme="minorHAnsi"/>
        </w:rPr>
      </w:pPr>
      <w:r w:rsidRPr="00B845AF">
        <w:rPr>
          <w:rFonts w:asciiTheme="minorHAnsi" w:hAnsiTheme="minorHAnsi" w:cstheme="minorHAnsi"/>
          <w:b/>
          <w:bCs/>
        </w:rPr>
        <w:lastRenderedPageBreak/>
        <w:t>Table 1</w:t>
      </w:r>
      <w:r w:rsidRPr="00B845AF">
        <w:rPr>
          <w:rFonts w:asciiTheme="minorHAnsi" w:hAnsiTheme="minorHAnsi" w:cstheme="minorHAnsi"/>
        </w:rPr>
        <w:t xml:space="preserve">. Visualization of the reporting requirements by species and </w:t>
      </w:r>
      <w:proofErr w:type="gramStart"/>
      <w:r w:rsidRPr="00B845AF">
        <w:rPr>
          <w:rFonts w:asciiTheme="minorHAnsi" w:hAnsiTheme="minorHAnsi" w:cstheme="minorHAnsi"/>
        </w:rPr>
        <w:t>area</w:t>
      </w:r>
      <w:proofErr w:type="gramEnd"/>
      <w:r w:rsidRPr="00B845AF">
        <w:rPr>
          <w:rFonts w:asciiTheme="minorHAnsi" w:hAnsiTheme="minorHAnsi" w:cstheme="minorHAnsi"/>
        </w:rPr>
        <w:t>. It should be noted that where reporting areas represent sub-areas of broader reporting areas (e.g., the WCPFC Statistical Area north of the equator (NX) and the WCPFC Statistical Area south of the equator (SX), the sum of the two should equal the catches for the WCPFC Statistical Area (WX).</w:t>
      </w:r>
      <w:r w:rsidRPr="00B845AF">
        <w:rPr>
          <w:rFonts w:asciiTheme="minorHAnsi" w:hAnsiTheme="minorHAnsi" w:cstheme="minorHAnsi"/>
          <w:noProof/>
        </w:rPr>
        <w:drawing>
          <wp:inline distT="0" distB="0" distL="0" distR="0" wp14:anchorId="78AF1BDB" wp14:editId="70CCA5EE">
            <wp:extent cx="5519420" cy="5927725"/>
            <wp:effectExtent l="0" t="0" r="5080" b="0"/>
            <wp:docPr id="11284679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519420" cy="5927725"/>
                    </a:xfrm>
                    <a:prstGeom prst="rect">
                      <a:avLst/>
                    </a:prstGeom>
                    <a:noFill/>
                    <a:ln>
                      <a:noFill/>
                    </a:ln>
                  </pic:spPr>
                </pic:pic>
              </a:graphicData>
            </a:graphic>
          </wp:inline>
        </w:drawing>
      </w:r>
    </w:p>
    <w:p w14:paraId="73898E72" w14:textId="77777777" w:rsidR="00CA5547" w:rsidRPr="00B845AF" w:rsidRDefault="00CA5547" w:rsidP="00CA5547">
      <w:pPr>
        <w:adjustRightInd w:val="0"/>
        <w:snapToGrid w:val="0"/>
        <w:ind w:left="-5" w:right="38"/>
        <w:rPr>
          <w:rFonts w:asciiTheme="minorHAnsi" w:hAnsiTheme="minorHAnsi" w:cstheme="minorHAnsi"/>
        </w:rPr>
      </w:pPr>
    </w:p>
    <w:p w14:paraId="7F2A900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For trollers targeting albacore in the Pacific Ocean south of the Equator, the following catch estimates during the fishing season (July to June) shall also be provided: </w:t>
      </w:r>
    </w:p>
    <w:p w14:paraId="1EE4CDB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AB59A1C" w14:textId="77777777" w:rsidR="00CA5547" w:rsidRPr="00B845AF" w:rsidRDefault="00CA5547" w:rsidP="00D47778">
      <w:pPr>
        <w:numPr>
          <w:ilvl w:val="0"/>
          <w:numId w:val="39"/>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catches of albacore in the Pacific Ocean south of the Equator </w:t>
      </w:r>
    </w:p>
    <w:p w14:paraId="33E604D5"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A541EFF"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lastRenderedPageBreak/>
        <w:t>Estimates of discards/releases shall also be provided for each species listed above.</w:t>
      </w:r>
      <w:r w:rsidRPr="00B845AF">
        <w:rPr>
          <w:rFonts w:asciiTheme="minorHAnsi" w:hAnsiTheme="minorHAnsi" w:cstheme="minorHAnsi"/>
          <w:vertAlign w:val="superscript"/>
        </w:rPr>
        <w:footnoteReference w:id="3"/>
      </w:r>
      <w:r w:rsidRPr="00B845AF">
        <w:rPr>
          <w:rFonts w:asciiTheme="minorHAnsi" w:hAnsiTheme="minorHAnsi" w:cstheme="minorHAnsi"/>
        </w:rPr>
        <w:t xml:space="preserve"> </w:t>
      </w:r>
    </w:p>
    <w:p w14:paraId="2835D84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4B70C1D"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Catch estimates shall also be provided for other species as determined by the Commission. </w:t>
      </w:r>
    </w:p>
    <w:p w14:paraId="6D5872B9"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5361A44"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Longline catch estimates shall be for whole weight, rather than processed weight. </w:t>
      </w:r>
    </w:p>
    <w:p w14:paraId="379A94AB" w14:textId="77777777" w:rsidR="00CA5547" w:rsidRPr="00B845AF" w:rsidRDefault="00CA5547" w:rsidP="00CA5547">
      <w:pPr>
        <w:adjustRightInd w:val="0"/>
        <w:snapToGrid w:val="0"/>
        <w:jc w:val="both"/>
        <w:rPr>
          <w:rFonts w:asciiTheme="minorHAnsi" w:hAnsiTheme="minorHAnsi" w:cstheme="minorHAnsi"/>
        </w:rPr>
      </w:pPr>
    </w:p>
    <w:p w14:paraId="4046489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All catch estimates shall be reported in metric tonnes. </w:t>
      </w:r>
    </w:p>
    <w:p w14:paraId="635C05AC"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C528D7F"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statistical methods used to estimate the annual and seasonal catches shall be reported to the Commission, with reference to the coverage rates for each type of data (e.g. operational catch and effort data, records of </w:t>
      </w:r>
      <w:proofErr w:type="spellStart"/>
      <w:r w:rsidRPr="00B845AF">
        <w:rPr>
          <w:rFonts w:asciiTheme="minorHAnsi" w:hAnsiTheme="minorHAnsi" w:cstheme="minorHAnsi"/>
        </w:rPr>
        <w:t>unloadings</w:t>
      </w:r>
      <w:proofErr w:type="spellEnd"/>
      <w:r w:rsidRPr="00B845AF">
        <w:rPr>
          <w:rFonts w:asciiTheme="minorHAnsi" w:hAnsiTheme="minorHAnsi" w:cstheme="minorHAnsi"/>
        </w:rPr>
        <w:t xml:space="preserve">, species composition sampling data) that is used to estimate the catches and to the conversion factors that are used to convert the processed weight of longline-caught fish to whole weight. </w:t>
      </w:r>
    </w:p>
    <w:p w14:paraId="660B1E3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39254EE"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In cases where 100% reporting of operational data is not available, CCMs are encouraged to provide a submission of annual catch and effort by EEZ/high seas area (referred to as ACE by EEZ), including an indication of catches inside and outside archipelagic waters. </w:t>
      </w:r>
    </w:p>
    <w:p w14:paraId="2FD11676"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3578B35" w14:textId="77777777" w:rsidR="00CA5547" w:rsidRPr="00B845AF" w:rsidRDefault="00CA5547" w:rsidP="00CA5547">
      <w:pPr>
        <w:keepNext/>
        <w:keepLines/>
        <w:tabs>
          <w:tab w:val="center" w:pos="1849"/>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2</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Number</w:t>
      </w:r>
      <w:proofErr w:type="gramEnd"/>
      <w:r w:rsidRPr="00B845AF">
        <w:rPr>
          <w:rFonts w:asciiTheme="minorHAnsi" w:eastAsiaTheme="majorEastAsia" w:hAnsiTheme="minorHAnsi" w:cstheme="minorHAnsi"/>
          <w:b/>
          <w:bCs/>
          <w:szCs w:val="22"/>
        </w:rPr>
        <w:t xml:space="preserve"> of vessels active </w:t>
      </w:r>
    </w:p>
    <w:p w14:paraId="508417AA" w14:textId="77777777" w:rsidR="00CA5547" w:rsidRPr="00B845AF" w:rsidRDefault="00CA5547" w:rsidP="00CA5547">
      <w:pPr>
        <w:adjustRightInd w:val="0"/>
        <w:snapToGrid w:val="0"/>
        <w:jc w:val="both"/>
        <w:rPr>
          <w:rFonts w:asciiTheme="minorHAnsi" w:hAnsiTheme="minorHAnsi" w:cstheme="minorHAnsi"/>
        </w:rPr>
      </w:pPr>
    </w:p>
    <w:p w14:paraId="768CC36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The number of vessels active</w:t>
      </w:r>
      <w:r w:rsidRPr="00B845AF">
        <w:rPr>
          <w:rFonts w:asciiTheme="minorHAnsi" w:hAnsiTheme="minorHAnsi" w:cstheme="minorHAnsi"/>
          <w:vertAlign w:val="superscript"/>
        </w:rPr>
        <w:footnoteReference w:id="4"/>
      </w:r>
      <w:r w:rsidRPr="00B845AF">
        <w:rPr>
          <w:rFonts w:asciiTheme="minorHAnsi" w:hAnsiTheme="minorHAnsi" w:cstheme="minorHAnsi"/>
        </w:rPr>
        <w:t xml:space="preserve"> in the WCPFC Statistical Area during each calendar year shall be provided to the Commission for each gear type. </w:t>
      </w:r>
    </w:p>
    <w:p w14:paraId="1132114E"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8CE959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For longliners, pole-and-line vessels, and purse seiners, the number of </w:t>
      </w:r>
      <w:proofErr w:type="gramStart"/>
      <w:r w:rsidRPr="00B845AF">
        <w:rPr>
          <w:rFonts w:asciiTheme="minorHAnsi" w:hAnsiTheme="minorHAnsi" w:cstheme="minorHAnsi"/>
        </w:rPr>
        <w:t>vessels active</w:t>
      </w:r>
      <w:proofErr w:type="gramEnd"/>
      <w:r w:rsidRPr="00B845AF">
        <w:rPr>
          <w:rFonts w:asciiTheme="minorHAnsi" w:hAnsiTheme="minorHAnsi" w:cstheme="minorHAnsi"/>
        </w:rPr>
        <w:t xml:space="preserve"> shall be provided by gross registered tonnage (GRT) class. The GRT classes are defined as follows: </w:t>
      </w:r>
    </w:p>
    <w:p w14:paraId="384E44F5"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DB84931" w14:textId="77777777" w:rsidR="00CA5547" w:rsidRPr="00B845AF" w:rsidRDefault="00CA5547" w:rsidP="00D47778">
      <w:pPr>
        <w:numPr>
          <w:ilvl w:val="0"/>
          <w:numId w:val="40"/>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Longline: 0–50, 51–200, 201–500, 500+ </w:t>
      </w:r>
    </w:p>
    <w:p w14:paraId="11DC9CA5"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7721020" w14:textId="77777777" w:rsidR="00CA5547" w:rsidRPr="00B845AF" w:rsidRDefault="00CA5547" w:rsidP="00D47778">
      <w:pPr>
        <w:numPr>
          <w:ilvl w:val="0"/>
          <w:numId w:val="40"/>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Pole-and-line: 0–50, 51–150, 150+ </w:t>
      </w:r>
    </w:p>
    <w:p w14:paraId="4DE17F9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EE83671" w14:textId="77777777" w:rsidR="00CA5547" w:rsidRPr="00B845AF" w:rsidRDefault="00CA5547" w:rsidP="00D47778">
      <w:pPr>
        <w:numPr>
          <w:ilvl w:val="0"/>
          <w:numId w:val="40"/>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Purse seine: 0–500, 501–1000, 1001–1500, 1500+ </w:t>
      </w:r>
    </w:p>
    <w:p w14:paraId="0D7D798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1ACCA4D"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For trollers targeting </w:t>
      </w:r>
      <w:proofErr w:type="gramStart"/>
      <w:r w:rsidRPr="00B845AF">
        <w:rPr>
          <w:rFonts w:asciiTheme="minorHAnsi" w:hAnsiTheme="minorHAnsi" w:cstheme="minorHAnsi"/>
        </w:rPr>
        <w:t>albacore</w:t>
      </w:r>
      <w:proofErr w:type="gramEnd"/>
      <w:r w:rsidRPr="00B845AF">
        <w:rPr>
          <w:rFonts w:asciiTheme="minorHAnsi" w:hAnsiTheme="minorHAnsi" w:cstheme="minorHAnsi"/>
        </w:rPr>
        <w:t xml:space="preserve">, the number of vessels active during each calendar year shall be provided for 1) the WCPFC Statistical Area south of the Equator and 2) the WCPFC Statistical Area north of the Equator. For trollers targeting albacore in the Pacific Ocean south of the Equator, the number of vessels active during the fishing season (July to June) shall be provided for 1) the WCPFC Statistical Area south of the Equator and 2) the Pacific Ocean south of the Equator. </w:t>
      </w:r>
    </w:p>
    <w:p w14:paraId="7CD9A8A9" w14:textId="77777777" w:rsidR="00CA5547" w:rsidRPr="00B845AF" w:rsidRDefault="00CA5547" w:rsidP="00CA5547">
      <w:pPr>
        <w:widowControl w:val="0"/>
        <w:adjustRightInd w:val="0"/>
        <w:snapToGrid w:val="0"/>
        <w:rPr>
          <w:rFonts w:asciiTheme="minorHAnsi" w:hAnsiTheme="minorHAnsi" w:cstheme="minorHAnsi"/>
        </w:rPr>
      </w:pPr>
      <w:r w:rsidRPr="00B845AF">
        <w:rPr>
          <w:rFonts w:asciiTheme="minorHAnsi" w:hAnsiTheme="minorHAnsi" w:cstheme="minorHAnsi"/>
        </w:rPr>
        <w:t xml:space="preserve">  </w:t>
      </w:r>
    </w:p>
    <w:p w14:paraId="4528608B" w14:textId="77777777" w:rsidR="00CA5547" w:rsidRPr="00B845AF" w:rsidRDefault="00CA5547" w:rsidP="00CA5547">
      <w:pPr>
        <w:widowControl w:val="0"/>
        <w:tabs>
          <w:tab w:val="center" w:pos="2496"/>
        </w:tabs>
        <w:adjustRightInd w:val="0"/>
        <w:snapToGrid w:val="0"/>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3</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Operational</w:t>
      </w:r>
      <w:proofErr w:type="gramEnd"/>
      <w:r w:rsidRPr="00B845AF">
        <w:rPr>
          <w:rFonts w:asciiTheme="minorHAnsi" w:eastAsiaTheme="majorEastAsia" w:hAnsiTheme="minorHAnsi" w:cstheme="minorHAnsi"/>
          <w:b/>
          <w:bCs/>
          <w:szCs w:val="22"/>
        </w:rPr>
        <w:t xml:space="preserve"> level catch and effort data </w:t>
      </w:r>
    </w:p>
    <w:p w14:paraId="390C85CB" w14:textId="77777777" w:rsidR="00CA5547" w:rsidRPr="00B845AF" w:rsidRDefault="00CA5547" w:rsidP="00CA5547">
      <w:pPr>
        <w:widowControl w:val="0"/>
        <w:adjustRightInd w:val="0"/>
        <w:snapToGrid w:val="0"/>
        <w:rPr>
          <w:rFonts w:asciiTheme="minorHAnsi" w:hAnsiTheme="minorHAnsi" w:cstheme="minorHAnsi"/>
        </w:rPr>
      </w:pPr>
      <w:r w:rsidRPr="00B845AF">
        <w:rPr>
          <w:rFonts w:asciiTheme="minorHAnsi" w:hAnsiTheme="minorHAnsi" w:cstheme="minorHAnsi"/>
          <w:b/>
          <w:i/>
        </w:rPr>
        <w:t xml:space="preserve"> </w:t>
      </w:r>
    </w:p>
    <w:p w14:paraId="307599A9"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Operational level catch and effort data (e.g. individual sets by longliners and purse seiners, and individual days fished by pole-and-line vessels and trollers shall be provided to the Commission, in accordance with the standards adopted by the Commission at its Second Regular Session. These </w:t>
      </w:r>
      <w:r w:rsidRPr="00B845AF">
        <w:rPr>
          <w:rFonts w:asciiTheme="minorHAnsi" w:hAnsiTheme="minorHAnsi" w:cstheme="minorHAnsi"/>
        </w:rPr>
        <w:lastRenderedPageBreak/>
        <w:t xml:space="preserve">are listed in Annex 1. </w:t>
      </w:r>
    </w:p>
    <w:p w14:paraId="2A94A4D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3857C2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It is recognized that certain members and cooperating non-members of the Commission may be subject to domestic legal constraints, such that they may not be able to provide operational data to the Commission until such constraints are overcome. Until such constraints are overcome, aggregated catch and effort data and size composition data, as described in (4) and (5) below, shall be provided. </w:t>
      </w:r>
    </w:p>
    <w:p w14:paraId="52F934D8" w14:textId="77777777" w:rsidR="00CA5547" w:rsidRPr="00B845AF" w:rsidRDefault="00CA5547" w:rsidP="00CA5547">
      <w:pPr>
        <w:adjustRightInd w:val="0"/>
        <w:snapToGrid w:val="0"/>
        <w:ind w:left="-5" w:right="38"/>
        <w:jc w:val="both"/>
        <w:rPr>
          <w:rFonts w:asciiTheme="minorHAnsi" w:hAnsiTheme="minorHAnsi" w:cstheme="minorHAnsi"/>
        </w:rPr>
      </w:pPr>
    </w:p>
    <w:p w14:paraId="3D6D174A"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It is also recognized that certain members and cooperating non-members of the Commission may have practical difficulties in compiling operational data for fleets comprised of small vessels, such as certain sectors of the fisheries of Indonesia, the Philippines and small island developing states. </w:t>
      </w:r>
    </w:p>
    <w:p w14:paraId="1D233D0A"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6BE96339"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Information on operational changes in the fishery that are not an attribute in the data provided is to be listed and reported with the data provision. </w:t>
      </w:r>
    </w:p>
    <w:p w14:paraId="7390838E"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A13D68D"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Annex 2 provides tables of the guidelines of operational level catch and effort data fields for longline, purse seine and pole-and-line gears </w:t>
      </w:r>
      <w:proofErr w:type="gramStart"/>
      <w:r w:rsidRPr="00B845AF">
        <w:rPr>
          <w:rFonts w:asciiTheme="minorHAnsi" w:hAnsiTheme="minorHAnsi" w:cstheme="minorHAnsi"/>
        </w:rPr>
        <w:t>in order to</w:t>
      </w:r>
      <w:proofErr w:type="gramEnd"/>
      <w:r w:rsidRPr="00B845AF">
        <w:rPr>
          <w:rFonts w:asciiTheme="minorHAnsi" w:hAnsiTheme="minorHAnsi" w:cstheme="minorHAnsi"/>
        </w:rPr>
        <w:t xml:space="preserve"> clarify and assist members in understanding the requirements of each data field and thereby facilitate the submission of data to the WCPFC. </w:t>
      </w:r>
    </w:p>
    <w:p w14:paraId="361A8B5B"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360FB60" w14:textId="77777777" w:rsidR="00CA5547" w:rsidRPr="00B845AF" w:rsidRDefault="00CA5547" w:rsidP="00CA5547">
      <w:pPr>
        <w:keepNext/>
        <w:keepLines/>
        <w:tabs>
          <w:tab w:val="center" w:pos="3910"/>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4</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Catch</w:t>
      </w:r>
      <w:proofErr w:type="gramEnd"/>
      <w:r w:rsidRPr="00B845AF">
        <w:rPr>
          <w:rFonts w:asciiTheme="minorHAnsi" w:eastAsiaTheme="majorEastAsia" w:hAnsiTheme="minorHAnsi" w:cstheme="minorHAnsi"/>
          <w:b/>
          <w:bCs/>
          <w:szCs w:val="22"/>
        </w:rPr>
        <w:t xml:space="preserve"> and effort data aggregated by </w:t>
      </w:r>
      <w:proofErr w:type="gramStart"/>
      <w:r w:rsidRPr="00B845AF">
        <w:rPr>
          <w:rFonts w:asciiTheme="minorHAnsi" w:eastAsiaTheme="majorEastAsia" w:hAnsiTheme="minorHAnsi" w:cstheme="minorHAnsi"/>
          <w:b/>
          <w:bCs/>
          <w:szCs w:val="22"/>
        </w:rPr>
        <w:t>time period</w:t>
      </w:r>
      <w:proofErr w:type="gramEnd"/>
      <w:r w:rsidRPr="00B845AF">
        <w:rPr>
          <w:rFonts w:asciiTheme="minorHAnsi" w:eastAsiaTheme="majorEastAsia" w:hAnsiTheme="minorHAnsi" w:cstheme="minorHAnsi"/>
          <w:b/>
          <w:bCs/>
          <w:szCs w:val="22"/>
        </w:rPr>
        <w:t xml:space="preserve"> and geographic area </w:t>
      </w:r>
    </w:p>
    <w:p w14:paraId="2A985922" w14:textId="77777777" w:rsidR="00CA5547" w:rsidRPr="00B845AF" w:rsidRDefault="00CA5547" w:rsidP="00CA5547">
      <w:pPr>
        <w:adjustRightInd w:val="0"/>
        <w:snapToGrid w:val="0"/>
        <w:ind w:left="-5" w:right="38"/>
        <w:jc w:val="both"/>
        <w:rPr>
          <w:rFonts w:asciiTheme="minorHAnsi" w:hAnsiTheme="minorHAnsi" w:cstheme="minorHAnsi"/>
        </w:rPr>
      </w:pPr>
    </w:p>
    <w:p w14:paraId="31A03D3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If the coverage rate of the operational catch and effort data that are provided to the Commission is less than 100%, then catch and effort data aggregated by </w:t>
      </w:r>
      <w:proofErr w:type="gramStart"/>
      <w:r w:rsidRPr="00B845AF">
        <w:rPr>
          <w:rFonts w:asciiTheme="minorHAnsi" w:hAnsiTheme="minorHAnsi" w:cstheme="minorHAnsi"/>
        </w:rPr>
        <w:t>time period</w:t>
      </w:r>
      <w:proofErr w:type="gramEnd"/>
      <w:r w:rsidRPr="00B845AF">
        <w:rPr>
          <w:rFonts w:asciiTheme="minorHAnsi" w:hAnsiTheme="minorHAnsi" w:cstheme="minorHAnsi"/>
        </w:rPr>
        <w:t xml:space="preserve"> and geographic area that have been raised to represent the total catch and effort shall be provided. If operational catch and effort data provided to the Commission represents 100% of the activity of a fishery, then raised aggregated catch and effort is not required to be submitted. </w:t>
      </w:r>
    </w:p>
    <w:p w14:paraId="6B59A5AC" w14:textId="77777777" w:rsidR="00CA5547" w:rsidRPr="00B845AF" w:rsidRDefault="00CA5547" w:rsidP="00CA5547">
      <w:pPr>
        <w:adjustRightInd w:val="0"/>
        <w:snapToGrid w:val="0"/>
        <w:ind w:left="-5" w:right="38"/>
        <w:jc w:val="both"/>
        <w:rPr>
          <w:rFonts w:asciiTheme="minorHAnsi" w:hAnsiTheme="minorHAnsi" w:cstheme="minorHAnsi"/>
        </w:rPr>
      </w:pPr>
    </w:p>
    <w:p w14:paraId="69359BE3"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Longline catch and effort data shall be aggregated by periods of month, areas of 5° longitude and 5° latitude, and number of hooks between floats. Purse-seine and </w:t>
      </w:r>
      <w:proofErr w:type="spellStart"/>
      <w:r w:rsidRPr="00B845AF">
        <w:rPr>
          <w:rFonts w:asciiTheme="minorHAnsi" w:hAnsiTheme="minorHAnsi" w:cstheme="minorHAnsi"/>
        </w:rPr>
        <w:t>ringnet</w:t>
      </w:r>
      <w:proofErr w:type="spellEnd"/>
      <w:r w:rsidRPr="00B845AF">
        <w:rPr>
          <w:rFonts w:asciiTheme="minorHAnsi" w:hAnsiTheme="minorHAnsi" w:cstheme="minorHAnsi"/>
        </w:rPr>
        <w:t xml:space="preserve"> catch and effort data shall be aggregated by periods of month, areas of 1° longitude and 1° latitude, and type of school association. Catch and effort data for other surface fisheries targeting tuna shall be aggregated by periods of month and areas of 1° longitude and 1° latitude.  </w:t>
      </w:r>
    </w:p>
    <w:p w14:paraId="48AA3C97"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5E340A0"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If the coverage rate of the operational catch and effort data that are provided to the Commission is less than 100%, then catch and effort data that have been raised to represent the total catch and effort shall also be aggregated by periods of year and areas of national jurisdiction and high seas within the WCPFC Statistical Area. </w:t>
      </w:r>
    </w:p>
    <w:p w14:paraId="3A3316D0"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4FEF77D"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The statistical methods that are used to derive the aggregated catch and effort data shall be reported to the Commission, with reference to the coverage rates of the operational catch and effort data, and the types of data and method used to raise the catch and effort data. </w:t>
      </w:r>
    </w:p>
    <w:p w14:paraId="54694CA7"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66AE7F21"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CCMs are to provide, to the extent possible, the number of individual vessels per stratum and area covered by their operational data with the aggregated catch and effort data they submit to the Commission. </w:t>
      </w:r>
    </w:p>
    <w:p w14:paraId="4F4FF45F"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95EC31E"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lastRenderedPageBreak/>
        <w:t xml:space="preserve">Information on operational changes in the fishery that are not an attribute in the data provided is to be listed and reported with the data provision. </w:t>
      </w:r>
    </w:p>
    <w:p w14:paraId="5370313C" w14:textId="77777777" w:rsidR="00CA5547" w:rsidRPr="00B845AF" w:rsidRDefault="00CA5547" w:rsidP="00CA5547">
      <w:pPr>
        <w:adjustRightInd w:val="0"/>
        <w:snapToGrid w:val="0"/>
        <w:jc w:val="both"/>
        <w:rPr>
          <w:rFonts w:asciiTheme="minorHAnsi" w:hAnsiTheme="minorHAnsi" w:cstheme="minorHAnsi"/>
        </w:rPr>
      </w:pPr>
    </w:p>
    <w:p w14:paraId="121DB4C0" w14:textId="77777777" w:rsidR="00CA5547" w:rsidRPr="00B845AF" w:rsidRDefault="00CA5547" w:rsidP="00CA5547">
      <w:pPr>
        <w:keepNext/>
        <w:keepLines/>
        <w:tabs>
          <w:tab w:val="center" w:pos="1717"/>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5</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Size</w:t>
      </w:r>
      <w:proofErr w:type="gramEnd"/>
      <w:r w:rsidRPr="00B845AF">
        <w:rPr>
          <w:rFonts w:asciiTheme="minorHAnsi" w:eastAsiaTheme="majorEastAsia" w:hAnsiTheme="minorHAnsi" w:cstheme="minorHAnsi"/>
          <w:b/>
          <w:bCs/>
          <w:szCs w:val="22"/>
        </w:rPr>
        <w:t xml:space="preserve"> composition data </w:t>
      </w:r>
    </w:p>
    <w:p w14:paraId="18ABD716" w14:textId="77777777" w:rsidR="00CA5547" w:rsidRPr="00B845AF" w:rsidRDefault="00CA5547" w:rsidP="00CA5547">
      <w:pPr>
        <w:adjustRightInd w:val="0"/>
        <w:snapToGrid w:val="0"/>
        <w:ind w:left="-5" w:right="38"/>
        <w:jc w:val="both"/>
        <w:rPr>
          <w:rFonts w:asciiTheme="minorHAnsi" w:hAnsiTheme="minorHAnsi" w:cstheme="minorHAnsi"/>
        </w:rPr>
      </w:pPr>
    </w:p>
    <w:p w14:paraId="1367165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Length and/or weight composition data that are representative of catches by the fisheries shall be provided to the Commission at the finest possible resolution of </w:t>
      </w:r>
      <w:proofErr w:type="gramStart"/>
      <w:r w:rsidRPr="00B845AF">
        <w:rPr>
          <w:rFonts w:asciiTheme="minorHAnsi" w:hAnsiTheme="minorHAnsi" w:cstheme="minorHAnsi"/>
        </w:rPr>
        <w:t>time period</w:t>
      </w:r>
      <w:proofErr w:type="gramEnd"/>
      <w:r w:rsidRPr="00B845AF">
        <w:rPr>
          <w:rFonts w:asciiTheme="minorHAnsi" w:hAnsiTheme="minorHAnsi" w:cstheme="minorHAnsi"/>
        </w:rPr>
        <w:t xml:space="preserve"> and geographic area and at least as fine as periods of </w:t>
      </w:r>
      <w:proofErr w:type="gramStart"/>
      <w:r w:rsidRPr="00B845AF">
        <w:rPr>
          <w:rFonts w:asciiTheme="minorHAnsi" w:hAnsiTheme="minorHAnsi" w:cstheme="minorHAnsi"/>
        </w:rPr>
        <w:t>quarter</w:t>
      </w:r>
      <w:proofErr w:type="gramEnd"/>
      <w:r w:rsidRPr="00B845AF">
        <w:rPr>
          <w:rFonts w:asciiTheme="minorHAnsi" w:hAnsiTheme="minorHAnsi" w:cstheme="minorHAnsi"/>
        </w:rPr>
        <w:t xml:space="preserve"> and areas of 20° longitude and 10° latitude. </w:t>
      </w:r>
    </w:p>
    <w:p w14:paraId="74D12660"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6BA2D1C"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length size class intervals are defined as follows: </w:t>
      </w:r>
    </w:p>
    <w:p w14:paraId="7F6144F0"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19EAD1D"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Skipjack tuna – 1cm </w:t>
      </w:r>
    </w:p>
    <w:p w14:paraId="4F640A2D"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Albacore tuna – 1cm </w:t>
      </w:r>
    </w:p>
    <w:p w14:paraId="4BE7359E"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Yellowfin tuna – ideally 1cm, but not more than 2 cm </w:t>
      </w:r>
    </w:p>
    <w:p w14:paraId="0000BD01"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Bigeye tuna – ideally 1cm, but not more than 2 cm </w:t>
      </w:r>
    </w:p>
    <w:p w14:paraId="375F713B"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Billfish – ideally 1cm, but not more than 5 cm </w:t>
      </w:r>
    </w:p>
    <w:p w14:paraId="6387C22B" w14:textId="77777777" w:rsidR="00CA5547" w:rsidRPr="00B845AF" w:rsidRDefault="00CA5547" w:rsidP="00CA5547">
      <w:pPr>
        <w:adjustRightInd w:val="0"/>
        <w:snapToGrid w:val="0"/>
        <w:ind w:left="720"/>
        <w:jc w:val="both"/>
        <w:rPr>
          <w:rFonts w:asciiTheme="minorHAnsi" w:hAnsiTheme="minorHAnsi" w:cstheme="minorHAnsi"/>
        </w:rPr>
      </w:pPr>
      <w:r w:rsidRPr="00B845AF">
        <w:rPr>
          <w:rFonts w:asciiTheme="minorHAnsi" w:hAnsiTheme="minorHAnsi" w:cstheme="minorHAnsi"/>
        </w:rPr>
        <w:t xml:space="preserve"> </w:t>
      </w:r>
    </w:p>
    <w:p w14:paraId="6A30DC29"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weight size class intervals are defined as follows: </w:t>
      </w:r>
    </w:p>
    <w:p w14:paraId="6F7B0A5A" w14:textId="77777777" w:rsidR="00CA5547" w:rsidRPr="00B845AF" w:rsidRDefault="00CA5547" w:rsidP="00CA5547">
      <w:pPr>
        <w:adjustRightInd w:val="0"/>
        <w:snapToGrid w:val="0"/>
        <w:ind w:left="720"/>
        <w:jc w:val="both"/>
        <w:rPr>
          <w:rFonts w:asciiTheme="minorHAnsi" w:hAnsiTheme="minorHAnsi" w:cstheme="minorHAnsi"/>
        </w:rPr>
      </w:pPr>
      <w:r w:rsidRPr="00B845AF">
        <w:rPr>
          <w:rFonts w:asciiTheme="minorHAnsi" w:hAnsiTheme="minorHAnsi" w:cstheme="minorHAnsi"/>
        </w:rPr>
        <w:t xml:space="preserve"> </w:t>
      </w:r>
    </w:p>
    <w:p w14:paraId="5E490964"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Tuna and Billfish species - 1kg </w:t>
      </w:r>
    </w:p>
    <w:p w14:paraId="32FA345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3B6E6D7"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CCMs shall indicate whether lengths and/or weights are rounded up or rounded down to the unit specified. </w:t>
      </w:r>
    </w:p>
    <w:p w14:paraId="5AC29BE6"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6E39F9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statistical and sampling methods that are used to derive the size composition data shall be reported to the Commission, including reference to whether sampling was at the level of fishing operation or during unloading, details of the protocol used, and the methods and reasons for any adjustments to the size data.  Where feasible, this shall also be applied to all historical data. </w:t>
      </w:r>
    </w:p>
    <w:p w14:paraId="156D75CA"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34C8074"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Information on operational changes in the fishery that are not an attribute in the data provided is to be reported with the data provision.  This information pertains to:</w:t>
      </w:r>
    </w:p>
    <w:p w14:paraId="48E8B336" w14:textId="77777777" w:rsidR="00CA5547" w:rsidRPr="00B845AF" w:rsidRDefault="00CA5547" w:rsidP="00CA5547">
      <w:pPr>
        <w:adjustRightInd w:val="0"/>
        <w:snapToGrid w:val="0"/>
        <w:ind w:left="-5" w:right="38"/>
        <w:jc w:val="both"/>
        <w:rPr>
          <w:rFonts w:asciiTheme="minorHAnsi" w:hAnsiTheme="minorHAnsi" w:cstheme="minorHAnsi"/>
        </w:rPr>
      </w:pPr>
    </w:p>
    <w:p w14:paraId="22300CFD"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The type of platform/location where fish were measured;</w:t>
      </w:r>
    </w:p>
    <w:p w14:paraId="286F0EBE"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The role/position of the individual(s) responsible for data collection;</w:t>
      </w:r>
    </w:p>
    <w:p w14:paraId="479557C7"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Whether or not the catch was pre-sorted or graded prior to sampling;</w:t>
      </w:r>
    </w:p>
    <w:p w14:paraId="47555571"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Whether or not a measurement device was used to measure </w:t>
      </w:r>
      <w:r w:rsidRPr="00B845AF">
        <w:rPr>
          <w:rFonts w:asciiTheme="minorHAnsi" w:hAnsiTheme="minorHAnsi" w:cstheme="minorHAnsi"/>
          <w:b/>
          <w:bCs/>
        </w:rPr>
        <w:t>all</w:t>
      </w:r>
      <w:r w:rsidRPr="00B845AF">
        <w:rPr>
          <w:rFonts w:asciiTheme="minorHAnsi" w:hAnsiTheme="minorHAnsi" w:cstheme="minorHAnsi"/>
        </w:rPr>
        <w:t xml:space="preserve"> fish sampled, and if so, details about the measurement device(s) used;</w:t>
      </w:r>
    </w:p>
    <w:p w14:paraId="2FBBBC53"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Whether or not the size data sampling follows an establish protocol;</w:t>
      </w:r>
    </w:p>
    <w:p w14:paraId="503481AF"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Details about training or quality control measures in place;</w:t>
      </w:r>
    </w:p>
    <w:p w14:paraId="096005FF"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Whether or not standard SPC measurement codes have been used in the data provision;</w:t>
      </w:r>
    </w:p>
    <w:p w14:paraId="43D2BEEF"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Whether or not size data are reported in their raw measured form (i.e., no conversion factors applied), and if not, what conversion factors have been applied to the size data; and</w:t>
      </w:r>
    </w:p>
    <w:p w14:paraId="06F3B29D" w14:textId="77777777" w:rsidR="00CA5547" w:rsidRPr="00B845AF" w:rsidRDefault="00CA5547" w:rsidP="00D47778">
      <w:pPr>
        <w:numPr>
          <w:ilvl w:val="0"/>
          <w:numId w:val="34"/>
        </w:numPr>
        <w:adjustRightInd w:val="0"/>
        <w:snapToGrid w:val="0"/>
        <w:ind w:right="38"/>
        <w:jc w:val="both"/>
        <w:rPr>
          <w:rFonts w:asciiTheme="minorHAnsi" w:hAnsiTheme="minorHAnsi" w:cstheme="minorHAnsi"/>
        </w:rPr>
      </w:pPr>
      <w:r w:rsidRPr="00B845AF">
        <w:rPr>
          <w:rFonts w:asciiTheme="minorHAnsi" w:hAnsiTheme="minorHAnsi" w:cstheme="minorHAnsi"/>
        </w:rPr>
        <w:t>The contact information for the preferred individual to follow up on.</w:t>
      </w:r>
    </w:p>
    <w:p w14:paraId="4E17F811" w14:textId="77777777" w:rsidR="00CA5547" w:rsidRPr="00B845AF" w:rsidRDefault="00CA5547" w:rsidP="00CA5547">
      <w:pPr>
        <w:adjustRightInd w:val="0"/>
        <w:snapToGrid w:val="0"/>
        <w:jc w:val="both"/>
        <w:rPr>
          <w:rFonts w:asciiTheme="minorHAnsi" w:hAnsiTheme="minorHAnsi" w:cstheme="minorHAnsi"/>
        </w:rPr>
      </w:pPr>
    </w:p>
    <w:p w14:paraId="08948583" w14:textId="77777777" w:rsidR="00CA5547" w:rsidRPr="00B845AF" w:rsidRDefault="00CA5547" w:rsidP="00CA5547">
      <w:pPr>
        <w:keepNext/>
        <w:keepLines/>
        <w:tabs>
          <w:tab w:val="center" w:pos="2604"/>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6.            Data submission process</w:t>
      </w:r>
    </w:p>
    <w:p w14:paraId="44D2A431" w14:textId="77777777" w:rsidR="00CA5547" w:rsidRPr="00B845AF" w:rsidRDefault="00CA5547" w:rsidP="00CA5547">
      <w:pPr>
        <w:adjustRightInd w:val="0"/>
        <w:snapToGrid w:val="0"/>
        <w:jc w:val="both"/>
        <w:rPr>
          <w:rFonts w:asciiTheme="minorHAnsi" w:hAnsiTheme="minorHAnsi" w:cstheme="minorHAnsi"/>
        </w:rPr>
      </w:pPr>
    </w:p>
    <w:p w14:paraId="5FF1CF1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lastRenderedPageBreak/>
        <w:t>Data provisions outlined in paras 1-5 of this document shall be submitted using the standardized data submission forms (unless reported through an integrated electronic reporting system; e.g., Tufman2, iFIMS) and the data submission portal available through the WCPFC website.</w:t>
      </w:r>
    </w:p>
    <w:p w14:paraId="5AA225F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Data submission template repository is available at: </w:t>
      </w:r>
      <w:hyperlink r:id="rId115" w:history="1">
        <w:r w:rsidRPr="00B845AF">
          <w:rPr>
            <w:rFonts w:asciiTheme="minorHAnsi" w:eastAsiaTheme="majorEastAsia" w:hAnsiTheme="minorHAnsi" w:cstheme="minorHAnsi"/>
            <w:color w:val="0000FF"/>
            <w:u w:val="single"/>
          </w:rPr>
          <w:t>https://pacificcommunity.github.io/scidata-standard/.</w:t>
        </w:r>
      </w:hyperlink>
    </w:p>
    <w:p w14:paraId="1996ECDE" w14:textId="77777777" w:rsidR="00CA5547" w:rsidRPr="00B845AF" w:rsidRDefault="00CA5547" w:rsidP="00CA5547">
      <w:pPr>
        <w:adjustRightInd w:val="0"/>
        <w:snapToGrid w:val="0"/>
        <w:jc w:val="both"/>
        <w:rPr>
          <w:rFonts w:asciiTheme="minorHAnsi" w:hAnsiTheme="minorHAnsi" w:cstheme="minorHAnsi"/>
        </w:rPr>
      </w:pPr>
    </w:p>
    <w:p w14:paraId="4E09B15A" w14:textId="77777777" w:rsidR="00CA5547" w:rsidRPr="00B845AF" w:rsidRDefault="00CA5547" w:rsidP="00CA5547">
      <w:pPr>
        <w:keepNext/>
        <w:keepLines/>
        <w:tabs>
          <w:tab w:val="center" w:pos="2604"/>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7</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The</w:t>
      </w:r>
      <w:proofErr w:type="gramEnd"/>
      <w:r w:rsidRPr="00B845AF">
        <w:rPr>
          <w:rFonts w:asciiTheme="minorHAnsi" w:eastAsiaTheme="majorEastAsia" w:hAnsiTheme="minorHAnsi" w:cstheme="minorHAnsi"/>
          <w:b/>
          <w:bCs/>
          <w:szCs w:val="22"/>
        </w:rPr>
        <w:t xml:space="preserve"> roles of flag states and coastal states </w:t>
      </w:r>
    </w:p>
    <w:p w14:paraId="64E5A614" w14:textId="77777777" w:rsidR="00CA5547" w:rsidRPr="00B845AF" w:rsidRDefault="00CA5547" w:rsidP="00CA5547">
      <w:pPr>
        <w:adjustRightInd w:val="0"/>
        <w:snapToGrid w:val="0"/>
        <w:ind w:left="-5" w:right="38"/>
        <w:jc w:val="both"/>
        <w:rPr>
          <w:rFonts w:asciiTheme="minorHAnsi" w:hAnsiTheme="minorHAnsi" w:cstheme="minorHAnsi"/>
        </w:rPr>
      </w:pPr>
    </w:p>
    <w:p w14:paraId="59214C0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Flag CCMs shall be responsible for providing to the Commission scientific data covering vessels they have flagged, except for vessels operating under joint-venture or charter arrangements with another state such that the vessels operate, for all intents and purposes, as local vessels of the other state, in which case the other state shall be responsible for the provision of data to the Commission. </w:t>
      </w:r>
    </w:p>
    <w:p w14:paraId="6D6F28B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C7A1C2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It is recognized that the ability of flag States or entities to provide scientific data to the Commission may be constrained by the terms of bilateral or regional arrangements, such as the Treaty on Fisheries Between the Governments of Certain Pacific Island States and the Government of the United States of America. </w:t>
      </w:r>
    </w:p>
    <w:p w14:paraId="53978B3E"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7C59965"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Scientific data compiled by coastal states </w:t>
      </w:r>
      <w:proofErr w:type="gramStart"/>
      <w:r w:rsidRPr="00B845AF">
        <w:rPr>
          <w:rFonts w:asciiTheme="minorHAnsi" w:hAnsiTheme="minorHAnsi" w:cstheme="minorHAnsi"/>
        </w:rPr>
        <w:t>shall</w:t>
      </w:r>
      <w:proofErr w:type="gramEnd"/>
      <w:r w:rsidRPr="00B845AF">
        <w:rPr>
          <w:rFonts w:asciiTheme="minorHAnsi" w:hAnsiTheme="minorHAnsi" w:cstheme="minorHAnsi"/>
        </w:rPr>
        <w:t xml:space="preserve"> also be provided to the Commission. </w:t>
      </w:r>
    </w:p>
    <w:p w14:paraId="729AA9A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26B7683" w14:textId="77777777" w:rsidR="00CA5547" w:rsidRPr="00B845AF" w:rsidRDefault="00CA5547" w:rsidP="00CA5547">
      <w:pPr>
        <w:keepNext/>
        <w:keepLines/>
        <w:tabs>
          <w:tab w:val="center" w:pos="3443"/>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8</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Time</w:t>
      </w:r>
      <w:proofErr w:type="gramEnd"/>
      <w:r w:rsidRPr="00B845AF">
        <w:rPr>
          <w:rFonts w:asciiTheme="minorHAnsi" w:eastAsiaTheme="majorEastAsia" w:hAnsiTheme="minorHAnsi" w:cstheme="minorHAnsi"/>
          <w:b/>
          <w:bCs/>
          <w:szCs w:val="22"/>
        </w:rPr>
        <w:t xml:space="preserve"> periods covered and schedule for the provision of data </w:t>
      </w:r>
    </w:p>
    <w:p w14:paraId="5FAE4965" w14:textId="77777777" w:rsidR="00CA5547" w:rsidRPr="00B845AF" w:rsidRDefault="00CA5547" w:rsidP="00CA5547">
      <w:pPr>
        <w:adjustRightInd w:val="0"/>
        <w:snapToGrid w:val="0"/>
        <w:ind w:left="-5" w:right="38"/>
        <w:jc w:val="both"/>
        <w:rPr>
          <w:rFonts w:asciiTheme="minorHAnsi" w:hAnsiTheme="minorHAnsi" w:cstheme="minorHAnsi"/>
        </w:rPr>
      </w:pPr>
    </w:p>
    <w:p w14:paraId="3C427E4F"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Estimates of annual or seasonal catches should be provided to the Commission from 1950 onwards or, if the fleet began operating after 1950, from the year in which the fleet began operating. </w:t>
      </w:r>
    </w:p>
    <w:p w14:paraId="5DF475A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651DF5C"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Operational catch and effort data, and size composition data, should be provided for all years, starting with the first year for which the data are available. </w:t>
      </w:r>
    </w:p>
    <w:p w14:paraId="0DF28A8A"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CB999DD"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For all gear types, except trollers targeting albacore in the Pacific Ocean south of the Equator, estimates of annual catches, the number of vessels active, catch and effort data, and size composition data, covering a calendar year shall be provided by April 30 of the year following the calendar year (e.g. data covering calendar year “x” shall be provided by 30 April of year “x+1”).  </w:t>
      </w:r>
    </w:p>
    <w:p w14:paraId="675082EF"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6BBE7E3"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For trollers targeting albacore in the Pacific Ocean south of the Equator, estimates of annual catches, the number of vessels active, catch and effort data, and size composition data, covering a fishing season (July to June) shall be provided by April 30 of the year following the year in which the season ends (e.g. data covering the season from July of year “x” to June of year “x+1” shall be provided by 30 April of year “x+2”). </w:t>
      </w:r>
    </w:p>
    <w:p w14:paraId="41BBB9DE"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9D661A6"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Estimates of annual catches, the number of </w:t>
      </w:r>
      <w:proofErr w:type="gramStart"/>
      <w:r w:rsidRPr="00B845AF">
        <w:rPr>
          <w:rFonts w:asciiTheme="minorHAnsi" w:hAnsiTheme="minorHAnsi" w:cstheme="minorHAnsi"/>
        </w:rPr>
        <w:t>vessels active</w:t>
      </w:r>
      <w:proofErr w:type="gramEnd"/>
      <w:r w:rsidRPr="00B845AF">
        <w:rPr>
          <w:rFonts w:asciiTheme="minorHAnsi" w:hAnsiTheme="minorHAnsi" w:cstheme="minorHAnsi"/>
        </w:rPr>
        <w:t xml:space="preserve">, catch and effort data, and size composition data should be revised, and the revisions provided to the Commission, as additional data become available. </w:t>
      </w:r>
    </w:p>
    <w:p w14:paraId="106CFBA5" w14:textId="77777777" w:rsidR="00CA5547" w:rsidRPr="00B845AF" w:rsidRDefault="00CA5547" w:rsidP="00CA5547">
      <w:pPr>
        <w:widowControl w:val="0"/>
        <w:adjustRightInd w:val="0"/>
        <w:snapToGrid w:val="0"/>
        <w:jc w:val="both"/>
        <w:rPr>
          <w:rFonts w:asciiTheme="minorHAnsi" w:hAnsiTheme="minorHAnsi" w:cstheme="minorHAnsi"/>
        </w:rPr>
      </w:pPr>
    </w:p>
    <w:p w14:paraId="3FFE905B" w14:textId="77777777" w:rsidR="00CA5547" w:rsidRPr="00B845AF" w:rsidRDefault="00CA5547" w:rsidP="00CA5547">
      <w:pPr>
        <w:widowControl w:val="0"/>
        <w:tabs>
          <w:tab w:val="center" w:pos="2531"/>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9</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Definition</w:t>
      </w:r>
      <w:proofErr w:type="gramEnd"/>
      <w:r w:rsidRPr="00B845AF">
        <w:rPr>
          <w:rFonts w:asciiTheme="minorHAnsi" w:eastAsiaTheme="majorEastAsia" w:hAnsiTheme="minorHAnsi" w:cstheme="minorHAnsi"/>
          <w:b/>
          <w:bCs/>
          <w:szCs w:val="22"/>
        </w:rPr>
        <w:t xml:space="preserve"> of the WCPFC Statistical Area </w:t>
      </w:r>
    </w:p>
    <w:p w14:paraId="23F4BB5E" w14:textId="77777777" w:rsidR="00CA5547" w:rsidRPr="00B845AF" w:rsidRDefault="00CA5547" w:rsidP="00CA5547">
      <w:pPr>
        <w:widowControl w:val="0"/>
        <w:adjustRightInd w:val="0"/>
        <w:snapToGrid w:val="0"/>
        <w:ind w:left="-5" w:right="38"/>
        <w:jc w:val="both"/>
        <w:rPr>
          <w:rFonts w:asciiTheme="minorHAnsi" w:hAnsiTheme="minorHAnsi" w:cstheme="minorHAnsi"/>
        </w:rPr>
      </w:pPr>
    </w:p>
    <w:p w14:paraId="7EC4C37C"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WCPFC Statistical Area is defined as follows: from the south coast of Australia due south along </w:t>
      </w:r>
      <w:r w:rsidRPr="00B845AF">
        <w:rPr>
          <w:rFonts w:asciiTheme="minorHAnsi" w:hAnsiTheme="minorHAnsi" w:cstheme="minorHAnsi"/>
        </w:rPr>
        <w:lastRenderedPageBreak/>
        <w:t xml:space="preserve">the 141° meridian of east longitude to its intersection with the 55° parallel of south latitude; thence, due east along the 55° parallel of south latitude to its intersection with the 150° meridian of east longitude; thence, due south along the 150° meridian of east longitude to its intersection with the 60° parallel of south latitude; thence, due east along the 60° parallel of south latitude to its intersection with the 130° meridian of west longitude; thence, due north along the 130° meridian of west longitude to its intersection with the 4° parallel of south latitude; thence, due west along the 4° parallel of south latitude to its intersection with the 150° meridian of west longitude; thence, due north along the 150° meridian of west longitude; and from the north coast of Australia due north along the 129° meridian of east longitude to its intersection with the 8° parallel of south latitude, thence due west along the 8° parallel of south latitude to the Indonesian archipelago; and from the Indonesian peninsula due east along the 2°30′ parallel of north latitude to the Malaysian peninsula. </w:t>
      </w:r>
    </w:p>
    <w:p w14:paraId="5D8C710B"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6FD99CB8" w14:textId="77777777" w:rsidR="00CA5547" w:rsidRPr="00B845AF" w:rsidRDefault="00CA5547" w:rsidP="00CA5547">
      <w:pPr>
        <w:widowControl w:val="0"/>
        <w:tabs>
          <w:tab w:val="center" w:pos="3208"/>
        </w:tabs>
        <w:adjustRightInd w:val="0"/>
        <w:snapToGrid w:val="0"/>
        <w:ind w:left="-1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t>10</w:t>
      </w:r>
      <w:proofErr w:type="gramStart"/>
      <w:r w:rsidRPr="00B845AF">
        <w:rPr>
          <w:rFonts w:asciiTheme="minorHAnsi" w:eastAsiaTheme="majorEastAsia" w:hAnsiTheme="minorHAnsi" w:cstheme="minorHAnsi"/>
          <w:b/>
          <w:bCs/>
          <w:szCs w:val="22"/>
        </w:rPr>
        <w:t xml:space="preserve">. </w:t>
      </w:r>
      <w:r w:rsidRPr="00B845AF">
        <w:rPr>
          <w:rFonts w:asciiTheme="minorHAnsi" w:eastAsiaTheme="majorEastAsia" w:hAnsiTheme="minorHAnsi" w:cstheme="minorHAnsi"/>
          <w:b/>
          <w:bCs/>
          <w:szCs w:val="22"/>
        </w:rPr>
        <w:tab/>
        <w:t>Periodic</w:t>
      </w:r>
      <w:proofErr w:type="gramEnd"/>
      <w:r w:rsidRPr="00B845AF">
        <w:rPr>
          <w:rFonts w:asciiTheme="minorHAnsi" w:eastAsiaTheme="majorEastAsia" w:hAnsiTheme="minorHAnsi" w:cstheme="minorHAnsi"/>
          <w:b/>
          <w:bCs/>
          <w:szCs w:val="22"/>
        </w:rPr>
        <w:t xml:space="preserve"> reviews of the requirements for scientific data </w:t>
      </w:r>
    </w:p>
    <w:p w14:paraId="0A5E2400" w14:textId="77777777" w:rsidR="00CA5547" w:rsidRPr="00B845AF" w:rsidRDefault="00CA5547" w:rsidP="00CA5547">
      <w:pPr>
        <w:widowControl w:val="0"/>
        <w:adjustRightInd w:val="0"/>
        <w:snapToGrid w:val="0"/>
        <w:ind w:left="-5" w:right="38"/>
        <w:jc w:val="both"/>
        <w:rPr>
          <w:rFonts w:asciiTheme="minorHAnsi" w:hAnsiTheme="minorHAnsi" w:cstheme="minorHAnsi"/>
        </w:rPr>
      </w:pPr>
    </w:p>
    <w:p w14:paraId="5897CFDE"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Commission, through its Scientific Committee, shall periodically review the requirements for scientific data and shall provide the Commission with revised versions of this recommendation, as appropriate. </w:t>
      </w:r>
    </w:p>
    <w:p w14:paraId="530E568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r w:rsidRPr="00B845AF">
        <w:rPr>
          <w:rFonts w:asciiTheme="minorHAnsi" w:hAnsiTheme="minorHAnsi" w:cstheme="minorHAnsi"/>
        </w:rPr>
        <w:br w:type="page"/>
      </w:r>
    </w:p>
    <w:p w14:paraId="6819916A" w14:textId="77777777" w:rsidR="00CA5547" w:rsidRPr="00B845AF" w:rsidRDefault="00CA5547" w:rsidP="00CA5547">
      <w:pPr>
        <w:keepNext/>
        <w:keepLines/>
        <w:adjustRightInd w:val="0"/>
        <w:snapToGrid w:val="0"/>
        <w:ind w:left="-5"/>
        <w:jc w:val="both"/>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lastRenderedPageBreak/>
        <w:t xml:space="preserve">Annex 1.  Standards for the Provision of Operational Level Catch and Effort Data  </w:t>
      </w:r>
    </w:p>
    <w:p w14:paraId="37EC87B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b/>
        </w:rPr>
        <w:t xml:space="preserve"> </w:t>
      </w:r>
    </w:p>
    <w:p w14:paraId="081E78A1" w14:textId="77777777" w:rsidR="00CA5547" w:rsidRPr="00B845AF" w:rsidRDefault="00CA5547" w:rsidP="00CA5547">
      <w:pPr>
        <w:tabs>
          <w:tab w:val="center" w:pos="3105"/>
        </w:tabs>
        <w:adjustRightInd w:val="0"/>
        <w:snapToGrid w:val="0"/>
        <w:ind w:left="-15"/>
        <w:jc w:val="both"/>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000000"/>
          <w:lang w:eastAsia="ja-JP"/>
        </w:rPr>
        <w:t>1</w:t>
      </w:r>
      <w:proofErr w:type="gramStart"/>
      <w:r w:rsidRPr="00B845AF">
        <w:rPr>
          <w:rFonts w:asciiTheme="minorHAnsi" w:eastAsia="MS Mincho" w:hAnsiTheme="minorHAnsi" w:cstheme="minorHAnsi"/>
          <w:b/>
          <w:color w:val="000000"/>
          <w:lang w:eastAsia="ja-JP"/>
        </w:rPr>
        <w:t xml:space="preserve">. </w:t>
      </w:r>
      <w:r w:rsidRPr="00B845AF">
        <w:rPr>
          <w:rFonts w:asciiTheme="minorHAnsi" w:eastAsia="MS Mincho" w:hAnsiTheme="minorHAnsi" w:cstheme="minorHAnsi"/>
          <w:b/>
          <w:color w:val="000000"/>
          <w:lang w:eastAsia="ja-JP"/>
        </w:rPr>
        <w:tab/>
        <w:t>Data</w:t>
      </w:r>
      <w:proofErr w:type="gramEnd"/>
      <w:r w:rsidRPr="00B845AF">
        <w:rPr>
          <w:rFonts w:asciiTheme="minorHAnsi" w:eastAsia="MS Mincho" w:hAnsiTheme="minorHAnsi" w:cstheme="minorHAnsi"/>
          <w:b/>
          <w:color w:val="000000"/>
          <w:lang w:eastAsia="ja-JP"/>
        </w:rPr>
        <w:t xml:space="preserve"> items that shall be reported to the Commission </w:t>
      </w:r>
    </w:p>
    <w:p w14:paraId="14067E79"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82EB475" w14:textId="77777777" w:rsidR="00CA5547" w:rsidRPr="00B845AF" w:rsidRDefault="00CA5547" w:rsidP="00CA5547">
      <w:pPr>
        <w:tabs>
          <w:tab w:val="center" w:pos="2281"/>
        </w:tabs>
        <w:adjustRightInd w:val="0"/>
        <w:snapToGrid w:val="0"/>
        <w:ind w:left="-15"/>
        <w:jc w:val="both"/>
        <w:rPr>
          <w:rFonts w:asciiTheme="minorHAnsi" w:hAnsiTheme="minorHAnsi" w:cstheme="minorHAnsi"/>
        </w:rPr>
      </w:pPr>
      <w:r w:rsidRPr="00B845AF">
        <w:rPr>
          <w:rFonts w:asciiTheme="minorHAnsi" w:hAnsiTheme="minorHAnsi" w:cstheme="minorHAnsi"/>
        </w:rPr>
        <w:t>1.1</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Vessel identifiers, for all gear types </w:t>
      </w:r>
    </w:p>
    <w:p w14:paraId="12CDD7CE"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DDCB18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Name of the vessel</w:t>
      </w:r>
      <w:r w:rsidRPr="00B845AF">
        <w:rPr>
          <w:rFonts w:asciiTheme="minorHAnsi" w:hAnsiTheme="minorHAnsi" w:cstheme="minorHAnsi"/>
        </w:rPr>
        <w:t xml:space="preserve">, </w:t>
      </w:r>
      <w:r w:rsidRPr="00B845AF">
        <w:rPr>
          <w:rFonts w:asciiTheme="minorHAnsi" w:hAnsiTheme="minorHAnsi" w:cstheme="minorHAnsi"/>
          <w:u w:val="single"/>
        </w:rPr>
        <w:t>country of registration</w:t>
      </w:r>
      <w:r w:rsidRPr="00B845AF">
        <w:rPr>
          <w:rFonts w:asciiTheme="minorHAnsi" w:hAnsiTheme="minorHAnsi" w:cstheme="minorHAnsi"/>
        </w:rPr>
        <w:t xml:space="preserve">, </w:t>
      </w:r>
      <w:r w:rsidRPr="00B845AF">
        <w:rPr>
          <w:rFonts w:asciiTheme="minorHAnsi" w:hAnsiTheme="minorHAnsi" w:cstheme="minorHAnsi"/>
          <w:u w:val="single"/>
        </w:rPr>
        <w:t>registration number</w:t>
      </w:r>
      <w:r w:rsidRPr="00B845AF">
        <w:rPr>
          <w:rFonts w:asciiTheme="minorHAnsi" w:hAnsiTheme="minorHAnsi" w:cstheme="minorHAnsi"/>
        </w:rPr>
        <w:t xml:space="preserve">, and </w:t>
      </w:r>
      <w:r w:rsidRPr="00B845AF">
        <w:rPr>
          <w:rFonts w:asciiTheme="minorHAnsi" w:hAnsiTheme="minorHAnsi" w:cstheme="minorHAnsi"/>
          <w:u w:val="single"/>
        </w:rPr>
        <w:t>international radio call sign</w:t>
      </w:r>
      <w:r w:rsidRPr="00B845AF">
        <w:rPr>
          <w:rFonts w:asciiTheme="minorHAnsi" w:hAnsiTheme="minorHAnsi" w:cstheme="minorHAnsi"/>
        </w:rPr>
        <w:t xml:space="preserve">: 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p w14:paraId="1692A07F"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223DAB7" w14:textId="77777777" w:rsidR="00CA5547" w:rsidRPr="00B845AF" w:rsidRDefault="00CA5547" w:rsidP="00CA5547">
      <w:pPr>
        <w:tabs>
          <w:tab w:val="center" w:pos="2252"/>
        </w:tabs>
        <w:adjustRightInd w:val="0"/>
        <w:snapToGrid w:val="0"/>
        <w:ind w:left="-15"/>
        <w:jc w:val="both"/>
        <w:rPr>
          <w:rFonts w:asciiTheme="minorHAnsi" w:hAnsiTheme="minorHAnsi" w:cstheme="minorHAnsi"/>
        </w:rPr>
      </w:pPr>
      <w:r w:rsidRPr="00B845AF">
        <w:rPr>
          <w:rFonts w:asciiTheme="minorHAnsi" w:hAnsiTheme="minorHAnsi" w:cstheme="minorHAnsi"/>
        </w:rPr>
        <w:t>1.2</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Trip information, for all gear types </w:t>
      </w:r>
    </w:p>
    <w:p w14:paraId="048A694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CF4ED74"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The vessel flag and fleet associated with a given trip should be submitted with the operational data for verification. The flag-state of a vessel is primarily managed through the Record of Fishing Vessels (RFV) and the charter notification scheme but including it with the trip data is important for verification. The fleet code is used to distinguish vessels that fish in a similar manner and has historically been used to inform assessment models.</w:t>
      </w:r>
    </w:p>
    <w:p w14:paraId="6B466B3B" w14:textId="77777777" w:rsidR="00CA5547" w:rsidRPr="00B845AF" w:rsidRDefault="00CA5547" w:rsidP="00CA5547">
      <w:pPr>
        <w:adjustRightInd w:val="0"/>
        <w:snapToGrid w:val="0"/>
        <w:ind w:left="-5" w:right="38"/>
        <w:jc w:val="both"/>
        <w:rPr>
          <w:rFonts w:asciiTheme="minorHAnsi" w:hAnsiTheme="minorHAnsi" w:cstheme="minorHAnsi"/>
        </w:rPr>
      </w:pPr>
    </w:p>
    <w:p w14:paraId="078CAC73"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3AC06E8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35DE899"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Port or place of departure</w:t>
      </w:r>
      <w:r w:rsidRPr="00B845AF">
        <w:rPr>
          <w:rFonts w:asciiTheme="minorHAnsi" w:hAnsiTheme="minorHAnsi" w:cstheme="minorHAnsi"/>
        </w:rPr>
        <w:t xml:space="preserve">, </w:t>
      </w:r>
      <w:r w:rsidRPr="00B845AF">
        <w:rPr>
          <w:rFonts w:asciiTheme="minorHAnsi" w:hAnsiTheme="minorHAnsi" w:cstheme="minorHAnsi"/>
          <w:u w:val="single" w:color="000000"/>
        </w:rPr>
        <w:t>date of departure</w:t>
      </w:r>
      <w:r w:rsidRPr="00B845AF">
        <w:rPr>
          <w:rFonts w:asciiTheme="minorHAnsi" w:hAnsiTheme="minorHAnsi" w:cstheme="minorHAnsi"/>
        </w:rPr>
        <w:t xml:space="preserve">, </w:t>
      </w:r>
      <w:r w:rsidRPr="00B845AF">
        <w:rPr>
          <w:rFonts w:asciiTheme="minorHAnsi" w:hAnsiTheme="minorHAnsi" w:cstheme="minorHAnsi"/>
          <w:u w:val="single" w:color="000000"/>
        </w:rPr>
        <w:t>port or place of unloading</w:t>
      </w:r>
      <w:r w:rsidRPr="00B845AF">
        <w:rPr>
          <w:rFonts w:asciiTheme="minorHAnsi" w:hAnsiTheme="minorHAnsi" w:cstheme="minorHAnsi"/>
        </w:rPr>
        <w:t xml:space="preserve">, </w:t>
      </w:r>
      <w:r w:rsidRPr="00B845AF">
        <w:rPr>
          <w:rFonts w:asciiTheme="minorHAnsi" w:hAnsiTheme="minorHAnsi" w:cstheme="minorHAnsi"/>
          <w:u w:val="single" w:color="000000"/>
        </w:rPr>
        <w:t>date of arrival in port</w:t>
      </w:r>
      <w:r w:rsidRPr="00B845AF">
        <w:rPr>
          <w:rFonts w:asciiTheme="minorHAnsi" w:hAnsiTheme="minorHAnsi" w:cstheme="minorHAnsi"/>
        </w:rPr>
        <w:t xml:space="preserve">: If the start of a trip coincides with recommencing fishing operations or transiting to a fishing area after transshipping part or all of the catch at sea, then “Transshipment at sea” shall be reported in lieu of the port of departure, and if the end of a trip coincides with transshipping part or all of the catch at sea, then “Transshipment at sea” shall be reported in lieu of the port of unloading. If a trip is ongoing at the time of the data submissions, the place of unloading should be reported as ‘ongoing’. </w:t>
      </w:r>
    </w:p>
    <w:p w14:paraId="44B0F319"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36AE4CA" w14:textId="77777777" w:rsidR="00CA5547" w:rsidRPr="00B845AF" w:rsidRDefault="00CA5547" w:rsidP="00CA5547">
      <w:pPr>
        <w:tabs>
          <w:tab w:val="center" w:pos="2498"/>
        </w:tabs>
        <w:adjustRightInd w:val="0"/>
        <w:snapToGrid w:val="0"/>
        <w:ind w:left="-15"/>
        <w:jc w:val="both"/>
        <w:rPr>
          <w:rFonts w:asciiTheme="minorHAnsi" w:hAnsiTheme="minorHAnsi" w:cstheme="minorHAnsi"/>
        </w:rPr>
      </w:pPr>
      <w:r w:rsidRPr="00B845AF">
        <w:rPr>
          <w:rFonts w:asciiTheme="minorHAnsi" w:hAnsiTheme="minorHAnsi" w:cstheme="minorHAnsi"/>
        </w:rPr>
        <w:t>1.3</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Information on operations by longliners </w:t>
      </w:r>
    </w:p>
    <w:p w14:paraId="46D80A00"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69047C10" w14:textId="77777777" w:rsidR="00CA5547" w:rsidRPr="00B845AF" w:rsidRDefault="00CA5547" w:rsidP="00CA5547">
      <w:pPr>
        <w:adjustRightInd w:val="0"/>
        <w:snapToGrid w:val="0"/>
        <w:ind w:left="-5"/>
        <w:jc w:val="both"/>
        <w:rPr>
          <w:rFonts w:asciiTheme="minorHAnsi" w:hAnsiTheme="minorHAnsi" w:cstheme="minorHAnsi"/>
        </w:rPr>
      </w:pPr>
      <w:r w:rsidRPr="00B845AF">
        <w:rPr>
          <w:rFonts w:asciiTheme="minorHAnsi" w:hAnsiTheme="minorHAnsi" w:cstheme="minorHAnsi"/>
          <w:u w:val="single"/>
        </w:rPr>
        <w:t>Activity</w:t>
      </w:r>
      <w:r w:rsidRPr="00B845AF">
        <w:rPr>
          <w:rFonts w:asciiTheme="minorHAnsi" w:hAnsiTheme="minorHAnsi" w:cstheme="minorHAnsi"/>
        </w:rPr>
        <w:t xml:space="preserve">: This item shall be reported for each set and should be reported for days on which no sets were made, from the start of the trip to the end of the trip. Activities should include “a set”; “searching”, “no fishing — in transit”; “no fishing — gear breakdown”; “no fishing — bad weather”; “no fishing — in port”; and “no fishing – other”. </w:t>
      </w:r>
    </w:p>
    <w:p w14:paraId="6C18586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D03C15A" w14:textId="77777777" w:rsidR="00CA5547" w:rsidRPr="00B845AF" w:rsidRDefault="00CA5547" w:rsidP="00CA5547">
      <w:pPr>
        <w:adjustRightInd w:val="0"/>
        <w:snapToGrid w:val="0"/>
        <w:ind w:left="-5"/>
        <w:jc w:val="both"/>
        <w:rPr>
          <w:rFonts w:asciiTheme="minorHAnsi" w:hAnsiTheme="minorHAnsi" w:cstheme="minorHAnsi"/>
        </w:rPr>
      </w:pPr>
      <w:r w:rsidRPr="00B845AF">
        <w:rPr>
          <w:rFonts w:asciiTheme="minorHAnsi" w:hAnsiTheme="minorHAnsi" w:cstheme="minorHAnsi"/>
          <w:u w:val="single"/>
        </w:rPr>
        <w:t>Date of start of set and time of start of set</w:t>
      </w:r>
      <w:r w:rsidRPr="00B845AF">
        <w:rPr>
          <w:rFonts w:asciiTheme="minorHAnsi" w:hAnsiTheme="minorHAnsi" w:cstheme="minorHAnsi"/>
        </w:rPr>
        <w:t xml:space="preserve">: The date and start of set time should be GMT/UTC. If no sets are made, the date and main activity should be reported. </w:t>
      </w:r>
    </w:p>
    <w:p w14:paraId="141D8F69" w14:textId="77777777" w:rsidR="00CA5547" w:rsidRPr="00B845AF" w:rsidRDefault="00CA5547" w:rsidP="00CA5547">
      <w:pPr>
        <w:adjustRightInd w:val="0"/>
        <w:snapToGrid w:val="0"/>
        <w:ind w:left="-5"/>
        <w:jc w:val="both"/>
        <w:rPr>
          <w:rFonts w:asciiTheme="minorHAnsi" w:hAnsiTheme="minorHAnsi" w:cstheme="minorHAnsi"/>
        </w:rPr>
      </w:pPr>
    </w:p>
    <w:p w14:paraId="4D137068"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Position of start of set</w:t>
      </w:r>
      <w:r w:rsidRPr="00B845AF">
        <w:rPr>
          <w:rFonts w:asciiTheme="minorHAnsi" w:hAnsiTheme="minorHAnsi" w:cstheme="minorHAnsi"/>
        </w:rPr>
        <w:t xml:space="preserve">: The position of start of set should be reported in units of at least minutes of latitude and longitude. If no sets are made for the day, the noon position should be reported. </w:t>
      </w:r>
    </w:p>
    <w:p w14:paraId="7DCC27A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C197A99"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Target species for the set:</w:t>
      </w:r>
      <w:r w:rsidRPr="00B845AF">
        <w:rPr>
          <w:rFonts w:asciiTheme="minorHAnsi" w:hAnsiTheme="minorHAnsi" w:cstheme="minorHAnsi"/>
        </w:rPr>
        <w:t xml:space="preserve"> Record the primary target species, or group of species, for this set. </w:t>
      </w:r>
    </w:p>
    <w:p w14:paraId="1881061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lastRenderedPageBreak/>
        <w:t xml:space="preserve"> </w:t>
      </w:r>
    </w:p>
    <w:p w14:paraId="28D37746"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Mainline length:</w:t>
      </w:r>
      <w:r w:rsidRPr="00B845AF">
        <w:rPr>
          <w:rFonts w:asciiTheme="minorHAnsi" w:hAnsiTheme="minorHAnsi" w:cstheme="minorHAnsi"/>
        </w:rPr>
        <w:t xml:space="preserve"> Record the mainline length (in kilometers) used in the trip or set, as appropriate. </w:t>
      </w:r>
    </w:p>
    <w:p w14:paraId="539386E1"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DAA4665"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u w:val="single" w:color="000000"/>
        </w:rPr>
        <w:t>Number of hooks per set</w:t>
      </w:r>
      <w:r w:rsidRPr="00B845AF">
        <w:rPr>
          <w:rFonts w:asciiTheme="minorHAnsi" w:hAnsiTheme="minorHAnsi" w:cstheme="minorHAnsi"/>
        </w:rPr>
        <w:t xml:space="preserve"> </w:t>
      </w:r>
    </w:p>
    <w:p w14:paraId="685B76AB" w14:textId="77777777" w:rsidR="00CA5547" w:rsidRPr="00B845AF" w:rsidRDefault="00CA5547" w:rsidP="00CA5547">
      <w:pPr>
        <w:adjustRightInd w:val="0"/>
        <w:snapToGrid w:val="0"/>
        <w:jc w:val="both"/>
        <w:rPr>
          <w:rFonts w:asciiTheme="minorHAnsi" w:hAnsiTheme="minorHAnsi" w:cstheme="minorHAnsi"/>
        </w:rPr>
      </w:pPr>
    </w:p>
    <w:p w14:paraId="17E46021"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u w:val="single" w:color="000000"/>
        </w:rPr>
        <w:t xml:space="preserve">Primary bait type used in set: </w:t>
      </w:r>
      <w:r w:rsidRPr="00B845AF">
        <w:rPr>
          <w:rFonts w:asciiTheme="minorHAnsi" w:hAnsiTheme="minorHAnsi" w:cstheme="minorHAnsi"/>
        </w:rPr>
        <w:t>Record the FAO code(s)</w:t>
      </w:r>
      <w:r w:rsidRPr="00B845AF">
        <w:rPr>
          <w:rFonts w:asciiTheme="minorHAnsi" w:hAnsiTheme="minorHAnsi" w:cstheme="minorHAnsi"/>
          <w:vertAlign w:val="superscript"/>
        </w:rPr>
        <w:footnoteReference w:id="5"/>
      </w:r>
      <w:r w:rsidRPr="00B845AF">
        <w:rPr>
          <w:rFonts w:asciiTheme="minorHAnsi" w:hAnsiTheme="minorHAnsi" w:cstheme="minorHAnsi"/>
        </w:rPr>
        <w:t xml:space="preserve"> for type of bait(s) used for the set. </w:t>
      </w:r>
    </w:p>
    <w:p w14:paraId="2F489BF2" w14:textId="77777777" w:rsidR="00CA5547" w:rsidRPr="00B845AF" w:rsidRDefault="00CA5547" w:rsidP="00CA5547">
      <w:pPr>
        <w:adjustRightInd w:val="0"/>
        <w:snapToGrid w:val="0"/>
        <w:ind w:left="-5"/>
        <w:jc w:val="both"/>
        <w:rPr>
          <w:rFonts w:asciiTheme="minorHAnsi" w:hAnsiTheme="minorHAnsi" w:cstheme="minorHAnsi"/>
        </w:rPr>
      </w:pPr>
      <w:r w:rsidRPr="00B845AF">
        <w:rPr>
          <w:rFonts w:asciiTheme="minorHAnsi" w:hAnsiTheme="minorHAnsi" w:cstheme="minorHAnsi"/>
          <w:u w:val="single"/>
        </w:rPr>
        <w:t xml:space="preserve">Secondary bait type used in set: </w:t>
      </w:r>
      <w:r w:rsidRPr="00B845AF">
        <w:rPr>
          <w:rFonts w:asciiTheme="minorHAnsi" w:hAnsiTheme="minorHAnsi" w:cstheme="minorHAnsi"/>
        </w:rPr>
        <w:t>Record the FAO code(s) for type of bait(s) used for the set.</w:t>
      </w:r>
    </w:p>
    <w:p w14:paraId="0F93511C" w14:textId="77777777" w:rsidR="00CA5547" w:rsidRPr="00B845AF" w:rsidRDefault="00CA5547" w:rsidP="00CA5547">
      <w:pPr>
        <w:adjustRightInd w:val="0"/>
        <w:snapToGrid w:val="0"/>
        <w:ind w:left="-5"/>
        <w:jc w:val="both"/>
        <w:rPr>
          <w:rFonts w:asciiTheme="minorHAnsi" w:hAnsiTheme="minorHAnsi" w:cstheme="minorHAnsi"/>
        </w:rPr>
      </w:pPr>
      <w:r w:rsidRPr="00B845AF">
        <w:rPr>
          <w:rFonts w:asciiTheme="minorHAnsi" w:hAnsiTheme="minorHAnsi" w:cstheme="minorHAnsi"/>
          <w:u w:val="single"/>
        </w:rPr>
        <w:t xml:space="preserve">Tertiary bait type used in set: </w:t>
      </w:r>
      <w:r w:rsidRPr="00B845AF">
        <w:rPr>
          <w:rFonts w:asciiTheme="minorHAnsi" w:hAnsiTheme="minorHAnsi" w:cstheme="minorHAnsi"/>
        </w:rPr>
        <w:t>Record the FAO code(s) for type of bait(s) used for the set.</w:t>
      </w:r>
    </w:p>
    <w:p w14:paraId="219B498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D5FCBC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Length of branch line:</w:t>
      </w:r>
      <w:r w:rsidRPr="00B845AF">
        <w:rPr>
          <w:rFonts w:asciiTheme="minorHAnsi" w:hAnsiTheme="minorHAnsi" w:cstheme="minorHAnsi"/>
        </w:rPr>
        <w:t xml:space="preserve"> Record the average length in meters of the branch lines in the trip or set. (The total length from the mainline to the hook).</w:t>
      </w:r>
      <w:r w:rsidRPr="00B845AF">
        <w:rPr>
          <w:rFonts w:asciiTheme="minorHAnsi" w:hAnsiTheme="minorHAnsi" w:cstheme="minorHAnsi"/>
          <w:sz w:val="20"/>
        </w:rPr>
        <w:t xml:space="preserve"> </w:t>
      </w:r>
    </w:p>
    <w:p w14:paraId="3F18888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B3B501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Number of branch lines between floats</w:t>
      </w:r>
      <w:r w:rsidRPr="00B845AF">
        <w:rPr>
          <w:rFonts w:asciiTheme="minorHAnsi" w:hAnsiTheme="minorHAnsi" w:cstheme="minorHAnsi"/>
        </w:rPr>
        <w:t xml:space="preserve">. The number of branch lines between floats shall be reported for each set. </w:t>
      </w:r>
    </w:p>
    <w:p w14:paraId="1D7CEF35"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CF17E19"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Length of float line:</w:t>
      </w:r>
      <w:r w:rsidRPr="00B845AF">
        <w:rPr>
          <w:rFonts w:asciiTheme="minorHAnsi" w:hAnsiTheme="minorHAnsi" w:cstheme="minorHAnsi"/>
        </w:rPr>
        <w:t xml:space="preserve"> Record the average length in meters of the float lines in the set. (The total length from the float to the mainline). </w:t>
      </w:r>
    </w:p>
    <w:p w14:paraId="377F679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DB6C668"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u w:val="single"/>
        </w:rPr>
        <w:t xml:space="preserve">Number of lightsticks used in set*: </w:t>
      </w:r>
      <w:r w:rsidRPr="00B845AF">
        <w:rPr>
          <w:rFonts w:asciiTheme="minorHAnsi" w:hAnsiTheme="minorHAnsi" w:cstheme="minorHAnsi"/>
          <w:sz w:val="20"/>
          <w:szCs w:val="20"/>
        </w:rPr>
        <w:t xml:space="preserve">Record the total number of lightsticks used in the set.  </w:t>
      </w:r>
    </w:p>
    <w:p w14:paraId="57E64B7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8EACDB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Vessel speed during setting:</w:t>
      </w:r>
      <w:r w:rsidRPr="00B845AF">
        <w:rPr>
          <w:rFonts w:asciiTheme="minorHAnsi" w:hAnsiTheme="minorHAnsi" w:cstheme="minorHAnsi"/>
        </w:rPr>
        <w:t xml:space="preserve"> Record the average speed in knots of a vessel during line setting. </w:t>
      </w:r>
    </w:p>
    <w:p w14:paraId="22E3582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6BA76A4"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Speed of the line setter:</w:t>
      </w:r>
      <w:r w:rsidRPr="00B845AF">
        <w:rPr>
          <w:rFonts w:asciiTheme="minorHAnsi" w:hAnsiTheme="minorHAnsi" w:cstheme="minorHAnsi"/>
        </w:rPr>
        <w:t xml:space="preserve"> Record the speed in knots of the line setter (i.e., the line shooter speed). </w:t>
      </w:r>
    </w:p>
    <w:p w14:paraId="3A661F36"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AC825D8"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Number of fish/animals caught per set</w:t>
      </w:r>
      <w:r w:rsidRPr="00B845AF">
        <w:rPr>
          <w:rFonts w:asciiTheme="minorHAnsi" w:hAnsiTheme="minorHAnsi" w:cstheme="minorHAnsi"/>
        </w:rPr>
        <w:t>, for the key WCPFC species to be reported, and other species as determined by the Commission.</w:t>
      </w:r>
    </w:p>
    <w:p w14:paraId="6B60B76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868752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Weight (kg) of fish caught per set</w:t>
      </w:r>
      <w:r w:rsidRPr="00B845AF">
        <w:rPr>
          <w:rFonts w:asciiTheme="minorHAnsi" w:hAnsiTheme="minorHAnsi" w:cstheme="minorHAnsi"/>
        </w:rPr>
        <w:t>. Weights should represent whole weights rather than processed weights.</w:t>
      </w:r>
    </w:p>
    <w:p w14:paraId="5A62724A" w14:textId="77777777" w:rsidR="00CA5547" w:rsidRPr="00B845AF" w:rsidRDefault="00CA5547" w:rsidP="00CA5547">
      <w:pPr>
        <w:adjustRightInd w:val="0"/>
        <w:snapToGrid w:val="0"/>
        <w:jc w:val="both"/>
        <w:rPr>
          <w:rFonts w:asciiTheme="minorHAnsi" w:hAnsiTheme="minorHAnsi" w:cstheme="minorHAnsi"/>
        </w:rPr>
      </w:pPr>
    </w:p>
    <w:p w14:paraId="0DC7721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Is discarded</w:t>
      </w:r>
      <w:r w:rsidRPr="00B845AF">
        <w:rPr>
          <w:rFonts w:asciiTheme="minorHAnsi" w:hAnsiTheme="minorHAnsi" w:cstheme="minorHAnsi"/>
        </w:rPr>
        <w:t>, is used to indicate whether the associated catch weight and numbers are associated with retained catch (0) or released/discarded catch (1).</w:t>
      </w:r>
    </w:p>
    <w:p w14:paraId="37711488" w14:textId="77777777" w:rsidR="00CA5547" w:rsidRPr="00B845AF" w:rsidRDefault="00CA5547" w:rsidP="00CA5547">
      <w:pPr>
        <w:adjustRightInd w:val="0"/>
        <w:snapToGrid w:val="0"/>
        <w:ind w:left="-5" w:right="38"/>
        <w:jc w:val="both"/>
        <w:rPr>
          <w:rFonts w:asciiTheme="minorHAnsi" w:hAnsiTheme="minorHAnsi" w:cstheme="minorHAnsi"/>
        </w:rPr>
      </w:pPr>
    </w:p>
    <w:p w14:paraId="082D6B05"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If the total weight or average weight of fish caught per set has been recorded, then the total weight or average weight of fish caught per set, by species, shall also be reported. If the total weight or average weight of fish caught per set has not been recorded, then the total weight or average weight of fish caught per set, by species, should be estimated and the estimates reported. The total weight or average weight shall refer to whole weights, rather than processed weights. </w:t>
      </w:r>
    </w:p>
    <w:p w14:paraId="516F487A"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53C49DC"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1.4</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Information on operations by pole-and-line vessels and related gear types </w:t>
      </w:r>
    </w:p>
    <w:p w14:paraId="64EA5915" w14:textId="77777777" w:rsidR="00CA5547" w:rsidRPr="00B845AF" w:rsidRDefault="00CA5547" w:rsidP="00CA5547">
      <w:pPr>
        <w:widowControl w:val="0"/>
        <w:adjustRightInd w:val="0"/>
        <w:snapToGrid w:val="0"/>
        <w:ind w:left="-5" w:right="34"/>
        <w:jc w:val="both"/>
        <w:rPr>
          <w:rFonts w:asciiTheme="minorHAnsi" w:hAnsiTheme="minorHAnsi" w:cstheme="minorHAnsi"/>
        </w:rPr>
      </w:pPr>
      <w:r w:rsidRPr="00B845AF">
        <w:rPr>
          <w:rFonts w:asciiTheme="minorHAnsi" w:hAnsiTheme="minorHAnsi" w:cstheme="minorHAnsi"/>
          <w:u w:val="single"/>
        </w:rPr>
        <w:t>Activity</w:t>
      </w:r>
      <w:r w:rsidRPr="00B845AF">
        <w:rPr>
          <w:rFonts w:asciiTheme="minorHAnsi" w:hAnsiTheme="minorHAnsi" w:cstheme="minorHAnsi"/>
        </w:rPr>
        <w:t xml:space="preserve">: This item shall be reported for each day, from the start of the trip to the end of the trip. Activities should include “a day fishing or searching with bait onboard”; “no fishing — collecting bait”; “a day searching”; “no fishing — in transit”; “no fishing — gear breakdown”; “no fishing — bad weather”; “no fishing — in port”; and “no fishing – other”. </w:t>
      </w:r>
    </w:p>
    <w:p w14:paraId="0D686482"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78E47596"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u w:val="single" w:color="000000"/>
        </w:rPr>
        <w:lastRenderedPageBreak/>
        <w:t>Date</w:t>
      </w:r>
      <w:r w:rsidRPr="00B845AF">
        <w:rPr>
          <w:rFonts w:asciiTheme="minorHAnsi" w:hAnsiTheme="minorHAnsi" w:cstheme="minorHAnsi"/>
        </w:rPr>
        <w:t xml:space="preserve">: The date should be GMT/UTC. </w:t>
      </w:r>
    </w:p>
    <w:p w14:paraId="6F7FFBB1"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BE7AD6A"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Noon position</w:t>
      </w:r>
      <w:r w:rsidRPr="00B845AF">
        <w:rPr>
          <w:rFonts w:asciiTheme="minorHAnsi" w:hAnsiTheme="minorHAnsi" w:cstheme="minorHAnsi"/>
        </w:rPr>
        <w:t xml:space="preserve">: The noon position should be reported in units of at least minutes of latitude and longitude. </w:t>
      </w:r>
    </w:p>
    <w:p w14:paraId="21F4759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A4F7FD7"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Weight of fish caught per day (mt)</w:t>
      </w:r>
      <w:r w:rsidRPr="00B845AF">
        <w:rPr>
          <w:rFonts w:asciiTheme="minorHAnsi" w:hAnsiTheme="minorHAnsi" w:cstheme="minorHAnsi"/>
        </w:rPr>
        <w:t xml:space="preserve">, for key WCPFC species to be reported and other species as determined by the Commission. </w:t>
      </w:r>
    </w:p>
    <w:p w14:paraId="16E8231D" w14:textId="77777777" w:rsidR="00CA5547" w:rsidRPr="00B845AF" w:rsidRDefault="00CA5547" w:rsidP="00CA5547">
      <w:pPr>
        <w:adjustRightInd w:val="0"/>
        <w:snapToGrid w:val="0"/>
        <w:ind w:left="-5" w:right="38"/>
        <w:jc w:val="both"/>
        <w:rPr>
          <w:rFonts w:asciiTheme="minorHAnsi" w:hAnsiTheme="minorHAnsi" w:cstheme="minorHAnsi"/>
        </w:rPr>
      </w:pPr>
    </w:p>
    <w:p w14:paraId="6297D85D"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Number of fish/individuals caught per day</w:t>
      </w:r>
      <w:r w:rsidRPr="00B845AF">
        <w:rPr>
          <w:rFonts w:asciiTheme="minorHAnsi" w:hAnsiTheme="minorHAnsi" w:cstheme="minorHAnsi"/>
        </w:rPr>
        <w:t xml:space="preserve">, to capture discarded/released individuals for which an estimated weight cannot be obtained. </w:t>
      </w:r>
    </w:p>
    <w:p w14:paraId="765456E7" w14:textId="77777777" w:rsidR="00CA5547" w:rsidRPr="00B845AF" w:rsidRDefault="00CA5547" w:rsidP="00CA5547">
      <w:pPr>
        <w:adjustRightInd w:val="0"/>
        <w:snapToGrid w:val="0"/>
        <w:ind w:left="-5" w:right="38"/>
        <w:jc w:val="both"/>
        <w:rPr>
          <w:rFonts w:asciiTheme="minorHAnsi" w:hAnsiTheme="minorHAnsi" w:cstheme="minorHAnsi"/>
        </w:rPr>
      </w:pPr>
    </w:p>
    <w:p w14:paraId="1C96C412"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Is discarded</w:t>
      </w:r>
      <w:r w:rsidRPr="00B845AF">
        <w:rPr>
          <w:rFonts w:asciiTheme="minorHAnsi" w:hAnsiTheme="minorHAnsi" w:cstheme="minorHAnsi"/>
        </w:rPr>
        <w:t>, is used to indicate whether the associated catch weight and numbers are associated with retained catch (0) or released/discarded catch (1).</w:t>
      </w:r>
    </w:p>
    <w:p w14:paraId="5EECAC98" w14:textId="77777777" w:rsidR="00CA5547" w:rsidRPr="00B845AF" w:rsidRDefault="00CA5547" w:rsidP="00CA5547">
      <w:pPr>
        <w:adjustRightInd w:val="0"/>
        <w:snapToGrid w:val="0"/>
        <w:jc w:val="both"/>
        <w:rPr>
          <w:rFonts w:asciiTheme="minorHAnsi" w:hAnsiTheme="minorHAnsi" w:cstheme="minorHAnsi"/>
        </w:rPr>
      </w:pPr>
    </w:p>
    <w:p w14:paraId="38A63D0E" w14:textId="77777777" w:rsidR="00CA5547" w:rsidRPr="00B845AF" w:rsidRDefault="00CA5547" w:rsidP="00CA5547">
      <w:pPr>
        <w:tabs>
          <w:tab w:val="center" w:pos="3682"/>
        </w:tabs>
        <w:adjustRightInd w:val="0"/>
        <w:snapToGrid w:val="0"/>
        <w:ind w:left="-15"/>
        <w:jc w:val="both"/>
        <w:rPr>
          <w:rFonts w:asciiTheme="minorHAnsi" w:hAnsiTheme="minorHAnsi" w:cstheme="minorHAnsi"/>
        </w:rPr>
      </w:pPr>
      <w:r w:rsidRPr="00B845AF">
        <w:rPr>
          <w:rFonts w:asciiTheme="minorHAnsi" w:hAnsiTheme="minorHAnsi" w:cstheme="minorHAnsi"/>
        </w:rPr>
        <w:t>1.5</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Information on operations by purse seiners and related gear types </w:t>
      </w:r>
    </w:p>
    <w:p w14:paraId="5C8102E6"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C590FF7"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Activity</w:t>
      </w:r>
      <w:r w:rsidRPr="00B845AF">
        <w:rPr>
          <w:rFonts w:asciiTheme="minorHAnsi" w:hAnsiTheme="minorHAnsi" w:cstheme="minorHAnsi"/>
        </w:rPr>
        <w:t>: This item shall be reported for each set and for days on which no sets were made, from the start of the trip to the end of the trip. Activities should include “a set”; “a day searched, but no sets made”; “no fishing — in transit</w:t>
      </w:r>
      <w:r w:rsidRPr="00B845AF">
        <w:rPr>
          <w:rFonts w:asciiTheme="minorHAnsi" w:hAnsiTheme="minorHAnsi" w:cstheme="minorHAnsi"/>
          <w:vertAlign w:val="superscript"/>
        </w:rPr>
        <w:footnoteReference w:id="6"/>
      </w:r>
      <w:r w:rsidRPr="00B845AF">
        <w:rPr>
          <w:rFonts w:asciiTheme="minorHAnsi" w:hAnsiTheme="minorHAnsi" w:cstheme="minorHAnsi"/>
        </w:rPr>
        <w:t xml:space="preserve">”; “no fishing — gear breakdown”; “no fishing — bad weather”; “no fishing — in port”; and “no fishing – other”. </w:t>
      </w:r>
    </w:p>
    <w:p w14:paraId="5FC64B79"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54A4B8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Date of start of set</w:t>
      </w:r>
      <w:r w:rsidRPr="00B845AF">
        <w:rPr>
          <w:rFonts w:asciiTheme="minorHAnsi" w:hAnsiTheme="minorHAnsi" w:cstheme="minorHAnsi"/>
        </w:rPr>
        <w:t xml:space="preserve">, </w:t>
      </w:r>
      <w:r w:rsidRPr="00B845AF">
        <w:rPr>
          <w:rFonts w:asciiTheme="minorHAnsi" w:hAnsiTheme="minorHAnsi" w:cstheme="minorHAnsi"/>
          <w:u w:val="single" w:color="000000"/>
        </w:rPr>
        <w:t>time of start of set</w:t>
      </w:r>
      <w:r w:rsidRPr="00B845AF">
        <w:rPr>
          <w:rFonts w:asciiTheme="minorHAnsi" w:hAnsiTheme="minorHAnsi" w:cstheme="minorHAnsi"/>
        </w:rPr>
        <w:t xml:space="preserve"> and </w:t>
      </w:r>
      <w:r w:rsidRPr="00B845AF">
        <w:rPr>
          <w:rFonts w:asciiTheme="minorHAnsi" w:hAnsiTheme="minorHAnsi" w:cstheme="minorHAnsi"/>
          <w:u w:val="single" w:color="000000"/>
        </w:rPr>
        <w:t>time of end of set</w:t>
      </w:r>
      <w:r w:rsidRPr="00B845AF">
        <w:rPr>
          <w:rFonts w:asciiTheme="minorHAnsi" w:hAnsiTheme="minorHAnsi" w:cstheme="minorHAnsi"/>
        </w:rPr>
        <w:t xml:space="preserve">: The date and time of the start of set and the time of end of set should be GMT/UTC. If no sets are made, the date and main activity should be reported. </w:t>
      </w:r>
    </w:p>
    <w:p w14:paraId="1E3F78F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40F90A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Position of set or noon position</w:t>
      </w:r>
      <w:r w:rsidRPr="00B845AF">
        <w:rPr>
          <w:rFonts w:asciiTheme="minorHAnsi" w:hAnsiTheme="minorHAnsi" w:cstheme="minorHAnsi"/>
        </w:rPr>
        <w:t xml:space="preserve">: If a set is made, then the position of the set shall be reported. If searching occurs, but no sets are made, then the noon position shall be reported. The position should be reported in units of at least minutes of latitude and longitude. </w:t>
      </w:r>
    </w:p>
    <w:p w14:paraId="642D9ECD"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4531FE88" w14:textId="77777777" w:rsidR="00CA5547" w:rsidRPr="00B845AF" w:rsidRDefault="00CA5547" w:rsidP="00CA5547">
      <w:pPr>
        <w:widowControl w:val="0"/>
        <w:adjustRightInd w:val="0"/>
        <w:snapToGrid w:val="0"/>
        <w:ind w:left="-5" w:right="34"/>
        <w:jc w:val="both"/>
        <w:rPr>
          <w:rFonts w:asciiTheme="minorHAnsi" w:hAnsiTheme="minorHAnsi" w:cstheme="minorHAnsi"/>
        </w:rPr>
      </w:pPr>
      <w:r w:rsidRPr="00B845AF">
        <w:rPr>
          <w:rFonts w:asciiTheme="minorHAnsi" w:hAnsiTheme="minorHAnsi" w:cstheme="minorHAnsi"/>
          <w:u w:val="single" w:color="000000"/>
        </w:rPr>
        <w:t>School association</w:t>
      </w:r>
      <w:r w:rsidRPr="00B845AF">
        <w:rPr>
          <w:rFonts w:asciiTheme="minorHAnsi" w:hAnsiTheme="minorHAnsi" w:cstheme="minorHAnsi"/>
        </w:rPr>
        <w:t xml:space="preserve">: All common types of school association shall be reported, while uncommon types of associations shall be reported as “other”, including other explanation as appropriate. Common types of school association are “free-swimming” or “unassociated”; “feeding on baitfish”; “drifting log, debris or dead animal”; “drifting raft, FAD or payao”; “anchored raft, FAD or payao”; “live whale”; “live whale shark”; and “unknown”. </w:t>
      </w:r>
    </w:p>
    <w:p w14:paraId="29FE7C01" w14:textId="77777777" w:rsidR="00CA5547" w:rsidRPr="00B845AF" w:rsidRDefault="00CA5547" w:rsidP="00CA5547">
      <w:pPr>
        <w:widowControl w:val="0"/>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2E7E89D" w14:textId="77777777" w:rsidR="00CA5547" w:rsidRPr="00B845AF" w:rsidRDefault="00CA5547" w:rsidP="00CA5547">
      <w:pPr>
        <w:widowControl w:val="0"/>
        <w:adjustRightInd w:val="0"/>
        <w:snapToGrid w:val="0"/>
        <w:ind w:left="-5" w:right="38"/>
        <w:jc w:val="both"/>
        <w:rPr>
          <w:rFonts w:asciiTheme="minorHAnsi" w:hAnsiTheme="minorHAnsi" w:cstheme="minorHAnsi"/>
        </w:rPr>
      </w:pPr>
      <w:r w:rsidRPr="00B845AF">
        <w:rPr>
          <w:rFonts w:asciiTheme="minorHAnsi" w:hAnsiTheme="minorHAnsi" w:cstheme="minorHAnsi"/>
          <w:u w:val="single"/>
        </w:rPr>
        <w:t>Weight of fish caught per set (mt)</w:t>
      </w:r>
      <w:r w:rsidRPr="00B845AF">
        <w:rPr>
          <w:rFonts w:asciiTheme="minorHAnsi" w:hAnsiTheme="minorHAnsi" w:cstheme="minorHAnsi"/>
        </w:rPr>
        <w:t xml:space="preserve">, for key WCPFC species to be reported and other species as determined by the Commission. </w:t>
      </w:r>
    </w:p>
    <w:p w14:paraId="35D395FE" w14:textId="77777777" w:rsidR="00CA5547" w:rsidRPr="00B845AF" w:rsidRDefault="00CA5547" w:rsidP="00CA5547">
      <w:pPr>
        <w:widowControl w:val="0"/>
        <w:adjustRightInd w:val="0"/>
        <w:snapToGrid w:val="0"/>
        <w:ind w:left="-5" w:right="38"/>
        <w:jc w:val="both"/>
        <w:rPr>
          <w:rFonts w:asciiTheme="minorHAnsi" w:hAnsiTheme="minorHAnsi" w:cstheme="minorHAnsi"/>
        </w:rPr>
      </w:pPr>
    </w:p>
    <w:p w14:paraId="112E0BA4" w14:textId="77777777" w:rsidR="00CA5547" w:rsidRPr="00B845AF" w:rsidRDefault="00CA5547" w:rsidP="00CA5547">
      <w:pPr>
        <w:widowControl w:val="0"/>
        <w:adjustRightInd w:val="0"/>
        <w:snapToGrid w:val="0"/>
        <w:jc w:val="both"/>
        <w:rPr>
          <w:rFonts w:asciiTheme="minorHAnsi" w:hAnsiTheme="minorHAnsi" w:cstheme="minorHAnsi"/>
          <w:u w:val="single"/>
        </w:rPr>
      </w:pPr>
      <w:r w:rsidRPr="00B845AF">
        <w:rPr>
          <w:rFonts w:asciiTheme="minorHAnsi" w:hAnsiTheme="minorHAnsi" w:cstheme="minorHAnsi"/>
          <w:u w:val="single"/>
        </w:rPr>
        <w:t>Number of fish/animals caught per set</w:t>
      </w:r>
      <w:r w:rsidRPr="00B845AF">
        <w:rPr>
          <w:rFonts w:asciiTheme="minorHAnsi" w:hAnsiTheme="minorHAnsi" w:cstheme="minorHAnsi"/>
        </w:rPr>
        <w:t xml:space="preserve">, to capture discarded/released individuals, including </w:t>
      </w:r>
      <w:r w:rsidRPr="00B845AF">
        <w:rPr>
          <w:rFonts w:asciiTheme="minorHAnsi" w:hAnsiTheme="minorHAnsi" w:cstheme="minorHAnsi"/>
        </w:rPr>
        <w:lastRenderedPageBreak/>
        <w:t>cetaceans, for which an estimated weight cannot be obtained</w:t>
      </w:r>
      <w:r w:rsidRPr="00B845AF" w:rsidDel="00293691">
        <w:rPr>
          <w:rFonts w:asciiTheme="minorHAnsi" w:hAnsiTheme="minorHAnsi" w:cstheme="minorHAnsi"/>
          <w:u w:val="single"/>
        </w:rPr>
        <w:t xml:space="preserve"> </w:t>
      </w:r>
    </w:p>
    <w:p w14:paraId="2E81484E" w14:textId="77777777" w:rsidR="00CA5547" w:rsidRPr="00B845AF" w:rsidRDefault="00CA5547" w:rsidP="00CA5547">
      <w:pPr>
        <w:adjustRightInd w:val="0"/>
        <w:snapToGrid w:val="0"/>
        <w:jc w:val="both"/>
        <w:rPr>
          <w:rFonts w:asciiTheme="minorHAnsi" w:hAnsiTheme="minorHAnsi" w:cstheme="minorHAnsi"/>
        </w:rPr>
      </w:pPr>
    </w:p>
    <w:p w14:paraId="30BF94E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Is discarded</w:t>
      </w:r>
      <w:r w:rsidRPr="00B845AF">
        <w:rPr>
          <w:rFonts w:asciiTheme="minorHAnsi" w:hAnsiTheme="minorHAnsi" w:cstheme="minorHAnsi"/>
        </w:rPr>
        <w:t>, is used to indicate whether the associated catch weight and numbers are associated with retained catch (0) or released/discarded catch (1).</w:t>
      </w:r>
    </w:p>
    <w:p w14:paraId="40BF4C96"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5E9EFF6" w14:textId="77777777" w:rsidR="00CA5547" w:rsidRPr="00B845AF" w:rsidRDefault="00CA5547" w:rsidP="00CA5547">
      <w:pPr>
        <w:tabs>
          <w:tab w:val="center" w:pos="3408"/>
        </w:tabs>
        <w:adjustRightInd w:val="0"/>
        <w:snapToGrid w:val="0"/>
        <w:ind w:left="-15"/>
        <w:jc w:val="both"/>
        <w:rPr>
          <w:rFonts w:asciiTheme="minorHAnsi" w:hAnsiTheme="minorHAnsi" w:cstheme="minorHAnsi"/>
        </w:rPr>
      </w:pPr>
      <w:r w:rsidRPr="00B845AF">
        <w:rPr>
          <w:rFonts w:asciiTheme="minorHAnsi" w:hAnsiTheme="minorHAnsi" w:cstheme="minorHAnsi"/>
        </w:rPr>
        <w:t>1.6</w:t>
      </w:r>
      <w:r w:rsidRPr="00B845AF">
        <w:rPr>
          <w:rFonts w:asciiTheme="minorHAnsi" w:eastAsia="Arial" w:hAnsiTheme="minorHAnsi" w:cstheme="minorHAnsi"/>
        </w:rPr>
        <w:t xml:space="preserve"> </w:t>
      </w:r>
      <w:r w:rsidRPr="00B845AF">
        <w:rPr>
          <w:rFonts w:asciiTheme="minorHAnsi" w:eastAsia="Arial" w:hAnsiTheme="minorHAnsi" w:cstheme="minorHAnsi"/>
        </w:rPr>
        <w:tab/>
      </w:r>
      <w:r w:rsidRPr="00B845AF">
        <w:rPr>
          <w:rFonts w:asciiTheme="minorHAnsi" w:hAnsiTheme="minorHAnsi" w:cstheme="minorHAnsi"/>
        </w:rPr>
        <w:t xml:space="preserve">Information on operations by trollers and related gear types </w:t>
      </w:r>
    </w:p>
    <w:p w14:paraId="7AA75F3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1FBEF2A" w14:textId="77777777" w:rsidR="00CA5547" w:rsidRPr="00B845AF" w:rsidRDefault="00CA5547" w:rsidP="00CA5547">
      <w:pPr>
        <w:adjustRightInd w:val="0"/>
        <w:snapToGrid w:val="0"/>
        <w:ind w:left="-5" w:right="34"/>
        <w:jc w:val="both"/>
        <w:rPr>
          <w:rFonts w:asciiTheme="minorHAnsi" w:hAnsiTheme="minorHAnsi" w:cstheme="minorHAnsi"/>
        </w:rPr>
      </w:pPr>
      <w:r w:rsidRPr="00B845AF">
        <w:rPr>
          <w:rFonts w:asciiTheme="minorHAnsi" w:hAnsiTheme="minorHAnsi" w:cstheme="minorHAnsi"/>
          <w:u w:val="single"/>
        </w:rPr>
        <w:t>Activity</w:t>
      </w:r>
      <w:r w:rsidRPr="00B845AF">
        <w:rPr>
          <w:rFonts w:asciiTheme="minorHAnsi" w:hAnsiTheme="minorHAnsi" w:cstheme="minorHAnsi"/>
        </w:rPr>
        <w:t xml:space="preserve">: This item shall be reported for each day, from the start of the trip to the end of the trip. Activities should include “a day fished”; “a day searching”; “no fishing — in transit”; “no fishing — gear breakdown”; “no fishing — bad weather”; “no fishing — in port”; and “no fishing – other”. </w:t>
      </w:r>
    </w:p>
    <w:p w14:paraId="3912C43F"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1FFF8241"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Date</w:t>
      </w:r>
      <w:r w:rsidRPr="00B845AF">
        <w:rPr>
          <w:rFonts w:asciiTheme="minorHAnsi" w:hAnsiTheme="minorHAnsi" w:cstheme="minorHAnsi"/>
        </w:rPr>
        <w:t xml:space="preserve">: The date should be GMT/UTC. </w:t>
      </w:r>
    </w:p>
    <w:p w14:paraId="2834A82B"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07244813"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color="000000"/>
        </w:rPr>
        <w:t>Noon position</w:t>
      </w:r>
      <w:r w:rsidRPr="00B845AF">
        <w:rPr>
          <w:rFonts w:asciiTheme="minorHAnsi" w:hAnsiTheme="minorHAnsi" w:cstheme="minorHAnsi"/>
        </w:rPr>
        <w:t xml:space="preserve">: The noon position should be reported in units of at least minutes of latitude and longitude. </w:t>
      </w:r>
    </w:p>
    <w:p w14:paraId="15EDBB3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C335324"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Number of fish caught per day</w:t>
      </w:r>
      <w:r w:rsidRPr="00B845AF">
        <w:rPr>
          <w:rFonts w:asciiTheme="minorHAnsi" w:hAnsiTheme="minorHAnsi" w:cstheme="minorHAnsi"/>
        </w:rPr>
        <w:t xml:space="preserve">, for the key WCPFC species to be reported and other species as determined by the Commission. </w:t>
      </w:r>
    </w:p>
    <w:p w14:paraId="38096E16" w14:textId="77777777" w:rsidR="00CA5547" w:rsidRPr="00B845AF" w:rsidRDefault="00CA5547" w:rsidP="00CA5547">
      <w:pPr>
        <w:adjustRightInd w:val="0"/>
        <w:snapToGrid w:val="0"/>
        <w:jc w:val="both"/>
        <w:rPr>
          <w:rFonts w:asciiTheme="minorHAnsi" w:hAnsiTheme="minorHAnsi" w:cstheme="minorHAnsi"/>
        </w:rPr>
      </w:pPr>
    </w:p>
    <w:p w14:paraId="5CD10BF2"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Weight of fish caught per day (mt)</w:t>
      </w:r>
      <w:r w:rsidRPr="00B845AF">
        <w:rPr>
          <w:rFonts w:asciiTheme="minorHAnsi" w:hAnsiTheme="minorHAnsi" w:cstheme="minorHAnsi"/>
        </w:rPr>
        <w:t>, for the key WCPFC species to be reported and other species as determined by the Commission. Weights should represent whole weights rather than processed weights.</w:t>
      </w:r>
    </w:p>
    <w:p w14:paraId="5AC42777"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22AF74B"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u w:val="single"/>
        </w:rPr>
        <w:t>Is discarded</w:t>
      </w:r>
      <w:r w:rsidRPr="00B845AF">
        <w:rPr>
          <w:rFonts w:asciiTheme="minorHAnsi" w:hAnsiTheme="minorHAnsi" w:cstheme="minorHAnsi"/>
        </w:rPr>
        <w:t>, is used to indicate whether the associated catch weight and numbers are associated with retained catch (0) or released/discarded catch (1).</w:t>
      </w:r>
    </w:p>
    <w:p w14:paraId="355DC3C6" w14:textId="77777777" w:rsidR="00CA5547" w:rsidRPr="00B845AF" w:rsidRDefault="00CA5547" w:rsidP="00CA5547">
      <w:pPr>
        <w:adjustRightInd w:val="0"/>
        <w:snapToGrid w:val="0"/>
        <w:jc w:val="both"/>
        <w:rPr>
          <w:rFonts w:asciiTheme="minorHAnsi" w:hAnsiTheme="minorHAnsi" w:cstheme="minorHAnsi"/>
        </w:rPr>
      </w:pPr>
    </w:p>
    <w:p w14:paraId="692C605D" w14:textId="77777777" w:rsidR="00CA5547" w:rsidRPr="00B845AF" w:rsidRDefault="00CA5547" w:rsidP="00CA5547">
      <w:pPr>
        <w:adjustRightInd w:val="0"/>
        <w:snapToGrid w:val="0"/>
        <w:ind w:left="720" w:hanging="735"/>
        <w:jc w:val="both"/>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000000"/>
          <w:lang w:eastAsia="ja-JP"/>
        </w:rPr>
        <w:t>2.</w:t>
      </w:r>
      <w:r w:rsidRPr="00B845AF">
        <w:rPr>
          <w:rFonts w:asciiTheme="minorHAnsi" w:eastAsia="Arial" w:hAnsiTheme="minorHAnsi" w:cstheme="minorHAnsi"/>
          <w:b/>
          <w:color w:val="000000"/>
          <w:lang w:eastAsia="ja-JP"/>
        </w:rPr>
        <w:tab/>
      </w:r>
      <w:r w:rsidRPr="00B845AF">
        <w:rPr>
          <w:rFonts w:asciiTheme="minorHAnsi" w:eastAsia="MS Mincho" w:hAnsiTheme="minorHAnsi" w:cstheme="minorHAnsi"/>
          <w:b/>
          <w:color w:val="000000"/>
          <w:lang w:eastAsia="ja-JP"/>
        </w:rPr>
        <w:t xml:space="preserve">Geographic area to be covered by operational catch and effort data to be provided to the Commission </w:t>
      </w:r>
    </w:p>
    <w:p w14:paraId="6679BD07" w14:textId="77777777" w:rsidR="00CA5547" w:rsidRPr="00B845AF" w:rsidRDefault="00CA5547" w:rsidP="00CA5547">
      <w:pPr>
        <w:adjustRightInd w:val="0"/>
        <w:snapToGrid w:val="0"/>
        <w:ind w:left="360"/>
        <w:jc w:val="both"/>
        <w:rPr>
          <w:rFonts w:asciiTheme="minorHAnsi" w:hAnsiTheme="minorHAnsi" w:cstheme="minorHAnsi"/>
        </w:rPr>
      </w:pPr>
      <w:r w:rsidRPr="00B845AF">
        <w:rPr>
          <w:rFonts w:asciiTheme="minorHAnsi" w:hAnsiTheme="minorHAnsi" w:cstheme="minorHAnsi"/>
          <w:b/>
          <w:i/>
        </w:rPr>
        <w:t xml:space="preserve"> </w:t>
      </w:r>
    </w:p>
    <w:p w14:paraId="6755AF4D"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geographic area to be covered by operational catch and effort data to be provided to the Commission shall be the WCPFC Statistical Area, except for fisheries targeting albacore in the Pacific Ocean south of the Equator, for which the geographic area should be the Pacific Ocean south of the Equator. </w:t>
      </w:r>
    </w:p>
    <w:p w14:paraId="5D32FD2E" w14:textId="77777777" w:rsidR="00CA5547" w:rsidRPr="00B845AF" w:rsidRDefault="00CA5547" w:rsidP="00CA5547">
      <w:pPr>
        <w:adjustRightInd w:val="0"/>
        <w:snapToGrid w:val="0"/>
        <w:jc w:val="both"/>
        <w:rPr>
          <w:rFonts w:asciiTheme="minorHAnsi" w:hAnsiTheme="minorHAnsi" w:cstheme="minorHAnsi"/>
        </w:rPr>
      </w:pPr>
    </w:p>
    <w:p w14:paraId="0827B03F" w14:textId="77777777" w:rsidR="00CA5547" w:rsidRPr="00B845AF" w:rsidRDefault="00CA5547" w:rsidP="00CA5547">
      <w:pPr>
        <w:adjustRightInd w:val="0"/>
        <w:snapToGrid w:val="0"/>
        <w:ind w:left="705" w:hanging="720"/>
        <w:jc w:val="both"/>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000000"/>
          <w:lang w:eastAsia="ja-JP"/>
        </w:rPr>
        <w:t>3</w:t>
      </w:r>
      <w:proofErr w:type="gramStart"/>
      <w:r w:rsidRPr="00B845AF">
        <w:rPr>
          <w:rFonts w:asciiTheme="minorHAnsi" w:eastAsia="MS Mincho" w:hAnsiTheme="minorHAnsi" w:cstheme="minorHAnsi"/>
          <w:b/>
          <w:color w:val="000000"/>
          <w:lang w:eastAsia="ja-JP"/>
        </w:rPr>
        <w:t>.</w:t>
      </w:r>
      <w:r w:rsidRPr="00B845AF">
        <w:rPr>
          <w:rFonts w:asciiTheme="minorHAnsi" w:eastAsia="Arial" w:hAnsiTheme="minorHAnsi" w:cstheme="minorHAnsi"/>
          <w:b/>
          <w:color w:val="000000"/>
          <w:lang w:eastAsia="ja-JP"/>
        </w:rPr>
        <w:t xml:space="preserve"> </w:t>
      </w:r>
      <w:r w:rsidRPr="00B845AF">
        <w:rPr>
          <w:rFonts w:asciiTheme="minorHAnsi" w:eastAsia="Arial" w:hAnsiTheme="minorHAnsi" w:cstheme="minorHAnsi"/>
          <w:b/>
          <w:color w:val="000000"/>
          <w:lang w:eastAsia="ja-JP"/>
        </w:rPr>
        <w:tab/>
      </w:r>
      <w:r w:rsidRPr="00B845AF">
        <w:rPr>
          <w:rFonts w:asciiTheme="minorHAnsi" w:eastAsia="MS Mincho" w:hAnsiTheme="minorHAnsi" w:cstheme="minorHAnsi"/>
          <w:b/>
          <w:color w:val="000000"/>
          <w:lang w:eastAsia="ja-JP"/>
        </w:rPr>
        <w:t>Target</w:t>
      </w:r>
      <w:proofErr w:type="gramEnd"/>
      <w:r w:rsidRPr="00B845AF">
        <w:rPr>
          <w:rFonts w:asciiTheme="minorHAnsi" w:eastAsia="MS Mincho" w:hAnsiTheme="minorHAnsi" w:cstheme="minorHAnsi"/>
          <w:b/>
          <w:color w:val="000000"/>
          <w:lang w:eastAsia="ja-JP"/>
        </w:rPr>
        <w:t xml:space="preserve"> coverage rate for operational catch and effort data to be provided to the Commission </w:t>
      </w:r>
    </w:p>
    <w:p w14:paraId="75A10EE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3EC52EE6"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The target coverage rate for operational catch and effort data to be provided to the Commission is 100%. </w:t>
      </w:r>
    </w:p>
    <w:p w14:paraId="2DA500F4"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E224A7D" w14:textId="77777777" w:rsidR="00CA5547" w:rsidRPr="00B845AF" w:rsidRDefault="00CA5547" w:rsidP="00CA5547">
      <w:pPr>
        <w:tabs>
          <w:tab w:val="center" w:pos="3766"/>
        </w:tabs>
        <w:adjustRightInd w:val="0"/>
        <w:snapToGrid w:val="0"/>
        <w:ind w:left="-15"/>
        <w:jc w:val="both"/>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000000"/>
          <w:lang w:eastAsia="ja-JP"/>
        </w:rPr>
        <w:t>4</w:t>
      </w:r>
      <w:proofErr w:type="gramStart"/>
      <w:r w:rsidRPr="00B845AF">
        <w:rPr>
          <w:rFonts w:asciiTheme="minorHAnsi" w:eastAsia="MS Mincho" w:hAnsiTheme="minorHAnsi" w:cstheme="minorHAnsi"/>
          <w:b/>
          <w:color w:val="000000"/>
          <w:lang w:eastAsia="ja-JP"/>
        </w:rPr>
        <w:t>.</w:t>
      </w:r>
      <w:r w:rsidRPr="00B845AF">
        <w:rPr>
          <w:rFonts w:asciiTheme="minorHAnsi" w:eastAsia="Arial" w:hAnsiTheme="minorHAnsi" w:cstheme="minorHAnsi"/>
          <w:b/>
          <w:color w:val="000000"/>
          <w:lang w:eastAsia="ja-JP"/>
        </w:rPr>
        <w:t xml:space="preserve"> </w:t>
      </w:r>
      <w:r w:rsidRPr="00B845AF">
        <w:rPr>
          <w:rFonts w:asciiTheme="minorHAnsi" w:eastAsia="Arial" w:hAnsiTheme="minorHAnsi" w:cstheme="minorHAnsi"/>
          <w:b/>
          <w:color w:val="000000"/>
          <w:lang w:eastAsia="ja-JP"/>
        </w:rPr>
        <w:tab/>
      </w:r>
      <w:r w:rsidRPr="00B845AF">
        <w:rPr>
          <w:rFonts w:asciiTheme="minorHAnsi" w:eastAsia="MS Mincho" w:hAnsiTheme="minorHAnsi" w:cstheme="minorHAnsi"/>
          <w:b/>
          <w:color w:val="000000"/>
          <w:lang w:eastAsia="ja-JP"/>
        </w:rPr>
        <w:t>Procedures</w:t>
      </w:r>
      <w:proofErr w:type="gramEnd"/>
      <w:r w:rsidRPr="00B845AF">
        <w:rPr>
          <w:rFonts w:asciiTheme="minorHAnsi" w:eastAsia="MS Mincho" w:hAnsiTheme="minorHAnsi" w:cstheme="minorHAnsi"/>
          <w:b/>
          <w:color w:val="000000"/>
          <w:lang w:eastAsia="ja-JP"/>
        </w:rPr>
        <w:t xml:space="preserve"> for the verification of operational catch and effort data </w:t>
      </w:r>
    </w:p>
    <w:p w14:paraId="7490599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60C95722" w14:textId="77777777" w:rsidR="00CA5547" w:rsidRPr="00B845AF" w:rsidRDefault="00CA5547" w:rsidP="00CA5547">
      <w:pPr>
        <w:adjustRightInd w:val="0"/>
        <w:snapToGrid w:val="0"/>
        <w:ind w:left="-5" w:right="38"/>
        <w:jc w:val="both"/>
        <w:rPr>
          <w:rFonts w:asciiTheme="minorHAnsi" w:hAnsiTheme="minorHAnsi" w:cstheme="minorHAnsi"/>
        </w:rPr>
      </w:pPr>
      <w:r w:rsidRPr="00B845AF">
        <w:rPr>
          <w:rFonts w:asciiTheme="minorHAnsi" w:hAnsiTheme="minorHAnsi" w:cstheme="minorHAnsi"/>
        </w:rPr>
        <w:t xml:space="preserve">Operational catch and effort data should be verified as follows: </w:t>
      </w:r>
    </w:p>
    <w:p w14:paraId="2720A193"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29E33F4C" w14:textId="578B6F9D" w:rsidR="00CA5547" w:rsidRPr="00B845AF" w:rsidRDefault="006E21F0" w:rsidP="00D47778">
      <w:pPr>
        <w:numPr>
          <w:ilvl w:val="0"/>
          <w:numId w:val="42"/>
        </w:numPr>
        <w:adjustRightInd w:val="0"/>
        <w:snapToGrid w:val="0"/>
        <w:ind w:right="38"/>
        <w:jc w:val="both"/>
        <w:rPr>
          <w:rFonts w:asciiTheme="minorHAnsi" w:hAnsiTheme="minorHAnsi" w:cstheme="minorHAnsi"/>
        </w:rPr>
      </w:pPr>
      <w:r w:rsidRPr="00B845AF">
        <w:rPr>
          <w:rFonts w:asciiTheme="minorHAnsi" w:eastAsia="MS Mincho" w:hAnsiTheme="minorHAnsi" w:cstheme="minorHAnsi"/>
          <w:lang w:eastAsia="ja-JP"/>
        </w:rPr>
        <w:t xml:space="preserve">              </w:t>
      </w:r>
      <w:r w:rsidR="00CA5547" w:rsidRPr="00B845AF">
        <w:rPr>
          <w:rFonts w:asciiTheme="minorHAnsi" w:hAnsiTheme="minorHAnsi" w:cstheme="minorHAnsi"/>
        </w:rPr>
        <w:t xml:space="preserve">The amount of the retained catch should be verified with records of unloading obtained from a source other than the crew or owner or operator of the fishing vessel, such as an agent of the company responsible for unloading or onward shipping or purchasing of the catch.  </w:t>
      </w:r>
    </w:p>
    <w:p w14:paraId="0E00179C" w14:textId="77777777" w:rsidR="00CA5547" w:rsidRPr="00B845AF" w:rsidRDefault="00CA5547" w:rsidP="00CA5547">
      <w:pPr>
        <w:adjustRightInd w:val="0"/>
        <w:snapToGrid w:val="0"/>
        <w:ind w:left="720"/>
        <w:jc w:val="both"/>
        <w:rPr>
          <w:rFonts w:asciiTheme="minorHAnsi" w:hAnsiTheme="minorHAnsi" w:cstheme="minorHAnsi"/>
        </w:rPr>
      </w:pPr>
      <w:r w:rsidRPr="00B845AF">
        <w:rPr>
          <w:rFonts w:asciiTheme="minorHAnsi" w:hAnsiTheme="minorHAnsi" w:cstheme="minorHAnsi"/>
        </w:rPr>
        <w:lastRenderedPageBreak/>
        <w:t xml:space="preserve"> </w:t>
      </w:r>
    </w:p>
    <w:p w14:paraId="34967CB6" w14:textId="32989197" w:rsidR="00CA5547" w:rsidRPr="00B845AF" w:rsidRDefault="00CA5547" w:rsidP="00D47778">
      <w:pPr>
        <w:numPr>
          <w:ilvl w:val="0"/>
          <w:numId w:val="42"/>
        </w:numPr>
        <w:adjustRightInd w:val="0"/>
        <w:snapToGrid w:val="0"/>
        <w:ind w:right="38"/>
        <w:jc w:val="both"/>
        <w:rPr>
          <w:rFonts w:asciiTheme="minorHAnsi" w:hAnsiTheme="minorHAnsi" w:cstheme="minorHAnsi"/>
        </w:rPr>
      </w:pPr>
      <w:r w:rsidRPr="00B845AF">
        <w:rPr>
          <w:rFonts w:asciiTheme="minorHAnsi" w:hAnsiTheme="minorHAnsi" w:cstheme="minorHAnsi"/>
        </w:rPr>
        <w:t xml:space="preserve">Positions of latitude and longitude should be verified with information obtained from vessel monitoring systems.  </w:t>
      </w:r>
    </w:p>
    <w:p w14:paraId="0C3B1F12" w14:textId="77777777" w:rsidR="00CA5547" w:rsidRPr="00B845AF" w:rsidRDefault="00CA5547" w:rsidP="00CA5547">
      <w:pPr>
        <w:adjustRightInd w:val="0"/>
        <w:snapToGrid w:val="0"/>
        <w:jc w:val="both"/>
        <w:rPr>
          <w:rFonts w:asciiTheme="minorHAnsi" w:hAnsiTheme="minorHAnsi" w:cstheme="minorHAnsi"/>
        </w:rPr>
      </w:pPr>
      <w:r w:rsidRPr="00B845AF">
        <w:rPr>
          <w:rFonts w:asciiTheme="minorHAnsi" w:hAnsiTheme="minorHAnsi" w:cstheme="minorHAnsi"/>
        </w:rPr>
        <w:t xml:space="preserve"> </w:t>
      </w:r>
    </w:p>
    <w:p w14:paraId="5323BDEB" w14:textId="491FD92B" w:rsidR="00CA5547" w:rsidRPr="00B845AF" w:rsidRDefault="006E21F0" w:rsidP="00D47778">
      <w:pPr>
        <w:numPr>
          <w:ilvl w:val="0"/>
          <w:numId w:val="42"/>
        </w:numPr>
        <w:adjustRightInd w:val="0"/>
        <w:snapToGrid w:val="0"/>
        <w:ind w:right="38"/>
        <w:jc w:val="both"/>
        <w:rPr>
          <w:rFonts w:asciiTheme="minorHAnsi" w:hAnsiTheme="minorHAnsi" w:cstheme="minorHAnsi"/>
        </w:rPr>
      </w:pPr>
      <w:r w:rsidRPr="00B845AF">
        <w:rPr>
          <w:rFonts w:asciiTheme="minorHAnsi" w:eastAsia="MS Mincho" w:hAnsiTheme="minorHAnsi" w:cstheme="minorHAnsi"/>
          <w:lang w:eastAsia="ja-JP"/>
        </w:rPr>
        <w:t xml:space="preserve">              </w:t>
      </w:r>
      <w:r w:rsidR="00CA5547" w:rsidRPr="00B845AF">
        <w:rPr>
          <w:rFonts w:asciiTheme="minorHAnsi" w:hAnsiTheme="minorHAnsi" w:cstheme="minorHAnsi"/>
        </w:rPr>
        <w:t xml:space="preserve">The species composition of the catch should be verified with sampling conducted by observers during fishing operations or by port samplers during unloading. </w:t>
      </w:r>
    </w:p>
    <w:p w14:paraId="1D39CC0C" w14:textId="77777777" w:rsidR="00CA5547" w:rsidRPr="00B845AF" w:rsidRDefault="00CA5547" w:rsidP="00CA5547">
      <w:pPr>
        <w:spacing w:line="259" w:lineRule="auto"/>
        <w:jc w:val="both"/>
        <w:rPr>
          <w:rFonts w:asciiTheme="minorHAnsi" w:hAnsiTheme="minorHAnsi" w:cstheme="minorHAnsi"/>
        </w:rPr>
      </w:pPr>
      <w:r w:rsidRPr="00B845AF">
        <w:rPr>
          <w:rFonts w:asciiTheme="minorHAnsi" w:hAnsiTheme="minorHAnsi" w:cstheme="minorHAnsi"/>
        </w:rPr>
        <w:t xml:space="preserve"> </w:t>
      </w:r>
    </w:p>
    <w:p w14:paraId="4D559C82" w14:textId="77777777" w:rsidR="00CA5547" w:rsidRPr="00B845AF" w:rsidRDefault="00CA5547" w:rsidP="00CA5547">
      <w:pPr>
        <w:spacing w:line="259" w:lineRule="auto"/>
        <w:jc w:val="both"/>
        <w:rPr>
          <w:rFonts w:asciiTheme="minorHAnsi" w:hAnsiTheme="minorHAnsi" w:cstheme="minorHAnsi"/>
        </w:rPr>
      </w:pPr>
      <w:r w:rsidRPr="00B845AF">
        <w:rPr>
          <w:rFonts w:asciiTheme="minorHAnsi" w:hAnsiTheme="minorHAnsi" w:cstheme="minorHAnsi"/>
        </w:rPr>
        <w:t xml:space="preserve"> </w:t>
      </w:r>
      <w:r w:rsidRPr="00B845AF">
        <w:rPr>
          <w:rFonts w:asciiTheme="minorHAnsi" w:hAnsiTheme="minorHAnsi" w:cstheme="minorHAnsi"/>
        </w:rPr>
        <w:tab/>
        <w:t xml:space="preserve"> </w:t>
      </w:r>
    </w:p>
    <w:p w14:paraId="6862113F" w14:textId="77777777" w:rsidR="00CA5547" w:rsidRPr="00B845AF" w:rsidRDefault="00CA5547" w:rsidP="00CA5547">
      <w:pPr>
        <w:rPr>
          <w:rFonts w:asciiTheme="minorHAnsi" w:hAnsiTheme="minorHAnsi" w:cstheme="minorHAnsi"/>
        </w:rPr>
        <w:sectPr w:rsidR="00CA5547" w:rsidRPr="00B845AF" w:rsidSect="00F14811">
          <w:headerReference w:type="even" r:id="rId116"/>
          <w:headerReference w:type="default" r:id="rId117"/>
          <w:footerReference w:type="even" r:id="rId118"/>
          <w:footerReference w:type="default" r:id="rId119"/>
          <w:headerReference w:type="first" r:id="rId120"/>
          <w:footerReference w:type="first" r:id="rId121"/>
          <w:pgSz w:w="12240" w:h="15840" w:code="1"/>
          <w:pgMar w:top="1482" w:right="1748" w:bottom="1438" w:left="1800" w:header="720" w:footer="718" w:gutter="0"/>
          <w:cols w:space="720"/>
        </w:sectPr>
      </w:pPr>
    </w:p>
    <w:p w14:paraId="153C9EEB" w14:textId="77777777" w:rsidR="00CA5547" w:rsidRPr="00B845AF" w:rsidRDefault="00CA5547" w:rsidP="00CA5547">
      <w:pPr>
        <w:keepNext/>
        <w:keepLines/>
        <w:spacing w:line="259" w:lineRule="auto"/>
        <w:ind w:left="-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szCs w:val="22"/>
        </w:rPr>
        <w:lastRenderedPageBreak/>
        <w:t xml:space="preserve">Annex 2. Guidelines of operational level catch and effort data fields for longline, purse seine and pole-and-line gears </w:t>
      </w:r>
    </w:p>
    <w:p w14:paraId="51A9489B" w14:textId="77777777" w:rsidR="00CA5547" w:rsidRPr="00B845AF" w:rsidRDefault="00CA5547" w:rsidP="00CA5547">
      <w:pPr>
        <w:spacing w:after="37" w:line="259" w:lineRule="auto"/>
        <w:rPr>
          <w:rFonts w:asciiTheme="minorHAnsi" w:hAnsiTheme="minorHAnsi" w:cstheme="minorHAnsi"/>
        </w:rPr>
      </w:pPr>
      <w:r w:rsidRPr="00B845AF">
        <w:rPr>
          <w:rFonts w:asciiTheme="minorHAnsi" w:hAnsiTheme="minorHAnsi" w:cstheme="minorHAnsi"/>
          <w:sz w:val="20"/>
        </w:rPr>
        <w:t xml:space="preserve"> </w:t>
      </w:r>
    </w:p>
    <w:p w14:paraId="665334BA" w14:textId="77777777" w:rsidR="00CA5547" w:rsidRPr="00B845AF" w:rsidRDefault="00CA5547" w:rsidP="00CA5547">
      <w:pPr>
        <w:spacing w:line="259" w:lineRule="auto"/>
        <w:ind w:left="-5"/>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365F91"/>
          <w:lang w:eastAsia="ja-JP"/>
        </w:rPr>
        <w:t xml:space="preserve">A2.1.1 </w:t>
      </w:r>
      <w:r w:rsidRPr="00B845AF">
        <w:rPr>
          <w:rFonts w:asciiTheme="minorHAnsi" w:eastAsia="MS Mincho" w:hAnsiTheme="minorHAnsi" w:cstheme="minorHAnsi"/>
          <w:b/>
          <w:i/>
          <w:iCs/>
          <w:color w:val="365F91"/>
          <w:lang w:eastAsia="ja-JP"/>
        </w:rPr>
        <w:t>Longline operational data</w:t>
      </w:r>
      <w:r w:rsidRPr="00B845AF">
        <w:rPr>
          <w:rFonts w:asciiTheme="minorHAnsi" w:eastAsia="MS Mincho" w:hAnsiTheme="minorHAnsi" w:cstheme="minorHAnsi"/>
          <w:b/>
          <w:color w:val="365F91"/>
          <w:lang w:eastAsia="ja-JP"/>
        </w:rPr>
        <w:t xml:space="preserve"> –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CA5547" w:rsidRPr="00B845AF" w14:paraId="40DEAC72" w14:textId="77777777" w:rsidTr="00835632">
        <w:trPr>
          <w:trHeight w:val="205"/>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211ABC4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19B5E18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719A1444" w14:textId="77777777" w:rsidR="00CA5547" w:rsidRPr="00B845AF" w:rsidRDefault="00CA5547" w:rsidP="00CA5547">
            <w:pPr>
              <w:spacing w:line="259" w:lineRule="auto"/>
              <w:ind w:right="14"/>
              <w:jc w:val="center"/>
              <w:rPr>
                <w:rFonts w:asciiTheme="minorHAnsi" w:hAnsiTheme="minorHAnsi" w:cstheme="minorHAnsi"/>
              </w:rPr>
            </w:pPr>
            <w:r w:rsidRPr="00B845AF">
              <w:rPr>
                <w:rFonts w:asciiTheme="minorHAnsi" w:hAnsiTheme="minorHAnsi" w:cstheme="minorHAnsi"/>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F086A3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0E939CD1" w14:textId="77777777" w:rsidTr="00835632">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398A78A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043F72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1A6CCA57"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5A9B302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0E9E4484" w14:textId="77777777" w:rsidTr="00835632">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4FF3C46F"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55C3AD3D"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code of the flag-state the vessel is operating under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ED9F1F9"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A24BE1E"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1932FCBA" w14:textId="77777777" w:rsidTr="00835632">
        <w:trPr>
          <w:trHeight w:val="628"/>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8B73798"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57DCB28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8BA1653"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5F73EDA"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016A2E11" w14:textId="77777777" w:rsidTr="00835632">
        <w:trPr>
          <w:trHeight w:val="1619"/>
        </w:trPr>
        <w:tc>
          <w:tcPr>
            <w:tcW w:w="1520" w:type="dxa"/>
            <w:tcBorders>
              <w:top w:val="single" w:sz="4" w:space="0" w:color="000000"/>
              <w:left w:val="single" w:sz="4" w:space="0" w:color="000000"/>
              <w:bottom w:val="single" w:sz="4" w:space="0" w:color="000000"/>
              <w:right w:val="single" w:sz="4" w:space="0" w:color="000000"/>
            </w:tcBorders>
          </w:tcPr>
          <w:p w14:paraId="541622A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703BDAD2" w14:textId="77777777" w:rsidR="00CA5547" w:rsidRPr="00B845AF" w:rsidRDefault="00CA5547" w:rsidP="00CA5547">
            <w:pPr>
              <w:spacing w:after="74" w:line="244" w:lineRule="auto"/>
              <w:rPr>
                <w:rFonts w:asciiTheme="minorHAnsi" w:hAnsiTheme="minorHAnsi" w:cstheme="minorHAnsi"/>
              </w:rPr>
            </w:pPr>
            <w:r w:rsidRPr="00B845AF">
              <w:rPr>
                <w:rFonts w:asciiTheme="minorHAnsi" w:hAnsiTheme="minorHAnsi" w:cstheme="minorHAnsi"/>
                <w:color w:val="0000FF"/>
                <w:sz w:val="16"/>
              </w:rPr>
              <w:t xml:space="preserve">Name of the </w:t>
            </w:r>
            <w:r w:rsidRPr="00B845AF">
              <w:rPr>
                <w:rFonts w:asciiTheme="minorHAnsi" w:hAnsiTheme="minorHAnsi" w:cstheme="minorHAnsi"/>
                <w:b/>
                <w:color w:val="0000FF"/>
                <w:sz w:val="16"/>
                <w:u w:val="single" w:color="0000FF"/>
              </w:rPr>
              <w:t>vessel</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country of registration</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registration number</w:t>
            </w:r>
            <w:r w:rsidRPr="00B845AF">
              <w:rPr>
                <w:rFonts w:asciiTheme="minorHAnsi" w:hAnsiTheme="minorHAnsi" w:cstheme="minorHAnsi"/>
                <w:color w:val="0000FF"/>
                <w:sz w:val="16"/>
              </w:rPr>
              <w:t xml:space="preserve">, and </w:t>
            </w:r>
            <w:r w:rsidRPr="00B845AF">
              <w:rPr>
                <w:rFonts w:asciiTheme="minorHAnsi" w:hAnsiTheme="minorHAnsi" w:cstheme="minorHAnsi"/>
                <w:b/>
                <w:color w:val="0000FF"/>
                <w:sz w:val="16"/>
                <w:u w:val="single" w:color="0000FF"/>
              </w:rPr>
              <w:t>international radio</w:t>
            </w:r>
            <w:r w:rsidRPr="00B845AF">
              <w:rPr>
                <w:rFonts w:asciiTheme="minorHAnsi" w:hAnsiTheme="minorHAnsi" w:cstheme="minorHAnsi"/>
                <w:b/>
                <w:color w:val="0000FF"/>
                <w:sz w:val="16"/>
              </w:rPr>
              <w:t xml:space="preserve"> </w:t>
            </w:r>
            <w:r w:rsidRPr="00B845AF">
              <w:rPr>
                <w:rFonts w:asciiTheme="minorHAnsi" w:hAnsiTheme="minorHAnsi" w:cstheme="minorHAnsi"/>
                <w:b/>
                <w:color w:val="0000FF"/>
                <w:sz w:val="16"/>
                <w:u w:val="single" w:color="0000FF"/>
              </w:rPr>
              <w:t>call sign</w:t>
            </w:r>
            <w:r w:rsidRPr="00B845AF">
              <w:rPr>
                <w:rFonts w:asciiTheme="minorHAnsi" w:hAnsiTheme="minorHAnsi" w:cstheme="minorHAnsi"/>
                <w:color w:val="0000FF"/>
                <w:sz w:val="16"/>
              </w:rPr>
              <w:t xml:space="preserve">:  </w:t>
            </w:r>
          </w:p>
          <w:p w14:paraId="4346A40C"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081040A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728CBD13"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C3E7884" w14:textId="77777777" w:rsidR="00CA5547" w:rsidRPr="00B845AF" w:rsidRDefault="00CA5547" w:rsidP="00CA5547">
            <w:pPr>
              <w:spacing w:after="77" w:line="241" w:lineRule="auto"/>
              <w:ind w:left="1"/>
              <w:rPr>
                <w:rFonts w:asciiTheme="minorHAnsi" w:hAnsiTheme="minorHAnsi" w:cstheme="minorHAnsi"/>
              </w:rPr>
            </w:pPr>
            <w:r w:rsidRPr="00B845AF">
              <w:rPr>
                <w:rFonts w:asciiTheme="minorHAnsi" w:hAnsiTheme="minorHAnsi" w:cstheme="minorHAnsi"/>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23A2281C"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rPr>
              <w:t xml:space="preserve"> </w:t>
            </w:r>
          </w:p>
          <w:p w14:paraId="1EE990F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Please provide a separate list of Vessel attributes linked to the Vessel identifier field.</w:t>
            </w:r>
            <w:r w:rsidRPr="00B845AF">
              <w:rPr>
                <w:rFonts w:asciiTheme="minorHAnsi" w:hAnsiTheme="minorHAnsi" w:cstheme="minorHAnsi"/>
                <w:color w:val="0000FF"/>
                <w:sz w:val="16"/>
              </w:rPr>
              <w:t xml:space="preserve"> </w:t>
            </w:r>
          </w:p>
        </w:tc>
      </w:tr>
      <w:tr w:rsidR="00CA5547" w:rsidRPr="00B845AF" w14:paraId="6130CAA2" w14:textId="77777777" w:rsidTr="00835632">
        <w:trPr>
          <w:trHeight w:val="2009"/>
        </w:trPr>
        <w:tc>
          <w:tcPr>
            <w:tcW w:w="1520" w:type="dxa"/>
            <w:tcBorders>
              <w:top w:val="single" w:sz="4" w:space="0" w:color="000000"/>
              <w:left w:val="single" w:sz="4" w:space="0" w:color="000000"/>
              <w:bottom w:val="single" w:sz="4" w:space="0" w:color="000000"/>
              <w:right w:val="single" w:sz="4" w:space="0" w:color="000000"/>
            </w:tcBorders>
          </w:tcPr>
          <w:p w14:paraId="617604B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079F9F5A" w14:textId="77777777" w:rsidR="00CA5547" w:rsidRPr="00B845AF" w:rsidRDefault="00CA5547" w:rsidP="00CA5547">
            <w:pPr>
              <w:spacing w:after="77"/>
              <w:ind w:right="11"/>
              <w:rPr>
                <w:rFonts w:asciiTheme="minorHAnsi" w:hAnsiTheme="minorHAnsi" w:cstheme="minorHAnsi"/>
              </w:rPr>
            </w:pPr>
            <w:r w:rsidRPr="00B845AF">
              <w:rPr>
                <w:rFonts w:asciiTheme="minorHAnsi" w:hAnsiTheme="minorHAnsi" w:cstheme="minorHAnsi"/>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11B0E77C"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4AAD44D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If the start of a trip coincides with recommencing fishing operations or transiting to a fishing area after transshipping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74366F79"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75F7BD3" w14:textId="77777777" w:rsidR="00CA5547" w:rsidRPr="00B845AF" w:rsidRDefault="00CA5547" w:rsidP="00CA5547">
            <w:pPr>
              <w:spacing w:after="50" w:line="273"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22"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23"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xml:space="preserve">. Alternatively, provide a standardised Port location code through the following facility </w:t>
            </w:r>
          </w:p>
          <w:p w14:paraId="551E4C0E" w14:textId="77777777" w:rsidR="00CA5547" w:rsidRPr="00B845AF" w:rsidRDefault="00CA5547" w:rsidP="00CA5547">
            <w:pPr>
              <w:spacing w:after="50" w:line="273" w:lineRule="auto"/>
              <w:ind w:left="1"/>
              <w:rPr>
                <w:rFonts w:asciiTheme="minorHAnsi" w:eastAsiaTheme="majorEastAsia" w:hAnsiTheme="minorHAnsi" w:cstheme="minorHAnsi"/>
                <w:color w:val="0000FF"/>
                <w:sz w:val="16"/>
                <w:szCs w:val="16"/>
                <w:u w:val="single"/>
              </w:rPr>
            </w:pPr>
            <w:r w:rsidRPr="00B845AF">
              <w:rPr>
                <w:rFonts w:asciiTheme="minorHAnsi" w:hAnsiTheme="minorHAnsi" w:cstheme="minorHAnsi"/>
                <w:sz w:val="16"/>
                <w:szCs w:val="16"/>
              </w:rPr>
              <w:fldChar w:fldCharType="begin"/>
            </w:r>
            <w:r w:rsidRPr="00B845AF">
              <w:rPr>
                <w:rFonts w:asciiTheme="minorHAnsi" w:hAnsiTheme="minorHAnsi" w:cstheme="minorHAnsi"/>
                <w:sz w:val="16"/>
                <w:szCs w:val="16"/>
              </w:rPr>
              <w:instrText>HYPERLINK "https://unece.org/trade/cefact/unlocode-code-list-country-and-territory"</w:instrText>
            </w:r>
            <w:r w:rsidRPr="00B845AF">
              <w:rPr>
                <w:rFonts w:asciiTheme="minorHAnsi" w:hAnsiTheme="minorHAnsi" w:cstheme="minorHAnsi"/>
                <w:sz w:val="16"/>
                <w:szCs w:val="16"/>
              </w:rPr>
            </w:r>
            <w:r w:rsidRPr="00B845AF">
              <w:rPr>
                <w:rFonts w:asciiTheme="minorHAnsi" w:hAnsiTheme="minorHAnsi" w:cstheme="minorHAnsi"/>
                <w:sz w:val="16"/>
                <w:szCs w:val="16"/>
              </w:rPr>
              <w:fldChar w:fldCharType="separate"/>
            </w:r>
            <w:r w:rsidRPr="00B845AF">
              <w:rPr>
                <w:rFonts w:asciiTheme="minorHAnsi" w:eastAsiaTheme="majorEastAsia" w:hAnsiTheme="minorHAnsi" w:cstheme="minorHAnsi"/>
                <w:color w:val="0000FF"/>
                <w:sz w:val="16"/>
                <w:szCs w:val="16"/>
                <w:u w:val="single"/>
              </w:rPr>
              <w:t>https://unece.org/trade/cefact/unlocode-code-list-country-and-territory</w:t>
            </w:r>
          </w:p>
          <w:p w14:paraId="06589F57"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szCs w:val="16"/>
              </w:rPr>
              <w:fldChar w:fldCharType="end"/>
            </w:r>
            <w:r w:rsidRPr="00B845AF">
              <w:rPr>
                <w:rFonts w:asciiTheme="minorHAnsi" w:hAnsiTheme="minorHAnsi" w:cstheme="minorHAnsi"/>
                <w:sz w:val="16"/>
              </w:rPr>
              <w:t xml:space="preserve"> </w:t>
            </w:r>
          </w:p>
          <w:p w14:paraId="10E56F73" w14:textId="77777777" w:rsidR="00CA5547" w:rsidRPr="00B845AF" w:rsidRDefault="00CA5547" w:rsidP="00CA5547">
            <w:pPr>
              <w:spacing w:after="74" w:line="244" w:lineRule="auto"/>
              <w:ind w:left="1"/>
              <w:rPr>
                <w:rFonts w:asciiTheme="minorHAnsi" w:hAnsiTheme="minorHAnsi" w:cstheme="minorHAnsi"/>
              </w:rPr>
            </w:pPr>
            <w:r w:rsidRPr="00B845AF">
              <w:rPr>
                <w:rFonts w:asciiTheme="minorHAnsi" w:hAnsiTheme="minorHAnsi" w:cstheme="minorHAnsi"/>
                <w:sz w:val="16"/>
              </w:rPr>
              <w:t xml:space="preserve">The WCPFC will consider the establishment of WCPFC LOCATION CODEs in the future.  </w:t>
            </w:r>
          </w:p>
          <w:p w14:paraId="4CF1540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r>
      <w:tr w:rsidR="00CA5547" w:rsidRPr="00B845AF" w14:paraId="34499316" w14:textId="77777777" w:rsidTr="00835632">
        <w:trPr>
          <w:trHeight w:val="1697"/>
        </w:trPr>
        <w:tc>
          <w:tcPr>
            <w:tcW w:w="1520" w:type="dxa"/>
            <w:tcBorders>
              <w:top w:val="single" w:sz="4" w:space="0" w:color="000000"/>
              <w:left w:val="single" w:sz="4" w:space="0" w:color="000000"/>
              <w:bottom w:val="single" w:sz="4" w:space="0" w:color="000000"/>
              <w:right w:val="single" w:sz="4" w:space="0" w:color="000000"/>
            </w:tcBorders>
          </w:tcPr>
          <w:p w14:paraId="27DA96F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07DF8EEE" w14:textId="77777777" w:rsidR="00CA5547" w:rsidRPr="00B845AF" w:rsidRDefault="00CA5547" w:rsidP="00CA5547">
            <w:pPr>
              <w:spacing w:after="79" w:line="241" w:lineRule="auto"/>
              <w:rPr>
                <w:rFonts w:asciiTheme="minorHAnsi" w:hAnsiTheme="minorHAnsi" w:cstheme="minorHAnsi"/>
              </w:rPr>
            </w:pPr>
            <w:r w:rsidRPr="00B845AF">
              <w:rPr>
                <w:rFonts w:asciiTheme="minorHAnsi" w:hAnsiTheme="minorHAnsi" w:cstheme="minorHAnsi"/>
                <w:color w:val="0000FF"/>
                <w:sz w:val="16"/>
              </w:rPr>
              <w:t xml:space="preserve">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“ATSEA” code shall be reported in lieu of the port of unloading. </w:t>
            </w:r>
          </w:p>
          <w:p w14:paraId="267AEF3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537F802"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5F323533" w14:textId="77777777" w:rsidR="00CA5547" w:rsidRPr="00B845AF" w:rsidRDefault="00CA5547" w:rsidP="00CA5547">
            <w:pPr>
              <w:spacing w:after="53" w:line="272"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24"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25"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xml:space="preserve">. Alternatively, provide a standardised Port location code through the following facility </w:t>
            </w:r>
            <w:hyperlink r:id="rId126" w:history="1">
              <w:r w:rsidRPr="00B845AF">
                <w:rPr>
                  <w:rFonts w:asciiTheme="minorHAnsi" w:eastAsiaTheme="majorEastAsia" w:hAnsiTheme="minorHAnsi" w:cstheme="minorHAnsi"/>
                  <w:color w:val="0000FF"/>
                  <w:sz w:val="16"/>
                  <w:u w:val="single"/>
                </w:rPr>
                <w:t>https://unece.org/trade/cefact/unlocode-code-list-country-and-territory</w:t>
              </w:r>
            </w:hyperlink>
            <w:r w:rsidRPr="00B845AF">
              <w:rPr>
                <w:rFonts w:asciiTheme="minorHAnsi" w:hAnsiTheme="minorHAnsi" w:cstheme="minorHAnsi"/>
                <w:sz w:val="16"/>
              </w:rPr>
              <w:t xml:space="preserve">  </w:t>
            </w:r>
          </w:p>
          <w:p w14:paraId="242FC284"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szCs w:val="16"/>
              </w:rPr>
              <w:t>Use 'ongoing' to flag trips that have not yet been completed</w:t>
            </w:r>
          </w:p>
          <w:p w14:paraId="5746056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lastRenderedPageBreak/>
              <w:t xml:space="preserve">The WCPFC will consider the establishment of WCPFC LOCATION CODEs in the future. </w:t>
            </w:r>
          </w:p>
        </w:tc>
      </w:tr>
      <w:tr w:rsidR="00CA5547" w:rsidRPr="00B845AF" w14:paraId="42A8218B" w14:textId="77777777" w:rsidTr="00835632">
        <w:trPr>
          <w:trHeight w:val="674"/>
        </w:trPr>
        <w:tc>
          <w:tcPr>
            <w:tcW w:w="1520" w:type="dxa"/>
            <w:tcBorders>
              <w:top w:val="single" w:sz="4" w:space="0" w:color="000000"/>
              <w:left w:val="single" w:sz="4" w:space="0" w:color="000000"/>
              <w:bottom w:val="single" w:sz="4" w:space="0" w:color="000000"/>
              <w:right w:val="single" w:sz="4" w:space="0" w:color="000000"/>
            </w:tcBorders>
          </w:tcPr>
          <w:p w14:paraId="059C90F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DATE OF </w:t>
            </w:r>
          </w:p>
          <w:p w14:paraId="6271B1F0"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3EC4211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departure from Port</w:t>
            </w:r>
            <w:r w:rsidRPr="00B845AF">
              <w:rPr>
                <w:rFonts w:asciiTheme="minorHAnsi" w:hAnsiTheme="minorHAnsi" w:cstheme="minorHAnsi"/>
                <w:color w:val="0000FF"/>
                <w:sz w:val="16"/>
              </w:rPr>
              <w:t xml:space="preserve">. If the start of a trip coincides with recommencing fishing operations or transiting to a fishing area after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05369EEB"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B7B40E4" w14:textId="77777777" w:rsidR="00CA5547" w:rsidRPr="00B845AF" w:rsidRDefault="00CA5547" w:rsidP="00CA5547">
            <w:pPr>
              <w:spacing w:after="64" w:line="259" w:lineRule="auto"/>
              <w:ind w:left="1"/>
              <w:rPr>
                <w:rFonts w:asciiTheme="minorHAnsi" w:hAnsiTheme="minorHAnsi" w:cstheme="minorHAnsi"/>
                <w:color w:val="0000FF"/>
                <w:sz w:val="16"/>
              </w:rPr>
            </w:pPr>
            <w:r w:rsidRPr="00B845AF">
              <w:rPr>
                <w:rFonts w:asciiTheme="minorHAnsi" w:hAnsiTheme="minorHAnsi" w:cstheme="minorHAnsi"/>
                <w:sz w:val="16"/>
              </w:rPr>
              <w:t>Recommend using ISO 8601 – Date only format</w:t>
            </w:r>
          </w:p>
          <w:p w14:paraId="6275220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6345807C" w14:textId="77777777" w:rsidTr="00835632">
        <w:trPr>
          <w:trHeight w:val="802"/>
        </w:trPr>
        <w:tc>
          <w:tcPr>
            <w:tcW w:w="1520" w:type="dxa"/>
            <w:tcBorders>
              <w:top w:val="single" w:sz="4" w:space="0" w:color="000000"/>
              <w:left w:val="single" w:sz="4" w:space="0" w:color="000000"/>
              <w:bottom w:val="single" w:sz="4" w:space="0" w:color="000000"/>
              <w:right w:val="single" w:sz="4" w:space="0" w:color="000000"/>
            </w:tcBorders>
          </w:tcPr>
          <w:p w14:paraId="471B9CA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 OF </w:t>
            </w:r>
          </w:p>
          <w:p w14:paraId="09556D4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UNLOADING </w:t>
            </w:r>
          </w:p>
          <w:p w14:paraId="2D4D7ED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11075C8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return to Port</w:t>
            </w:r>
            <w:r w:rsidRPr="00B845AF">
              <w:rPr>
                <w:rFonts w:asciiTheme="minorHAnsi" w:hAnsiTheme="minorHAnsi" w:cstheme="minorHAnsi"/>
                <w:color w:val="0000FF"/>
                <w:sz w:val="16"/>
              </w:rPr>
              <w:t xml:space="preserve"> 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6275E595"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NO </w:t>
            </w:r>
          </w:p>
        </w:tc>
        <w:tc>
          <w:tcPr>
            <w:tcW w:w="4775" w:type="dxa"/>
            <w:tcBorders>
              <w:top w:val="single" w:sz="4" w:space="0" w:color="000000"/>
              <w:left w:val="single" w:sz="4" w:space="0" w:color="000000"/>
              <w:bottom w:val="single" w:sz="4" w:space="0" w:color="000000"/>
              <w:right w:val="single" w:sz="4" w:space="0" w:color="000000"/>
            </w:tcBorders>
          </w:tcPr>
          <w:p w14:paraId="5FF581F5" w14:textId="77777777" w:rsidR="00CA5547" w:rsidRPr="00B845AF" w:rsidRDefault="00CA5547" w:rsidP="00CA5547">
            <w:pPr>
              <w:spacing w:after="62" w:line="259" w:lineRule="auto"/>
              <w:ind w:left="1"/>
              <w:rPr>
                <w:rFonts w:asciiTheme="minorHAnsi" w:hAnsiTheme="minorHAnsi" w:cstheme="minorHAnsi"/>
                <w:color w:val="0000FF"/>
                <w:sz w:val="16"/>
              </w:rPr>
            </w:pPr>
            <w:r w:rsidRPr="00B845AF">
              <w:rPr>
                <w:rFonts w:asciiTheme="minorHAnsi" w:hAnsiTheme="minorHAnsi" w:cstheme="minorHAnsi"/>
                <w:sz w:val="16"/>
              </w:rPr>
              <w:t>Recommend using ISO 8601 – Date only format</w:t>
            </w:r>
            <w:r w:rsidRPr="00B845AF">
              <w:rPr>
                <w:rFonts w:asciiTheme="minorHAnsi" w:hAnsiTheme="minorHAnsi" w:cstheme="minorHAnsi"/>
                <w:color w:val="0000FF"/>
                <w:sz w:val="16"/>
              </w:rPr>
              <w:t xml:space="preserve"> </w:t>
            </w:r>
          </w:p>
          <w:p w14:paraId="6887855E" w14:textId="77777777" w:rsidR="00CA5547" w:rsidRPr="00B845AF" w:rsidRDefault="00CA5547" w:rsidP="00CA5547">
            <w:pPr>
              <w:spacing w:after="62"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Date of unloading IS MANDATORY if a trip has concluded. If a trip is ONGOING at the time of submission, this field may be left blank.</w:t>
            </w:r>
          </w:p>
          <w:p w14:paraId="32146089" w14:textId="77777777" w:rsidR="00CA5547" w:rsidRPr="00B845AF" w:rsidRDefault="00CA5547" w:rsidP="00CA5547">
            <w:pPr>
              <w:spacing w:after="62" w:line="259" w:lineRule="auto"/>
              <w:ind w:left="1"/>
              <w:rPr>
                <w:rFonts w:asciiTheme="minorHAnsi" w:hAnsiTheme="minorHAnsi" w:cstheme="minorHAnsi"/>
                <w:sz w:val="16"/>
                <w:szCs w:val="16"/>
              </w:rPr>
            </w:pPr>
          </w:p>
          <w:p w14:paraId="52C8252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bl>
    <w:p w14:paraId="7C5F0DE7" w14:textId="77777777" w:rsidR="00CA5547" w:rsidRPr="00B845AF" w:rsidRDefault="00CA5547" w:rsidP="00CA5547">
      <w:pPr>
        <w:spacing w:after="57" w:line="259" w:lineRule="auto"/>
        <w:rPr>
          <w:rFonts w:asciiTheme="minorHAnsi" w:hAnsiTheme="minorHAnsi" w:cstheme="minorHAnsi"/>
        </w:rPr>
      </w:pPr>
      <w:r w:rsidRPr="00B845AF">
        <w:rPr>
          <w:rFonts w:asciiTheme="minorHAnsi" w:hAnsiTheme="minorHAnsi" w:cstheme="minorHAnsi"/>
          <w:sz w:val="20"/>
        </w:rPr>
        <w:t xml:space="preserve"> </w:t>
      </w:r>
    </w:p>
    <w:p w14:paraId="65A5569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20"/>
        </w:rPr>
        <w:t xml:space="preserve"> </w:t>
      </w:r>
      <w:r w:rsidRPr="00B845AF">
        <w:rPr>
          <w:rFonts w:asciiTheme="minorHAnsi" w:hAnsiTheme="minorHAnsi" w:cstheme="minorHAnsi"/>
          <w:sz w:val="20"/>
        </w:rPr>
        <w:tab/>
      </w:r>
      <w:r w:rsidRPr="00B845AF">
        <w:rPr>
          <w:rFonts w:asciiTheme="minorHAnsi" w:hAnsiTheme="minorHAnsi" w:cstheme="minorHAnsi"/>
          <w:color w:val="365F91"/>
          <w:sz w:val="26"/>
        </w:rPr>
        <w:t xml:space="preserve"> </w:t>
      </w:r>
    </w:p>
    <w:p w14:paraId="12F7F2D8" w14:textId="77777777" w:rsidR="00CA5547" w:rsidRPr="00B845AF" w:rsidRDefault="00CA5547" w:rsidP="00CA5547">
      <w:pPr>
        <w:spacing w:line="259" w:lineRule="auto"/>
        <w:ind w:left="-5"/>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365F91"/>
          <w:lang w:eastAsia="ja-JP"/>
        </w:rPr>
        <w:t xml:space="preserve">A2.1.2 </w:t>
      </w:r>
      <w:r w:rsidRPr="00B845AF">
        <w:rPr>
          <w:rFonts w:asciiTheme="minorHAnsi" w:eastAsia="MS Mincho" w:hAnsiTheme="minorHAnsi" w:cstheme="minorHAnsi"/>
          <w:b/>
          <w:i/>
          <w:iCs/>
          <w:color w:val="365F91"/>
          <w:lang w:eastAsia="ja-JP"/>
        </w:rPr>
        <w:t>Longline operational data</w:t>
      </w:r>
      <w:r w:rsidRPr="00B845AF">
        <w:rPr>
          <w:rFonts w:asciiTheme="minorHAnsi" w:eastAsia="MS Mincho" w:hAnsiTheme="minorHAnsi" w:cstheme="minorHAnsi"/>
          <w:b/>
          <w:color w:val="365F91"/>
          <w:lang w:eastAsia="ja-JP"/>
        </w:rPr>
        <w:t xml:space="preserve"> – ACTIVITY INFORMATION </w:t>
      </w:r>
    </w:p>
    <w:tbl>
      <w:tblPr>
        <w:tblStyle w:val="TableGrid0"/>
        <w:tblW w:w="13550"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3" w:type="dxa"/>
        </w:tblCellMar>
        <w:tblLook w:val="04A0" w:firstRow="1" w:lastRow="0" w:firstColumn="1" w:lastColumn="0" w:noHBand="0" w:noVBand="1"/>
      </w:tblPr>
      <w:tblGrid>
        <w:gridCol w:w="1355"/>
        <w:gridCol w:w="5868"/>
        <w:gridCol w:w="867"/>
        <w:gridCol w:w="381"/>
        <w:gridCol w:w="1299"/>
        <w:gridCol w:w="3504"/>
        <w:gridCol w:w="276"/>
      </w:tblGrid>
      <w:tr w:rsidR="00CA5547" w:rsidRPr="00B845AF" w14:paraId="094B7932" w14:textId="77777777" w:rsidTr="00835632">
        <w:trPr>
          <w:trHeight w:val="204"/>
        </w:trPr>
        <w:tc>
          <w:tcPr>
            <w:tcW w:w="1355" w:type="dxa"/>
            <w:shd w:val="clear" w:color="auto" w:fill="A6A6A6" w:themeFill="background1" w:themeFillShade="A6"/>
          </w:tcPr>
          <w:p w14:paraId="4D2BF1F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5868" w:type="dxa"/>
            <w:shd w:val="clear" w:color="auto" w:fill="A6A6A6" w:themeFill="background1" w:themeFillShade="A6"/>
          </w:tcPr>
          <w:p w14:paraId="29EEF5CA"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sz w:val="16"/>
              </w:rPr>
              <w:t xml:space="preserve">Reference text in Annex 1. </w:t>
            </w:r>
          </w:p>
        </w:tc>
        <w:tc>
          <w:tcPr>
            <w:tcW w:w="867" w:type="dxa"/>
            <w:shd w:val="clear" w:color="auto" w:fill="A6A6A6" w:themeFill="background1" w:themeFillShade="A6"/>
          </w:tcPr>
          <w:p w14:paraId="4F58046C" w14:textId="77777777" w:rsidR="00CA5547" w:rsidRPr="00B845AF" w:rsidRDefault="00CA5547" w:rsidP="00CA5547">
            <w:pPr>
              <w:spacing w:line="259" w:lineRule="auto"/>
              <w:ind w:right="105"/>
              <w:jc w:val="center"/>
              <w:rPr>
                <w:rFonts w:asciiTheme="minorHAnsi" w:hAnsiTheme="minorHAnsi" w:cstheme="minorHAnsi"/>
              </w:rPr>
            </w:pPr>
            <w:r w:rsidRPr="00B845AF">
              <w:rPr>
                <w:rFonts w:asciiTheme="minorHAnsi" w:hAnsiTheme="minorHAnsi" w:cstheme="minorHAnsi"/>
                <w:b/>
                <w:sz w:val="16"/>
              </w:rPr>
              <w:t xml:space="preserve">Binding </w:t>
            </w:r>
          </w:p>
        </w:tc>
        <w:tc>
          <w:tcPr>
            <w:tcW w:w="5460" w:type="dxa"/>
            <w:gridSpan w:val="4"/>
            <w:shd w:val="clear" w:color="auto" w:fill="A6A6A6" w:themeFill="background1" w:themeFillShade="A6"/>
          </w:tcPr>
          <w:p w14:paraId="7EAE8C5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11267D5A" w14:textId="77777777" w:rsidTr="00835632">
        <w:trPr>
          <w:trHeight w:val="401"/>
        </w:trPr>
        <w:tc>
          <w:tcPr>
            <w:tcW w:w="1355" w:type="dxa"/>
            <w:shd w:val="clear" w:color="auto" w:fill="FDE9D9"/>
          </w:tcPr>
          <w:p w14:paraId="2F7529A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5868" w:type="dxa"/>
            <w:shd w:val="clear" w:color="auto" w:fill="FDE9D9"/>
          </w:tcPr>
          <w:p w14:paraId="3CCB2E14"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867" w:type="dxa"/>
            <w:shd w:val="clear" w:color="auto" w:fill="FDE9D9"/>
          </w:tcPr>
          <w:p w14:paraId="59B38344"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p>
        </w:tc>
        <w:tc>
          <w:tcPr>
            <w:tcW w:w="5460" w:type="dxa"/>
            <w:gridSpan w:val="4"/>
            <w:shd w:val="clear" w:color="auto" w:fill="FDE9D9"/>
          </w:tcPr>
          <w:p w14:paraId="56BFA4E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2BA785C6" w14:textId="77777777" w:rsidTr="00835632">
        <w:trPr>
          <w:trHeight w:val="398"/>
        </w:trPr>
        <w:tc>
          <w:tcPr>
            <w:tcW w:w="1355" w:type="dxa"/>
            <w:shd w:val="clear" w:color="auto" w:fill="FDE9D9"/>
          </w:tcPr>
          <w:p w14:paraId="0CA39F1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IDENTIFIER </w:t>
            </w:r>
          </w:p>
        </w:tc>
        <w:tc>
          <w:tcPr>
            <w:tcW w:w="5868" w:type="dxa"/>
            <w:shd w:val="clear" w:color="auto" w:fill="FDE9D9"/>
          </w:tcPr>
          <w:p w14:paraId="7C1B1470"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867" w:type="dxa"/>
            <w:shd w:val="clear" w:color="auto" w:fill="FDE9D9"/>
          </w:tcPr>
          <w:p w14:paraId="35EBF9C9"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5460" w:type="dxa"/>
            <w:gridSpan w:val="4"/>
            <w:shd w:val="clear" w:color="auto" w:fill="FDE9D9"/>
          </w:tcPr>
          <w:p w14:paraId="38DA597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5D6D5C01" w14:textId="77777777" w:rsidTr="00835632">
        <w:trPr>
          <w:trHeight w:val="385"/>
        </w:trPr>
        <w:tc>
          <w:tcPr>
            <w:tcW w:w="1355" w:type="dxa"/>
            <w:vMerge w:val="restart"/>
          </w:tcPr>
          <w:p w14:paraId="54C3B85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w:t>
            </w:r>
          </w:p>
        </w:tc>
        <w:tc>
          <w:tcPr>
            <w:tcW w:w="5868" w:type="dxa"/>
          </w:tcPr>
          <w:p w14:paraId="738409BE"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Activity</w:t>
            </w:r>
            <w:r w:rsidRPr="00B845AF">
              <w:rPr>
                <w:rFonts w:asciiTheme="minorHAnsi" w:hAnsiTheme="minorHAnsi" w:cstheme="minorHAnsi"/>
                <w:color w:val="0000FF"/>
                <w:sz w:val="16"/>
              </w:rPr>
              <w:t xml:space="preserve">: This item shall be reported for each set. Activities should include “a set”. </w:t>
            </w:r>
          </w:p>
        </w:tc>
        <w:tc>
          <w:tcPr>
            <w:tcW w:w="867" w:type="dxa"/>
          </w:tcPr>
          <w:p w14:paraId="2B76AEF1"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5460" w:type="dxa"/>
            <w:gridSpan w:val="4"/>
            <w:vMerge w:val="restart"/>
          </w:tcPr>
          <w:p w14:paraId="03222334" w14:textId="77777777" w:rsidR="00CA5547" w:rsidRPr="00B845AF" w:rsidRDefault="00CA5547" w:rsidP="00CA5547">
            <w:pPr>
              <w:spacing w:line="241" w:lineRule="auto"/>
              <w:ind w:left="1" w:right="93"/>
              <w:rPr>
                <w:rFonts w:asciiTheme="minorHAnsi" w:hAnsiTheme="minorHAnsi" w:cstheme="minorHAnsi"/>
              </w:rPr>
            </w:pPr>
            <w:r w:rsidRPr="00B845AF">
              <w:rPr>
                <w:rFonts w:asciiTheme="minorHAnsi" w:hAnsiTheme="minorHAnsi" w:cstheme="minorHAnsi"/>
                <w:sz w:val="16"/>
              </w:rPr>
              <w:t xml:space="preserve">Suggest using a standardised numeric code for each activity consistent with the WCFPC E-Reporting data field standards. </w:t>
            </w:r>
          </w:p>
          <w:p w14:paraId="4FAD389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p w14:paraId="4360C34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1 – “a set”; </w:t>
            </w:r>
          </w:p>
          <w:p w14:paraId="722FB9F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2 – “searching”; </w:t>
            </w:r>
          </w:p>
          <w:p w14:paraId="2BFEA774" w14:textId="77777777" w:rsidR="00CA5547" w:rsidRPr="00B845AF" w:rsidRDefault="00CA5547" w:rsidP="00CA5547">
            <w:pPr>
              <w:spacing w:line="259" w:lineRule="auto"/>
              <w:ind w:right="1173"/>
              <w:rPr>
                <w:rFonts w:asciiTheme="minorHAnsi" w:hAnsiTheme="minorHAnsi" w:cstheme="minorHAnsi"/>
              </w:rPr>
            </w:pPr>
            <w:r w:rsidRPr="00B845AF">
              <w:rPr>
                <w:rFonts w:asciiTheme="minorHAnsi" w:hAnsiTheme="minorHAnsi" w:cstheme="minorHAnsi"/>
                <w:sz w:val="16"/>
              </w:rPr>
              <w:t xml:space="preserve">3 </w:t>
            </w:r>
            <w:proofErr w:type="gramStart"/>
            <w:r w:rsidRPr="00B845AF">
              <w:rPr>
                <w:rFonts w:asciiTheme="minorHAnsi" w:hAnsiTheme="minorHAnsi" w:cstheme="minorHAnsi"/>
                <w:sz w:val="16"/>
              </w:rPr>
              <w:t>–“</w:t>
            </w:r>
            <w:proofErr w:type="gramEnd"/>
            <w:r w:rsidRPr="00B845AF">
              <w:rPr>
                <w:rFonts w:asciiTheme="minorHAnsi" w:hAnsiTheme="minorHAnsi" w:cstheme="minorHAnsi"/>
                <w:sz w:val="16"/>
              </w:rPr>
              <w:t xml:space="preserve">no fishing — in transit”;  </w:t>
            </w:r>
          </w:p>
          <w:p w14:paraId="636ADBE3" w14:textId="77777777" w:rsidR="00CA5547" w:rsidRPr="00B845AF" w:rsidRDefault="00CA5547" w:rsidP="00CA5547">
            <w:pPr>
              <w:spacing w:line="259" w:lineRule="auto"/>
              <w:ind w:left="1" w:right="1173"/>
              <w:rPr>
                <w:rFonts w:asciiTheme="minorHAnsi" w:hAnsiTheme="minorHAnsi" w:cstheme="minorHAnsi"/>
                <w:sz w:val="16"/>
              </w:rPr>
            </w:pPr>
            <w:r w:rsidRPr="00B845AF">
              <w:rPr>
                <w:rFonts w:asciiTheme="minorHAnsi" w:hAnsiTheme="minorHAnsi" w:cstheme="minorHAnsi"/>
                <w:sz w:val="16"/>
              </w:rPr>
              <w:t xml:space="preserve">4– “no fishing — gear breakdown”;  </w:t>
            </w:r>
          </w:p>
          <w:p w14:paraId="15829000" w14:textId="77777777" w:rsidR="00CA5547" w:rsidRPr="00B845AF" w:rsidRDefault="00CA5547" w:rsidP="00CA5547">
            <w:pPr>
              <w:spacing w:line="259" w:lineRule="auto"/>
              <w:ind w:left="1" w:right="1173"/>
              <w:rPr>
                <w:rFonts w:asciiTheme="minorHAnsi" w:hAnsiTheme="minorHAnsi" w:cstheme="minorHAnsi"/>
                <w:sz w:val="16"/>
              </w:rPr>
            </w:pPr>
            <w:r w:rsidRPr="00B845AF">
              <w:rPr>
                <w:rFonts w:asciiTheme="minorHAnsi" w:hAnsiTheme="minorHAnsi" w:cstheme="minorHAnsi"/>
                <w:sz w:val="16"/>
              </w:rPr>
              <w:t xml:space="preserve">5 – “no fishing — bad weather”;  </w:t>
            </w:r>
          </w:p>
          <w:p w14:paraId="4CDAFF21" w14:textId="77777777" w:rsidR="00CA5547" w:rsidRPr="00B845AF" w:rsidRDefault="00CA5547" w:rsidP="00CA5547">
            <w:pPr>
              <w:spacing w:line="259" w:lineRule="auto"/>
              <w:ind w:left="1" w:right="1173"/>
              <w:rPr>
                <w:rFonts w:asciiTheme="minorHAnsi" w:hAnsiTheme="minorHAnsi" w:cstheme="minorHAnsi"/>
                <w:sz w:val="16"/>
              </w:rPr>
            </w:pPr>
            <w:r w:rsidRPr="00B845AF">
              <w:rPr>
                <w:rFonts w:asciiTheme="minorHAnsi" w:hAnsiTheme="minorHAnsi" w:cstheme="minorHAnsi"/>
                <w:sz w:val="16"/>
              </w:rPr>
              <w:t>6 – “no fishing — in port”;</w:t>
            </w:r>
          </w:p>
          <w:p w14:paraId="087A787F" w14:textId="77777777" w:rsidR="00CA5547" w:rsidRPr="00B845AF" w:rsidRDefault="00CA5547" w:rsidP="00CA5547">
            <w:pPr>
              <w:spacing w:line="259" w:lineRule="auto"/>
              <w:ind w:left="1" w:right="1173"/>
              <w:rPr>
                <w:rFonts w:asciiTheme="minorHAnsi" w:hAnsiTheme="minorHAnsi" w:cstheme="minorHAnsi"/>
              </w:rPr>
            </w:pPr>
            <w:r w:rsidRPr="00B845AF">
              <w:rPr>
                <w:rFonts w:asciiTheme="minorHAnsi" w:hAnsiTheme="minorHAnsi" w:cstheme="minorHAnsi"/>
                <w:sz w:val="16"/>
              </w:rPr>
              <w:t xml:space="preserve">7– “no fishing – other” </w:t>
            </w:r>
          </w:p>
        </w:tc>
      </w:tr>
      <w:tr w:rsidR="00CA5547" w:rsidRPr="00B845AF" w14:paraId="0514D3E1" w14:textId="77777777" w:rsidTr="00835632">
        <w:trPr>
          <w:trHeight w:val="1385"/>
        </w:trPr>
        <w:tc>
          <w:tcPr>
            <w:tcW w:w="1355" w:type="dxa"/>
            <w:vMerge/>
          </w:tcPr>
          <w:p w14:paraId="476F7139" w14:textId="77777777" w:rsidR="00CA5547" w:rsidRPr="00B845AF" w:rsidRDefault="00CA5547" w:rsidP="00CA5547">
            <w:pPr>
              <w:spacing w:after="160" w:line="259" w:lineRule="auto"/>
              <w:rPr>
                <w:rFonts w:asciiTheme="minorHAnsi" w:hAnsiTheme="minorHAnsi" w:cstheme="minorHAnsi"/>
              </w:rPr>
            </w:pPr>
          </w:p>
        </w:tc>
        <w:tc>
          <w:tcPr>
            <w:tcW w:w="5868" w:type="dxa"/>
          </w:tcPr>
          <w:p w14:paraId="19576FE6" w14:textId="77777777" w:rsidR="00CA5547" w:rsidRPr="00B845AF" w:rsidRDefault="00CA5547" w:rsidP="00CA5547">
            <w:pPr>
              <w:spacing w:line="241" w:lineRule="auto"/>
              <w:ind w:left="2"/>
              <w:rPr>
                <w:rFonts w:asciiTheme="minorHAnsi" w:hAnsiTheme="minorHAnsi" w:cstheme="minorHAnsi"/>
              </w:rPr>
            </w:pPr>
            <w:r w:rsidRPr="00B845AF">
              <w:rPr>
                <w:rFonts w:asciiTheme="minorHAnsi" w:hAnsiTheme="minorHAnsi" w:cstheme="minorHAnsi"/>
                <w:b/>
                <w:color w:val="0000FF"/>
                <w:sz w:val="16"/>
                <w:u w:val="single" w:color="0000FF"/>
              </w:rPr>
              <w:t>Activity</w:t>
            </w:r>
            <w:r w:rsidRPr="00B845AF">
              <w:rPr>
                <w:rFonts w:asciiTheme="minorHAnsi" w:hAnsiTheme="minorHAnsi" w:cstheme="minorHAnsi"/>
                <w:color w:val="0000FF"/>
                <w:sz w:val="16"/>
              </w:rPr>
              <w:t xml:space="preserve">: This item … should be reported for days on which no sets were made, from the start of the trip to the end of the trip.  </w:t>
            </w:r>
          </w:p>
          <w:p w14:paraId="4A6C9C60"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Activities should include “searching” “no fishing — in transit”; “no fishing — gear breakdown”; “no fishing — bad </w:t>
            </w:r>
            <w:proofErr w:type="spellStart"/>
            <w:r w:rsidRPr="00B845AF">
              <w:rPr>
                <w:rFonts w:asciiTheme="minorHAnsi" w:hAnsiTheme="minorHAnsi" w:cstheme="minorHAnsi"/>
                <w:color w:val="0000FF"/>
                <w:sz w:val="16"/>
              </w:rPr>
              <w:t>weather</w:t>
            </w:r>
            <w:proofErr w:type="gramStart"/>
            <w:r w:rsidRPr="00B845AF">
              <w:rPr>
                <w:rFonts w:asciiTheme="minorHAnsi" w:hAnsiTheme="minorHAnsi" w:cstheme="minorHAnsi"/>
                <w:color w:val="0000FF"/>
                <w:sz w:val="16"/>
              </w:rPr>
              <w:t>”;“</w:t>
            </w:r>
            <w:proofErr w:type="gramEnd"/>
            <w:r w:rsidRPr="00B845AF">
              <w:rPr>
                <w:rFonts w:asciiTheme="minorHAnsi" w:hAnsiTheme="minorHAnsi" w:cstheme="minorHAnsi"/>
                <w:color w:val="0000FF"/>
                <w:sz w:val="16"/>
              </w:rPr>
              <w:t>no</w:t>
            </w:r>
            <w:proofErr w:type="spellEnd"/>
            <w:r w:rsidRPr="00B845AF">
              <w:rPr>
                <w:rFonts w:asciiTheme="minorHAnsi" w:hAnsiTheme="minorHAnsi" w:cstheme="minorHAnsi"/>
                <w:color w:val="0000FF"/>
                <w:sz w:val="16"/>
              </w:rPr>
              <w:t xml:space="preserve"> fishing — in port”; and “no fishing – other”.</w:t>
            </w:r>
            <w:r w:rsidRPr="00B845AF">
              <w:rPr>
                <w:rFonts w:asciiTheme="minorHAnsi" w:hAnsiTheme="minorHAnsi" w:cstheme="minorHAnsi"/>
                <w:b/>
                <w:color w:val="0000FF"/>
                <w:sz w:val="16"/>
              </w:rPr>
              <w:t xml:space="preserve"> </w:t>
            </w:r>
          </w:p>
        </w:tc>
        <w:tc>
          <w:tcPr>
            <w:tcW w:w="867" w:type="dxa"/>
          </w:tcPr>
          <w:p w14:paraId="43B7F634" w14:textId="77777777" w:rsidR="00CA5547" w:rsidRPr="00B845AF" w:rsidRDefault="00CA5547" w:rsidP="00CA5547">
            <w:pPr>
              <w:spacing w:line="259" w:lineRule="auto"/>
              <w:ind w:right="106"/>
              <w:jc w:val="center"/>
              <w:rPr>
                <w:rFonts w:asciiTheme="minorHAnsi" w:hAnsiTheme="minorHAnsi" w:cstheme="minorHAnsi"/>
                <w:b/>
                <w:bCs/>
              </w:rPr>
            </w:pPr>
            <w:r w:rsidRPr="00B845AF">
              <w:rPr>
                <w:rFonts w:asciiTheme="minorHAnsi" w:hAnsiTheme="minorHAnsi" w:cstheme="minorHAnsi"/>
                <w:b/>
                <w:bCs/>
              </w:rPr>
              <w:t>NO</w:t>
            </w:r>
          </w:p>
        </w:tc>
        <w:tc>
          <w:tcPr>
            <w:tcW w:w="5460" w:type="dxa"/>
            <w:gridSpan w:val="4"/>
            <w:vMerge/>
          </w:tcPr>
          <w:p w14:paraId="036CEEE1" w14:textId="77777777" w:rsidR="00CA5547" w:rsidRPr="00B845AF" w:rsidRDefault="00CA5547" w:rsidP="00CA5547">
            <w:pPr>
              <w:spacing w:after="160" w:line="259" w:lineRule="auto"/>
              <w:rPr>
                <w:rFonts w:asciiTheme="minorHAnsi" w:hAnsiTheme="minorHAnsi" w:cstheme="minorHAnsi"/>
              </w:rPr>
            </w:pPr>
          </w:p>
        </w:tc>
      </w:tr>
      <w:tr w:rsidR="00CA5547" w:rsidRPr="00B845AF" w14:paraId="1A5C5394" w14:textId="77777777" w:rsidTr="00835632">
        <w:trPr>
          <w:trHeight w:val="401"/>
        </w:trPr>
        <w:tc>
          <w:tcPr>
            <w:tcW w:w="1355" w:type="dxa"/>
            <w:vMerge w:val="restart"/>
          </w:tcPr>
          <w:p w14:paraId="0B1123A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DATE/TIME SET ACTIVITY </w:t>
            </w:r>
          </w:p>
        </w:tc>
        <w:tc>
          <w:tcPr>
            <w:tcW w:w="5868" w:type="dxa"/>
          </w:tcPr>
          <w:p w14:paraId="2B925B85"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Date of start of set and time of start of set</w:t>
            </w:r>
            <w:r w:rsidRPr="00B845AF">
              <w:rPr>
                <w:rFonts w:asciiTheme="minorHAnsi" w:hAnsiTheme="minorHAnsi" w:cstheme="minorHAnsi"/>
                <w:color w:val="0000FF"/>
                <w:sz w:val="16"/>
              </w:rPr>
              <w:t>. The date and start of set time should be GMT/UTC.</w:t>
            </w:r>
          </w:p>
        </w:tc>
        <w:tc>
          <w:tcPr>
            <w:tcW w:w="867" w:type="dxa"/>
          </w:tcPr>
          <w:p w14:paraId="28CDD595"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5460" w:type="dxa"/>
            <w:gridSpan w:val="4"/>
          </w:tcPr>
          <w:p w14:paraId="7B878DE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0BF1DC2D" w14:textId="77777777" w:rsidTr="00835632">
        <w:trPr>
          <w:trHeight w:val="401"/>
        </w:trPr>
        <w:tc>
          <w:tcPr>
            <w:tcW w:w="1355" w:type="dxa"/>
            <w:vMerge/>
          </w:tcPr>
          <w:p w14:paraId="62FF1B1F" w14:textId="77777777" w:rsidR="00CA5547" w:rsidRPr="00B845AF" w:rsidRDefault="00CA5547" w:rsidP="00CA5547">
            <w:pPr>
              <w:spacing w:after="160" w:line="259" w:lineRule="auto"/>
              <w:rPr>
                <w:rFonts w:asciiTheme="minorHAnsi" w:hAnsiTheme="minorHAnsi" w:cstheme="minorHAnsi"/>
              </w:rPr>
            </w:pPr>
          </w:p>
        </w:tc>
        <w:tc>
          <w:tcPr>
            <w:tcW w:w="5868" w:type="dxa"/>
          </w:tcPr>
          <w:p w14:paraId="6FC0639A"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If no sets are made, the date and main activity should be reported. </w:t>
            </w:r>
          </w:p>
        </w:tc>
        <w:tc>
          <w:tcPr>
            <w:tcW w:w="867" w:type="dxa"/>
          </w:tcPr>
          <w:p w14:paraId="42BA0800"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 xml:space="preserve">NO </w:t>
            </w:r>
          </w:p>
        </w:tc>
        <w:tc>
          <w:tcPr>
            <w:tcW w:w="5460" w:type="dxa"/>
            <w:gridSpan w:val="4"/>
          </w:tcPr>
          <w:p w14:paraId="75D1C7FB" w14:textId="77777777" w:rsidR="00CA5547" w:rsidRPr="00B845AF" w:rsidRDefault="00CA5547" w:rsidP="00CA5547">
            <w:pPr>
              <w:spacing w:line="259" w:lineRule="auto"/>
              <w:ind w:left="1" w:right="101"/>
              <w:rPr>
                <w:rFonts w:asciiTheme="minorHAnsi" w:hAnsiTheme="minorHAnsi" w:cstheme="minorHAnsi"/>
              </w:rPr>
            </w:pPr>
            <w:r w:rsidRPr="00B845AF">
              <w:rPr>
                <w:rFonts w:asciiTheme="minorHAnsi" w:hAnsiTheme="minorHAnsi" w:cstheme="minorHAnsi"/>
                <w:sz w:val="16"/>
              </w:rPr>
              <w:t xml:space="preserve">Please provide </w:t>
            </w:r>
            <w:proofErr w:type="gramStart"/>
            <w:r w:rsidRPr="00B845AF">
              <w:rPr>
                <w:rFonts w:asciiTheme="minorHAnsi" w:hAnsiTheme="minorHAnsi" w:cstheme="minorHAnsi"/>
                <w:sz w:val="16"/>
              </w:rPr>
              <w:t>the</w:t>
            </w:r>
            <w:proofErr w:type="gramEnd"/>
            <w:r w:rsidRPr="00B845AF">
              <w:rPr>
                <w:rFonts w:asciiTheme="minorHAnsi" w:hAnsiTheme="minorHAnsi" w:cstheme="minorHAnsi"/>
                <w:sz w:val="16"/>
              </w:rPr>
              <w:t xml:space="preserve"> NOON DATE/TIME for each day that the vessel is at sea when a set was not made on that day. </w:t>
            </w:r>
          </w:p>
        </w:tc>
      </w:tr>
      <w:tr w:rsidR="00CA5547" w:rsidRPr="00B845AF" w14:paraId="3D03C711" w14:textId="77777777" w:rsidTr="00835632">
        <w:trPr>
          <w:trHeight w:val="254"/>
        </w:trPr>
        <w:tc>
          <w:tcPr>
            <w:tcW w:w="1355" w:type="dxa"/>
            <w:vMerge w:val="restart"/>
          </w:tcPr>
          <w:p w14:paraId="589864B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POSITION OF </w:t>
            </w:r>
          </w:p>
          <w:p w14:paraId="695CAD6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START OF SET </w:t>
            </w:r>
          </w:p>
          <w:p w14:paraId="23760C7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5868" w:type="dxa"/>
          </w:tcPr>
          <w:p w14:paraId="02C9BB61"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lastRenderedPageBreak/>
              <w:t>Position of start of set:</w:t>
            </w:r>
            <w:r w:rsidRPr="00B845AF">
              <w:rPr>
                <w:rFonts w:asciiTheme="minorHAnsi" w:hAnsiTheme="minorHAnsi" w:cstheme="minorHAnsi"/>
                <w:b/>
                <w:sz w:val="16"/>
              </w:rPr>
              <w:t xml:space="preserve"> </w:t>
            </w:r>
          </w:p>
        </w:tc>
        <w:tc>
          <w:tcPr>
            <w:tcW w:w="867" w:type="dxa"/>
          </w:tcPr>
          <w:p w14:paraId="102632E9"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5460" w:type="dxa"/>
            <w:gridSpan w:val="4"/>
            <w:vMerge w:val="restart"/>
          </w:tcPr>
          <w:p w14:paraId="247BD0B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Please provide position according to ISO 6709 – Positions in degrees and minutes (to 3 decimal places where relevant). </w:t>
            </w:r>
          </w:p>
        </w:tc>
      </w:tr>
      <w:tr w:rsidR="00CA5547" w:rsidRPr="00B845AF" w14:paraId="17925151" w14:textId="77777777" w:rsidTr="00835632">
        <w:trPr>
          <w:trHeight w:val="401"/>
        </w:trPr>
        <w:tc>
          <w:tcPr>
            <w:tcW w:w="1355" w:type="dxa"/>
            <w:vMerge/>
          </w:tcPr>
          <w:p w14:paraId="54F899F0" w14:textId="77777777" w:rsidR="00CA5547" w:rsidRPr="00B845AF" w:rsidRDefault="00CA5547" w:rsidP="00CA5547">
            <w:pPr>
              <w:spacing w:after="160" w:line="259" w:lineRule="auto"/>
              <w:rPr>
                <w:rFonts w:asciiTheme="minorHAnsi" w:hAnsiTheme="minorHAnsi" w:cstheme="minorHAnsi"/>
              </w:rPr>
            </w:pPr>
          </w:p>
        </w:tc>
        <w:tc>
          <w:tcPr>
            <w:tcW w:w="5868" w:type="dxa"/>
          </w:tcPr>
          <w:p w14:paraId="60365FF5"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The position of start of set should be reported in units of at least minutes of latitude and longitude. If no sets are made for the day, the noon position should be reported.</w:t>
            </w:r>
            <w:r w:rsidRPr="00B845AF">
              <w:rPr>
                <w:rFonts w:asciiTheme="minorHAnsi" w:hAnsiTheme="minorHAnsi" w:cstheme="minorHAnsi"/>
                <w:sz w:val="16"/>
              </w:rPr>
              <w:t xml:space="preserve"> </w:t>
            </w:r>
          </w:p>
        </w:tc>
        <w:tc>
          <w:tcPr>
            <w:tcW w:w="867" w:type="dxa"/>
          </w:tcPr>
          <w:p w14:paraId="210C16B1"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NO</w:t>
            </w:r>
            <w:r w:rsidRPr="00B845AF">
              <w:rPr>
                <w:rFonts w:asciiTheme="minorHAnsi" w:hAnsiTheme="minorHAnsi" w:cstheme="minorHAnsi"/>
                <w:sz w:val="20"/>
              </w:rPr>
              <w:t xml:space="preserve"> </w:t>
            </w:r>
          </w:p>
        </w:tc>
        <w:tc>
          <w:tcPr>
            <w:tcW w:w="5460" w:type="dxa"/>
            <w:gridSpan w:val="4"/>
            <w:vMerge/>
          </w:tcPr>
          <w:p w14:paraId="67CF5239" w14:textId="77777777" w:rsidR="00CA5547" w:rsidRPr="00B845AF" w:rsidRDefault="00CA5547" w:rsidP="00CA5547">
            <w:pPr>
              <w:spacing w:after="160" w:line="259" w:lineRule="auto"/>
              <w:rPr>
                <w:rFonts w:asciiTheme="minorHAnsi" w:hAnsiTheme="minorHAnsi" w:cstheme="minorHAnsi"/>
              </w:rPr>
            </w:pPr>
          </w:p>
        </w:tc>
      </w:tr>
      <w:tr w:rsidR="00CA5547" w:rsidRPr="00B845AF" w14:paraId="72612133" w14:textId="77777777" w:rsidTr="00835632">
        <w:trPr>
          <w:trHeight w:val="252"/>
        </w:trPr>
        <w:tc>
          <w:tcPr>
            <w:tcW w:w="1355" w:type="dxa"/>
          </w:tcPr>
          <w:p w14:paraId="6346468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TARGET SPECIES </w:t>
            </w:r>
          </w:p>
        </w:tc>
        <w:tc>
          <w:tcPr>
            <w:tcW w:w="5868" w:type="dxa"/>
          </w:tcPr>
          <w:p w14:paraId="1A0C6211"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Record the primary target species, or group of species, for this set. </w:t>
            </w:r>
          </w:p>
        </w:tc>
        <w:tc>
          <w:tcPr>
            <w:tcW w:w="867" w:type="dxa"/>
          </w:tcPr>
          <w:p w14:paraId="681AE26A"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 xml:space="preserve">NO </w:t>
            </w:r>
          </w:p>
        </w:tc>
        <w:tc>
          <w:tcPr>
            <w:tcW w:w="5460" w:type="dxa"/>
            <w:gridSpan w:val="4"/>
          </w:tcPr>
          <w:p w14:paraId="6A6CFE3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This should be a single 3-letter FAO species code. In the case of reporting species groups, use the appropriate FAO code, e.g., TUN for tunas.</w:t>
            </w:r>
          </w:p>
        </w:tc>
      </w:tr>
      <w:tr w:rsidR="00CA5547" w:rsidRPr="00B845AF" w14:paraId="1144E950" w14:textId="77777777" w:rsidTr="00835632">
        <w:trPr>
          <w:trHeight w:val="401"/>
        </w:trPr>
        <w:tc>
          <w:tcPr>
            <w:tcW w:w="1355" w:type="dxa"/>
          </w:tcPr>
          <w:p w14:paraId="13439B97" w14:textId="77777777" w:rsidR="00CA5547" w:rsidRPr="00B845AF" w:rsidRDefault="00CA5547" w:rsidP="00CA5547">
            <w:pPr>
              <w:spacing w:line="259" w:lineRule="auto"/>
              <w:ind w:right="77"/>
              <w:rPr>
                <w:rFonts w:asciiTheme="minorHAnsi" w:hAnsiTheme="minorHAnsi" w:cstheme="minorHAnsi"/>
              </w:rPr>
            </w:pPr>
            <w:r w:rsidRPr="00B845AF">
              <w:rPr>
                <w:rFonts w:asciiTheme="minorHAnsi" w:hAnsiTheme="minorHAnsi" w:cstheme="minorHAnsi"/>
                <w:sz w:val="16"/>
              </w:rPr>
              <w:t xml:space="preserve">MAINLINE LENGTH </w:t>
            </w:r>
          </w:p>
        </w:tc>
        <w:tc>
          <w:tcPr>
            <w:tcW w:w="5868" w:type="dxa"/>
          </w:tcPr>
          <w:p w14:paraId="23B49F4A"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szCs w:val="16"/>
              </w:rPr>
              <w:t xml:space="preserve">Record the mainline length (in kilometers) used in the trip or set, as appropriate. </w:t>
            </w:r>
          </w:p>
        </w:tc>
        <w:tc>
          <w:tcPr>
            <w:tcW w:w="867" w:type="dxa"/>
          </w:tcPr>
          <w:p w14:paraId="634F8C88"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 xml:space="preserve">NO </w:t>
            </w:r>
          </w:p>
        </w:tc>
        <w:tc>
          <w:tcPr>
            <w:tcW w:w="5460" w:type="dxa"/>
            <w:gridSpan w:val="4"/>
          </w:tcPr>
          <w:p w14:paraId="7DCF358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5022F165" w14:textId="77777777" w:rsidTr="00835632">
        <w:trPr>
          <w:trHeight w:val="206"/>
        </w:trPr>
        <w:tc>
          <w:tcPr>
            <w:tcW w:w="1355" w:type="dxa"/>
            <w:vMerge w:val="restart"/>
          </w:tcPr>
          <w:p w14:paraId="1BB76C5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szCs w:val="16"/>
              </w:rPr>
              <w:t xml:space="preserve">PRIMARY BAIT TYPE </w:t>
            </w:r>
          </w:p>
        </w:tc>
        <w:tc>
          <w:tcPr>
            <w:tcW w:w="5868" w:type="dxa"/>
            <w:vMerge w:val="restart"/>
          </w:tcPr>
          <w:p w14:paraId="66C3397D"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Record the FAO code(s)</w:t>
            </w:r>
            <w:r w:rsidRPr="00B845AF">
              <w:rPr>
                <w:rFonts w:asciiTheme="minorHAnsi" w:hAnsiTheme="minorHAnsi" w:cstheme="minorHAnsi"/>
                <w:color w:val="0000FF"/>
                <w:sz w:val="16"/>
                <w:vertAlign w:val="superscript"/>
              </w:rPr>
              <w:footnoteReference w:id="7"/>
            </w:r>
            <w:r w:rsidRPr="00B845AF">
              <w:rPr>
                <w:rFonts w:asciiTheme="minorHAnsi" w:hAnsiTheme="minorHAnsi" w:cstheme="minorHAnsi"/>
                <w:color w:val="0000FF"/>
                <w:sz w:val="16"/>
              </w:rPr>
              <w:t xml:space="preserve"> for type of bait(s) used for the set.  </w:t>
            </w:r>
          </w:p>
          <w:p w14:paraId="6A8156FC"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 </w:t>
            </w:r>
          </w:p>
        </w:tc>
        <w:tc>
          <w:tcPr>
            <w:tcW w:w="867" w:type="dxa"/>
            <w:vMerge w:val="restart"/>
          </w:tcPr>
          <w:p w14:paraId="7EF2F4EF"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 xml:space="preserve">NO </w:t>
            </w:r>
          </w:p>
        </w:tc>
        <w:tc>
          <w:tcPr>
            <w:tcW w:w="5460" w:type="dxa"/>
            <w:gridSpan w:val="4"/>
          </w:tcPr>
          <w:p w14:paraId="49AB6A8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Example types: </w:t>
            </w:r>
          </w:p>
        </w:tc>
      </w:tr>
      <w:tr w:rsidR="00CA5547" w:rsidRPr="00B845AF" w14:paraId="4F550489" w14:textId="77777777" w:rsidTr="00835632">
        <w:trPr>
          <w:trHeight w:val="204"/>
        </w:trPr>
        <w:tc>
          <w:tcPr>
            <w:tcW w:w="1355" w:type="dxa"/>
            <w:vMerge/>
          </w:tcPr>
          <w:p w14:paraId="6793918C"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23438A3E"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711B32F4" w14:textId="77777777" w:rsidR="00CA5547" w:rsidRPr="00B845AF" w:rsidRDefault="00CA5547" w:rsidP="00CA5547">
            <w:pPr>
              <w:spacing w:after="160" w:line="259" w:lineRule="auto"/>
              <w:rPr>
                <w:rFonts w:asciiTheme="minorHAnsi" w:hAnsiTheme="minorHAnsi" w:cstheme="minorHAnsi"/>
              </w:rPr>
            </w:pPr>
          </w:p>
        </w:tc>
        <w:tc>
          <w:tcPr>
            <w:tcW w:w="381" w:type="dxa"/>
            <w:vMerge w:val="restart"/>
            <w:vAlign w:val="bottom"/>
          </w:tcPr>
          <w:p w14:paraId="3B7EB0F4" w14:textId="77777777" w:rsidR="00CA5547" w:rsidRPr="00B845AF" w:rsidRDefault="00CA5547" w:rsidP="00CA5547">
            <w:pPr>
              <w:spacing w:line="259" w:lineRule="auto"/>
              <w:jc w:val="right"/>
              <w:rPr>
                <w:rFonts w:asciiTheme="minorHAnsi" w:hAnsiTheme="minorHAnsi" w:cstheme="minorHAnsi"/>
              </w:rPr>
            </w:pPr>
            <w:r w:rsidRPr="00B845AF">
              <w:rPr>
                <w:rFonts w:asciiTheme="minorHAnsi" w:hAnsiTheme="minorHAnsi" w:cstheme="minorHAnsi"/>
                <w:sz w:val="2"/>
              </w:rPr>
              <w:t xml:space="preserve"> </w:t>
            </w:r>
          </w:p>
        </w:tc>
        <w:tc>
          <w:tcPr>
            <w:tcW w:w="1299" w:type="dxa"/>
          </w:tcPr>
          <w:p w14:paraId="0657534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FAO Code </w:t>
            </w:r>
          </w:p>
        </w:tc>
        <w:tc>
          <w:tcPr>
            <w:tcW w:w="3504" w:type="dxa"/>
          </w:tcPr>
          <w:p w14:paraId="5F22FEC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Taxa/species categories  </w:t>
            </w:r>
          </w:p>
        </w:tc>
        <w:tc>
          <w:tcPr>
            <w:tcW w:w="276" w:type="dxa"/>
            <w:vMerge w:val="restart"/>
          </w:tcPr>
          <w:p w14:paraId="5C94B0F1" w14:textId="77777777" w:rsidR="00CA5547" w:rsidRPr="00B845AF" w:rsidRDefault="00CA5547" w:rsidP="00CA5547">
            <w:pPr>
              <w:spacing w:after="160" w:line="259" w:lineRule="auto"/>
              <w:rPr>
                <w:rFonts w:asciiTheme="minorHAnsi" w:hAnsiTheme="minorHAnsi" w:cstheme="minorHAnsi"/>
              </w:rPr>
            </w:pPr>
          </w:p>
        </w:tc>
      </w:tr>
      <w:tr w:rsidR="00CA5547" w:rsidRPr="00B845AF" w14:paraId="0F3AB10B" w14:textId="77777777" w:rsidTr="00835632">
        <w:trPr>
          <w:trHeight w:val="206"/>
        </w:trPr>
        <w:tc>
          <w:tcPr>
            <w:tcW w:w="1355" w:type="dxa"/>
            <w:vMerge/>
          </w:tcPr>
          <w:p w14:paraId="0B9BE6B2"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76EDF5DB"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21FDBF6E"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1EA5B5F4" w14:textId="77777777" w:rsidR="00CA5547" w:rsidRPr="00B845AF" w:rsidRDefault="00CA5547" w:rsidP="00CA5547">
            <w:pPr>
              <w:spacing w:after="160" w:line="259" w:lineRule="auto"/>
              <w:rPr>
                <w:rFonts w:asciiTheme="minorHAnsi" w:hAnsiTheme="minorHAnsi" w:cstheme="minorHAnsi"/>
              </w:rPr>
            </w:pPr>
          </w:p>
        </w:tc>
        <w:tc>
          <w:tcPr>
            <w:tcW w:w="1299" w:type="dxa"/>
          </w:tcPr>
          <w:p w14:paraId="5642270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 </w:t>
            </w:r>
          </w:p>
        </w:tc>
        <w:tc>
          <w:tcPr>
            <w:tcW w:w="3504" w:type="dxa"/>
          </w:tcPr>
          <w:p w14:paraId="42E146F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 </w:t>
            </w:r>
          </w:p>
        </w:tc>
        <w:tc>
          <w:tcPr>
            <w:tcW w:w="276" w:type="dxa"/>
            <w:vMerge/>
          </w:tcPr>
          <w:p w14:paraId="576D17E6" w14:textId="77777777" w:rsidR="00CA5547" w:rsidRPr="00B845AF" w:rsidRDefault="00CA5547" w:rsidP="00CA5547">
            <w:pPr>
              <w:spacing w:after="160" w:line="259" w:lineRule="auto"/>
              <w:rPr>
                <w:rFonts w:asciiTheme="minorHAnsi" w:hAnsiTheme="minorHAnsi" w:cstheme="minorHAnsi"/>
              </w:rPr>
            </w:pPr>
          </w:p>
        </w:tc>
      </w:tr>
      <w:tr w:rsidR="00CA5547" w:rsidRPr="00B845AF" w14:paraId="14030F6A" w14:textId="77777777" w:rsidTr="00835632">
        <w:trPr>
          <w:trHeight w:val="206"/>
        </w:trPr>
        <w:tc>
          <w:tcPr>
            <w:tcW w:w="1355" w:type="dxa"/>
            <w:vMerge/>
          </w:tcPr>
          <w:p w14:paraId="59A6A858"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69951E65"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18BBEE26"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7CABD907" w14:textId="77777777" w:rsidR="00CA5547" w:rsidRPr="00B845AF" w:rsidRDefault="00CA5547" w:rsidP="00CA5547">
            <w:pPr>
              <w:spacing w:after="160" w:line="259" w:lineRule="auto"/>
              <w:rPr>
                <w:rFonts w:asciiTheme="minorHAnsi" w:hAnsiTheme="minorHAnsi" w:cstheme="minorHAnsi"/>
              </w:rPr>
            </w:pPr>
          </w:p>
        </w:tc>
        <w:tc>
          <w:tcPr>
            <w:tcW w:w="1299" w:type="dxa"/>
          </w:tcPr>
          <w:p w14:paraId="67B1EEB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CLP </w:t>
            </w:r>
          </w:p>
        </w:tc>
        <w:tc>
          <w:tcPr>
            <w:tcW w:w="3504" w:type="dxa"/>
          </w:tcPr>
          <w:p w14:paraId="301F77B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HERRINGS, SARDINES, NEI </w:t>
            </w:r>
          </w:p>
        </w:tc>
        <w:tc>
          <w:tcPr>
            <w:tcW w:w="276" w:type="dxa"/>
            <w:vMerge/>
          </w:tcPr>
          <w:p w14:paraId="423F5DEC" w14:textId="77777777" w:rsidR="00CA5547" w:rsidRPr="00B845AF" w:rsidRDefault="00CA5547" w:rsidP="00CA5547">
            <w:pPr>
              <w:spacing w:after="160" w:line="259" w:lineRule="auto"/>
              <w:rPr>
                <w:rFonts w:asciiTheme="minorHAnsi" w:hAnsiTheme="minorHAnsi" w:cstheme="minorHAnsi"/>
              </w:rPr>
            </w:pPr>
          </w:p>
        </w:tc>
      </w:tr>
      <w:tr w:rsidR="00CA5547" w:rsidRPr="00B845AF" w14:paraId="55F19EF0" w14:textId="77777777" w:rsidTr="00835632">
        <w:trPr>
          <w:trHeight w:val="204"/>
        </w:trPr>
        <w:tc>
          <w:tcPr>
            <w:tcW w:w="1355" w:type="dxa"/>
            <w:vMerge/>
          </w:tcPr>
          <w:p w14:paraId="5472FF77"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5ABF6DA4"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7CDE1E9E"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70497EC5" w14:textId="77777777" w:rsidR="00CA5547" w:rsidRPr="00B845AF" w:rsidRDefault="00CA5547" w:rsidP="00CA5547">
            <w:pPr>
              <w:spacing w:after="160" w:line="259" w:lineRule="auto"/>
              <w:rPr>
                <w:rFonts w:asciiTheme="minorHAnsi" w:hAnsiTheme="minorHAnsi" w:cstheme="minorHAnsi"/>
              </w:rPr>
            </w:pPr>
          </w:p>
        </w:tc>
        <w:tc>
          <w:tcPr>
            <w:tcW w:w="1299" w:type="dxa"/>
          </w:tcPr>
          <w:p w14:paraId="4E9130A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DPT </w:t>
            </w:r>
          </w:p>
        </w:tc>
        <w:tc>
          <w:tcPr>
            <w:tcW w:w="3504" w:type="dxa"/>
          </w:tcPr>
          <w:p w14:paraId="3304052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DECAPTHURUS SP. - MUROAJI </w:t>
            </w:r>
          </w:p>
        </w:tc>
        <w:tc>
          <w:tcPr>
            <w:tcW w:w="276" w:type="dxa"/>
            <w:vMerge/>
          </w:tcPr>
          <w:p w14:paraId="3C459F00" w14:textId="77777777" w:rsidR="00CA5547" w:rsidRPr="00B845AF" w:rsidRDefault="00CA5547" w:rsidP="00CA5547">
            <w:pPr>
              <w:spacing w:after="160" w:line="259" w:lineRule="auto"/>
              <w:rPr>
                <w:rFonts w:asciiTheme="minorHAnsi" w:hAnsiTheme="minorHAnsi" w:cstheme="minorHAnsi"/>
              </w:rPr>
            </w:pPr>
          </w:p>
        </w:tc>
      </w:tr>
      <w:tr w:rsidR="00CA5547" w:rsidRPr="00B845AF" w14:paraId="148E01ED" w14:textId="77777777" w:rsidTr="00835632">
        <w:trPr>
          <w:trHeight w:val="206"/>
        </w:trPr>
        <w:tc>
          <w:tcPr>
            <w:tcW w:w="1355" w:type="dxa"/>
            <w:vMerge/>
          </w:tcPr>
          <w:p w14:paraId="316B3228"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7870019E"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7BFB0979"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68A7698E" w14:textId="77777777" w:rsidR="00CA5547" w:rsidRPr="00B845AF" w:rsidRDefault="00CA5547" w:rsidP="00CA5547">
            <w:pPr>
              <w:spacing w:after="160" w:line="259" w:lineRule="auto"/>
              <w:rPr>
                <w:rFonts w:asciiTheme="minorHAnsi" w:hAnsiTheme="minorHAnsi" w:cstheme="minorHAnsi"/>
              </w:rPr>
            </w:pPr>
          </w:p>
        </w:tc>
        <w:tc>
          <w:tcPr>
            <w:tcW w:w="1299" w:type="dxa"/>
          </w:tcPr>
          <w:p w14:paraId="79895D8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MAX </w:t>
            </w:r>
          </w:p>
        </w:tc>
        <w:tc>
          <w:tcPr>
            <w:tcW w:w="3504" w:type="dxa"/>
          </w:tcPr>
          <w:p w14:paraId="25D4ED7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MACKERELS NEI </w:t>
            </w:r>
          </w:p>
        </w:tc>
        <w:tc>
          <w:tcPr>
            <w:tcW w:w="276" w:type="dxa"/>
            <w:vMerge/>
          </w:tcPr>
          <w:p w14:paraId="74A5B7ED" w14:textId="77777777" w:rsidR="00CA5547" w:rsidRPr="00B845AF" w:rsidRDefault="00CA5547" w:rsidP="00CA5547">
            <w:pPr>
              <w:spacing w:after="160" w:line="259" w:lineRule="auto"/>
              <w:rPr>
                <w:rFonts w:asciiTheme="minorHAnsi" w:hAnsiTheme="minorHAnsi" w:cstheme="minorHAnsi"/>
              </w:rPr>
            </w:pPr>
          </w:p>
        </w:tc>
      </w:tr>
      <w:tr w:rsidR="00CA5547" w:rsidRPr="00B845AF" w14:paraId="2A5910B2" w14:textId="77777777" w:rsidTr="00835632">
        <w:trPr>
          <w:trHeight w:val="204"/>
        </w:trPr>
        <w:tc>
          <w:tcPr>
            <w:tcW w:w="1355" w:type="dxa"/>
            <w:vMerge/>
          </w:tcPr>
          <w:p w14:paraId="26EC9A45"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5DE7133E"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04DA2AFC"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40AFC9E2" w14:textId="77777777" w:rsidR="00CA5547" w:rsidRPr="00B845AF" w:rsidRDefault="00CA5547" w:rsidP="00CA5547">
            <w:pPr>
              <w:spacing w:after="160" w:line="259" w:lineRule="auto"/>
              <w:rPr>
                <w:rFonts w:asciiTheme="minorHAnsi" w:hAnsiTheme="minorHAnsi" w:cstheme="minorHAnsi"/>
              </w:rPr>
            </w:pPr>
          </w:p>
        </w:tc>
        <w:tc>
          <w:tcPr>
            <w:tcW w:w="1299" w:type="dxa"/>
          </w:tcPr>
          <w:p w14:paraId="32E0AFC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MIL </w:t>
            </w:r>
          </w:p>
        </w:tc>
        <w:tc>
          <w:tcPr>
            <w:tcW w:w="3504" w:type="dxa"/>
          </w:tcPr>
          <w:p w14:paraId="70C351F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MILKFISH </w:t>
            </w:r>
          </w:p>
        </w:tc>
        <w:tc>
          <w:tcPr>
            <w:tcW w:w="276" w:type="dxa"/>
            <w:vMerge/>
          </w:tcPr>
          <w:p w14:paraId="102D0658" w14:textId="77777777" w:rsidR="00CA5547" w:rsidRPr="00B845AF" w:rsidRDefault="00CA5547" w:rsidP="00CA5547">
            <w:pPr>
              <w:spacing w:after="160" w:line="259" w:lineRule="auto"/>
              <w:rPr>
                <w:rFonts w:asciiTheme="minorHAnsi" w:hAnsiTheme="minorHAnsi" w:cstheme="minorHAnsi"/>
              </w:rPr>
            </w:pPr>
          </w:p>
        </w:tc>
      </w:tr>
      <w:tr w:rsidR="00CA5547" w:rsidRPr="00B845AF" w14:paraId="21CAD304" w14:textId="77777777" w:rsidTr="00835632">
        <w:trPr>
          <w:trHeight w:val="206"/>
        </w:trPr>
        <w:tc>
          <w:tcPr>
            <w:tcW w:w="1355" w:type="dxa"/>
            <w:vMerge/>
          </w:tcPr>
          <w:p w14:paraId="35E25561"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46F2467A"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578680CC"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5E080114" w14:textId="77777777" w:rsidR="00CA5547" w:rsidRPr="00B845AF" w:rsidRDefault="00CA5547" w:rsidP="00CA5547">
            <w:pPr>
              <w:spacing w:after="160" w:line="259" w:lineRule="auto"/>
              <w:rPr>
                <w:rFonts w:asciiTheme="minorHAnsi" w:hAnsiTheme="minorHAnsi" w:cstheme="minorHAnsi"/>
              </w:rPr>
            </w:pPr>
          </w:p>
        </w:tc>
        <w:tc>
          <w:tcPr>
            <w:tcW w:w="1299" w:type="dxa"/>
          </w:tcPr>
          <w:p w14:paraId="741E367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MSD </w:t>
            </w:r>
          </w:p>
        </w:tc>
        <w:tc>
          <w:tcPr>
            <w:tcW w:w="3504" w:type="dxa"/>
          </w:tcPr>
          <w:p w14:paraId="461CDAD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MACKEREL SCAD </w:t>
            </w:r>
          </w:p>
        </w:tc>
        <w:tc>
          <w:tcPr>
            <w:tcW w:w="276" w:type="dxa"/>
            <w:vMerge/>
          </w:tcPr>
          <w:p w14:paraId="5C04089A" w14:textId="77777777" w:rsidR="00CA5547" w:rsidRPr="00B845AF" w:rsidRDefault="00CA5547" w:rsidP="00CA5547">
            <w:pPr>
              <w:spacing w:after="160" w:line="259" w:lineRule="auto"/>
              <w:rPr>
                <w:rFonts w:asciiTheme="minorHAnsi" w:hAnsiTheme="minorHAnsi" w:cstheme="minorHAnsi"/>
              </w:rPr>
            </w:pPr>
          </w:p>
        </w:tc>
      </w:tr>
      <w:tr w:rsidR="00CA5547" w:rsidRPr="00B845AF" w14:paraId="77709950" w14:textId="77777777" w:rsidTr="00835632">
        <w:trPr>
          <w:trHeight w:val="204"/>
        </w:trPr>
        <w:tc>
          <w:tcPr>
            <w:tcW w:w="1355" w:type="dxa"/>
            <w:vMerge/>
          </w:tcPr>
          <w:p w14:paraId="7D0DF679"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1BB57EBD"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1CCBD907"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53519624" w14:textId="77777777" w:rsidR="00CA5547" w:rsidRPr="00B845AF" w:rsidRDefault="00CA5547" w:rsidP="00CA5547">
            <w:pPr>
              <w:spacing w:after="160" w:line="259" w:lineRule="auto"/>
              <w:rPr>
                <w:rFonts w:asciiTheme="minorHAnsi" w:hAnsiTheme="minorHAnsi" w:cstheme="minorHAnsi"/>
              </w:rPr>
            </w:pPr>
          </w:p>
        </w:tc>
        <w:tc>
          <w:tcPr>
            <w:tcW w:w="1299" w:type="dxa"/>
          </w:tcPr>
          <w:p w14:paraId="7BF9D08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PIL </w:t>
            </w:r>
          </w:p>
        </w:tc>
        <w:tc>
          <w:tcPr>
            <w:tcW w:w="3504" w:type="dxa"/>
          </w:tcPr>
          <w:p w14:paraId="39C2732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EUROPEAN PILCHARD (=SARDINE)  </w:t>
            </w:r>
          </w:p>
        </w:tc>
        <w:tc>
          <w:tcPr>
            <w:tcW w:w="276" w:type="dxa"/>
            <w:vMerge/>
          </w:tcPr>
          <w:p w14:paraId="73C8BFBD" w14:textId="77777777" w:rsidR="00CA5547" w:rsidRPr="00B845AF" w:rsidRDefault="00CA5547" w:rsidP="00CA5547">
            <w:pPr>
              <w:spacing w:after="160" w:line="259" w:lineRule="auto"/>
              <w:rPr>
                <w:rFonts w:asciiTheme="minorHAnsi" w:hAnsiTheme="minorHAnsi" w:cstheme="minorHAnsi"/>
              </w:rPr>
            </w:pPr>
          </w:p>
        </w:tc>
      </w:tr>
      <w:tr w:rsidR="00CA5547" w:rsidRPr="00B845AF" w14:paraId="62B96F88" w14:textId="77777777" w:rsidTr="00835632">
        <w:trPr>
          <w:trHeight w:val="206"/>
        </w:trPr>
        <w:tc>
          <w:tcPr>
            <w:tcW w:w="1355" w:type="dxa"/>
            <w:vMerge/>
          </w:tcPr>
          <w:p w14:paraId="35B68262"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35B4A7DE"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6E98C750"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762335D4" w14:textId="77777777" w:rsidR="00CA5547" w:rsidRPr="00B845AF" w:rsidRDefault="00CA5547" w:rsidP="00CA5547">
            <w:pPr>
              <w:spacing w:after="160" w:line="259" w:lineRule="auto"/>
              <w:rPr>
                <w:rFonts w:asciiTheme="minorHAnsi" w:hAnsiTheme="minorHAnsi" w:cstheme="minorHAnsi"/>
              </w:rPr>
            </w:pPr>
          </w:p>
        </w:tc>
        <w:tc>
          <w:tcPr>
            <w:tcW w:w="1299" w:type="dxa"/>
          </w:tcPr>
          <w:p w14:paraId="3FD50A4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SAP </w:t>
            </w:r>
          </w:p>
        </w:tc>
        <w:tc>
          <w:tcPr>
            <w:tcW w:w="3504" w:type="dxa"/>
          </w:tcPr>
          <w:p w14:paraId="6AF79D1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PACIFIC SAURY </w:t>
            </w:r>
          </w:p>
        </w:tc>
        <w:tc>
          <w:tcPr>
            <w:tcW w:w="276" w:type="dxa"/>
            <w:vMerge/>
          </w:tcPr>
          <w:p w14:paraId="3852FCCF" w14:textId="77777777" w:rsidR="00CA5547" w:rsidRPr="00B845AF" w:rsidRDefault="00CA5547" w:rsidP="00CA5547">
            <w:pPr>
              <w:spacing w:after="160" w:line="259" w:lineRule="auto"/>
              <w:rPr>
                <w:rFonts w:asciiTheme="minorHAnsi" w:hAnsiTheme="minorHAnsi" w:cstheme="minorHAnsi"/>
              </w:rPr>
            </w:pPr>
          </w:p>
        </w:tc>
      </w:tr>
      <w:tr w:rsidR="00CA5547" w:rsidRPr="00B845AF" w14:paraId="619DA47D" w14:textId="77777777" w:rsidTr="00835632">
        <w:trPr>
          <w:trHeight w:val="204"/>
        </w:trPr>
        <w:tc>
          <w:tcPr>
            <w:tcW w:w="1355" w:type="dxa"/>
            <w:vMerge/>
          </w:tcPr>
          <w:p w14:paraId="7EF8A88B"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2466CB2B"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168CEF0A"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37BB11E0" w14:textId="77777777" w:rsidR="00CA5547" w:rsidRPr="00B845AF" w:rsidRDefault="00CA5547" w:rsidP="00CA5547">
            <w:pPr>
              <w:spacing w:after="160" w:line="259" w:lineRule="auto"/>
              <w:rPr>
                <w:rFonts w:asciiTheme="minorHAnsi" w:hAnsiTheme="minorHAnsi" w:cstheme="minorHAnsi"/>
              </w:rPr>
            </w:pPr>
          </w:p>
        </w:tc>
        <w:tc>
          <w:tcPr>
            <w:tcW w:w="1299" w:type="dxa"/>
          </w:tcPr>
          <w:p w14:paraId="1EA97D8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SQU </w:t>
            </w:r>
          </w:p>
        </w:tc>
        <w:tc>
          <w:tcPr>
            <w:tcW w:w="3504" w:type="dxa"/>
          </w:tcPr>
          <w:p w14:paraId="6741F5B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VARIOUS SQUIDS NEI </w:t>
            </w:r>
          </w:p>
        </w:tc>
        <w:tc>
          <w:tcPr>
            <w:tcW w:w="276" w:type="dxa"/>
            <w:vMerge/>
          </w:tcPr>
          <w:p w14:paraId="687B69FB" w14:textId="77777777" w:rsidR="00CA5547" w:rsidRPr="00B845AF" w:rsidRDefault="00CA5547" w:rsidP="00CA5547">
            <w:pPr>
              <w:spacing w:after="160" w:line="259" w:lineRule="auto"/>
              <w:rPr>
                <w:rFonts w:asciiTheme="minorHAnsi" w:hAnsiTheme="minorHAnsi" w:cstheme="minorHAnsi"/>
              </w:rPr>
            </w:pPr>
          </w:p>
        </w:tc>
      </w:tr>
      <w:tr w:rsidR="00CA5547" w:rsidRPr="00B845AF" w14:paraId="17B2E93E" w14:textId="77777777" w:rsidTr="00835632">
        <w:trPr>
          <w:trHeight w:val="206"/>
        </w:trPr>
        <w:tc>
          <w:tcPr>
            <w:tcW w:w="1355" w:type="dxa"/>
            <w:vMerge/>
          </w:tcPr>
          <w:p w14:paraId="77BC353C"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0A53393C"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35C75EC8"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3C8BEA09" w14:textId="77777777" w:rsidR="00CA5547" w:rsidRPr="00B845AF" w:rsidRDefault="00CA5547" w:rsidP="00CA5547">
            <w:pPr>
              <w:spacing w:after="160" w:line="259" w:lineRule="auto"/>
              <w:rPr>
                <w:rFonts w:asciiTheme="minorHAnsi" w:hAnsiTheme="minorHAnsi" w:cstheme="minorHAnsi"/>
              </w:rPr>
            </w:pPr>
          </w:p>
        </w:tc>
        <w:tc>
          <w:tcPr>
            <w:tcW w:w="1299" w:type="dxa"/>
          </w:tcPr>
          <w:p w14:paraId="5E9E2AC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TUN </w:t>
            </w:r>
          </w:p>
        </w:tc>
        <w:tc>
          <w:tcPr>
            <w:tcW w:w="3504" w:type="dxa"/>
          </w:tcPr>
          <w:p w14:paraId="74DB96B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TUNAS NEI </w:t>
            </w:r>
          </w:p>
        </w:tc>
        <w:tc>
          <w:tcPr>
            <w:tcW w:w="276" w:type="dxa"/>
            <w:vMerge/>
          </w:tcPr>
          <w:p w14:paraId="2730D6F3" w14:textId="77777777" w:rsidR="00CA5547" w:rsidRPr="00B845AF" w:rsidRDefault="00CA5547" w:rsidP="00CA5547">
            <w:pPr>
              <w:spacing w:after="160" w:line="259" w:lineRule="auto"/>
              <w:rPr>
                <w:rFonts w:asciiTheme="minorHAnsi" w:hAnsiTheme="minorHAnsi" w:cstheme="minorHAnsi"/>
              </w:rPr>
            </w:pPr>
          </w:p>
        </w:tc>
      </w:tr>
      <w:tr w:rsidR="00CA5547" w:rsidRPr="00B845AF" w14:paraId="52CB6961" w14:textId="77777777" w:rsidTr="00835632">
        <w:trPr>
          <w:trHeight w:val="184"/>
        </w:trPr>
        <w:tc>
          <w:tcPr>
            <w:tcW w:w="1355" w:type="dxa"/>
            <w:vMerge/>
          </w:tcPr>
          <w:p w14:paraId="45AAB582" w14:textId="77777777" w:rsidR="00CA5547" w:rsidRPr="00B845AF" w:rsidRDefault="00CA5547" w:rsidP="00CA5547">
            <w:pPr>
              <w:spacing w:after="160" w:line="259" w:lineRule="auto"/>
              <w:rPr>
                <w:rFonts w:asciiTheme="minorHAnsi" w:hAnsiTheme="minorHAnsi" w:cstheme="minorHAnsi"/>
              </w:rPr>
            </w:pPr>
          </w:p>
        </w:tc>
        <w:tc>
          <w:tcPr>
            <w:tcW w:w="5868" w:type="dxa"/>
            <w:vMerge/>
          </w:tcPr>
          <w:p w14:paraId="410208BB" w14:textId="77777777" w:rsidR="00CA5547" w:rsidRPr="00B845AF" w:rsidRDefault="00CA5547" w:rsidP="00CA5547">
            <w:pPr>
              <w:spacing w:after="160" w:line="259" w:lineRule="auto"/>
              <w:rPr>
                <w:rFonts w:asciiTheme="minorHAnsi" w:hAnsiTheme="minorHAnsi" w:cstheme="minorHAnsi"/>
              </w:rPr>
            </w:pPr>
          </w:p>
        </w:tc>
        <w:tc>
          <w:tcPr>
            <w:tcW w:w="867" w:type="dxa"/>
            <w:vMerge/>
          </w:tcPr>
          <w:p w14:paraId="0615B2DF" w14:textId="77777777" w:rsidR="00CA5547" w:rsidRPr="00B845AF" w:rsidRDefault="00CA5547" w:rsidP="00CA5547">
            <w:pPr>
              <w:spacing w:after="160" w:line="259" w:lineRule="auto"/>
              <w:rPr>
                <w:rFonts w:asciiTheme="minorHAnsi" w:hAnsiTheme="minorHAnsi" w:cstheme="minorHAnsi"/>
              </w:rPr>
            </w:pPr>
          </w:p>
        </w:tc>
        <w:tc>
          <w:tcPr>
            <w:tcW w:w="381" w:type="dxa"/>
            <w:vMerge/>
          </w:tcPr>
          <w:p w14:paraId="097BCCB0" w14:textId="77777777" w:rsidR="00CA5547" w:rsidRPr="00B845AF" w:rsidRDefault="00CA5547" w:rsidP="00CA5547">
            <w:pPr>
              <w:spacing w:after="160" w:line="259" w:lineRule="auto"/>
              <w:rPr>
                <w:rFonts w:asciiTheme="minorHAnsi" w:hAnsiTheme="minorHAnsi" w:cstheme="minorHAnsi"/>
              </w:rPr>
            </w:pPr>
          </w:p>
        </w:tc>
        <w:tc>
          <w:tcPr>
            <w:tcW w:w="1299" w:type="dxa"/>
          </w:tcPr>
          <w:p w14:paraId="6D682DD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OTH</w:t>
            </w:r>
          </w:p>
        </w:tc>
        <w:tc>
          <w:tcPr>
            <w:tcW w:w="3504" w:type="dxa"/>
          </w:tcPr>
          <w:p w14:paraId="50B369E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szCs w:val="16"/>
              </w:rPr>
              <w:t xml:space="preserve">Comment on bait type </w:t>
            </w:r>
          </w:p>
          <w:p w14:paraId="0DF2597A" w14:textId="77777777" w:rsidR="00CA5547" w:rsidRPr="00B845AF" w:rsidRDefault="00CA5547" w:rsidP="00CA5547">
            <w:pPr>
              <w:spacing w:line="259" w:lineRule="auto"/>
              <w:ind w:left="1"/>
              <w:rPr>
                <w:rFonts w:asciiTheme="minorHAnsi" w:hAnsiTheme="minorHAnsi" w:cstheme="minorHAnsi"/>
                <w:sz w:val="16"/>
                <w:szCs w:val="16"/>
              </w:rPr>
            </w:pPr>
          </w:p>
        </w:tc>
        <w:tc>
          <w:tcPr>
            <w:tcW w:w="276" w:type="dxa"/>
            <w:vMerge/>
          </w:tcPr>
          <w:p w14:paraId="255F4449" w14:textId="77777777" w:rsidR="00CA5547" w:rsidRPr="00B845AF" w:rsidRDefault="00CA5547" w:rsidP="00CA5547">
            <w:pPr>
              <w:spacing w:after="160" w:line="259" w:lineRule="auto"/>
              <w:rPr>
                <w:rFonts w:asciiTheme="minorHAnsi" w:hAnsiTheme="minorHAnsi" w:cstheme="minorHAnsi"/>
              </w:rPr>
            </w:pPr>
          </w:p>
        </w:tc>
      </w:tr>
      <w:tr w:rsidR="00CA5547" w:rsidRPr="00B845AF" w14:paraId="6F76F421" w14:textId="77777777" w:rsidTr="00835632">
        <w:trPr>
          <w:trHeight w:val="560"/>
        </w:trPr>
        <w:tc>
          <w:tcPr>
            <w:tcW w:w="1355" w:type="dxa"/>
          </w:tcPr>
          <w:p w14:paraId="6096854E"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szCs w:val="16"/>
              </w:rPr>
              <w:t>SECONDARY BAIT TYPE</w:t>
            </w:r>
          </w:p>
        </w:tc>
        <w:tc>
          <w:tcPr>
            <w:tcW w:w="5868" w:type="dxa"/>
          </w:tcPr>
          <w:p w14:paraId="0984DDB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szCs w:val="16"/>
              </w:rPr>
              <w:t>Record the FAO code(s) for type of bait(s) used for the set.</w:t>
            </w:r>
          </w:p>
        </w:tc>
        <w:tc>
          <w:tcPr>
            <w:tcW w:w="867" w:type="dxa"/>
            <w:vAlign w:val="center"/>
          </w:tcPr>
          <w:p w14:paraId="493ADA9F" w14:textId="77777777" w:rsidR="00CA5547" w:rsidRPr="00B845AF" w:rsidRDefault="00CA5547" w:rsidP="00CA5547">
            <w:pPr>
              <w:spacing w:line="259" w:lineRule="auto"/>
              <w:rPr>
                <w:rFonts w:asciiTheme="minorHAnsi" w:hAnsiTheme="minorHAnsi" w:cstheme="minorHAnsi"/>
                <w:b/>
                <w:bCs/>
                <w:sz w:val="20"/>
                <w:szCs w:val="20"/>
              </w:rPr>
            </w:pPr>
            <w:r w:rsidRPr="00B845AF">
              <w:rPr>
                <w:rFonts w:asciiTheme="minorHAnsi" w:hAnsiTheme="minorHAnsi" w:cstheme="minorHAnsi"/>
                <w:b/>
                <w:bCs/>
                <w:sz w:val="20"/>
                <w:szCs w:val="20"/>
              </w:rPr>
              <w:t xml:space="preserve">    NO</w:t>
            </w:r>
          </w:p>
        </w:tc>
        <w:tc>
          <w:tcPr>
            <w:tcW w:w="5460" w:type="dxa"/>
            <w:gridSpan w:val="4"/>
          </w:tcPr>
          <w:p w14:paraId="71E1EC7C"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See PRIMARY BAIT TYPE notes</w:t>
            </w:r>
          </w:p>
          <w:p w14:paraId="033A5261" w14:textId="77777777" w:rsidR="00CA5547" w:rsidRPr="00B845AF" w:rsidRDefault="00CA5547" w:rsidP="00CA5547">
            <w:pPr>
              <w:spacing w:line="259" w:lineRule="auto"/>
              <w:ind w:left="1"/>
              <w:rPr>
                <w:rFonts w:asciiTheme="minorHAnsi" w:hAnsiTheme="minorHAnsi" w:cstheme="minorHAnsi"/>
                <w:sz w:val="16"/>
                <w:szCs w:val="16"/>
              </w:rPr>
            </w:pPr>
          </w:p>
        </w:tc>
      </w:tr>
      <w:tr w:rsidR="00CA5547" w:rsidRPr="00B845AF" w14:paraId="36659790" w14:textId="77777777" w:rsidTr="00835632">
        <w:trPr>
          <w:trHeight w:val="406"/>
        </w:trPr>
        <w:tc>
          <w:tcPr>
            <w:tcW w:w="1355" w:type="dxa"/>
          </w:tcPr>
          <w:p w14:paraId="41808C3A"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szCs w:val="16"/>
              </w:rPr>
              <w:t>TERTIARY BAIT TYPE</w:t>
            </w:r>
          </w:p>
        </w:tc>
        <w:tc>
          <w:tcPr>
            <w:tcW w:w="5868" w:type="dxa"/>
          </w:tcPr>
          <w:p w14:paraId="7B906FB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szCs w:val="16"/>
              </w:rPr>
              <w:t>Record the FAO code(s) for type of bait(s) used for the set.</w:t>
            </w:r>
          </w:p>
          <w:p w14:paraId="6F1BFB0E" w14:textId="77777777" w:rsidR="00CA5547" w:rsidRPr="00B845AF" w:rsidRDefault="00CA5547" w:rsidP="00CA5547">
            <w:pPr>
              <w:spacing w:line="259" w:lineRule="auto"/>
              <w:rPr>
                <w:rFonts w:asciiTheme="minorHAnsi" w:hAnsiTheme="minorHAnsi" w:cstheme="minorHAnsi"/>
                <w:color w:val="0000FF"/>
                <w:sz w:val="16"/>
                <w:szCs w:val="16"/>
              </w:rPr>
            </w:pPr>
          </w:p>
        </w:tc>
        <w:tc>
          <w:tcPr>
            <w:tcW w:w="867" w:type="dxa"/>
            <w:vAlign w:val="center"/>
          </w:tcPr>
          <w:p w14:paraId="1F7B2DEA" w14:textId="77777777" w:rsidR="00CA5547" w:rsidRPr="00B845AF" w:rsidRDefault="00CA5547" w:rsidP="00CA5547">
            <w:pPr>
              <w:spacing w:line="259" w:lineRule="auto"/>
              <w:rPr>
                <w:rFonts w:asciiTheme="minorHAnsi" w:hAnsiTheme="minorHAnsi" w:cstheme="minorHAnsi"/>
                <w:b/>
                <w:bCs/>
                <w:sz w:val="20"/>
                <w:szCs w:val="20"/>
              </w:rPr>
            </w:pPr>
            <w:r w:rsidRPr="00B845AF">
              <w:rPr>
                <w:rFonts w:asciiTheme="minorHAnsi" w:hAnsiTheme="minorHAnsi" w:cstheme="minorHAnsi"/>
                <w:b/>
                <w:bCs/>
                <w:sz w:val="20"/>
                <w:szCs w:val="20"/>
              </w:rPr>
              <w:t xml:space="preserve">    NO</w:t>
            </w:r>
          </w:p>
        </w:tc>
        <w:tc>
          <w:tcPr>
            <w:tcW w:w="5460" w:type="dxa"/>
            <w:gridSpan w:val="4"/>
          </w:tcPr>
          <w:p w14:paraId="539D3E27"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See PRIMARY BAIT TYPE notes</w:t>
            </w:r>
          </w:p>
          <w:p w14:paraId="52663755" w14:textId="77777777" w:rsidR="00CA5547" w:rsidRPr="00B845AF" w:rsidRDefault="00CA5547" w:rsidP="00CA5547">
            <w:pPr>
              <w:spacing w:line="259" w:lineRule="auto"/>
              <w:jc w:val="right"/>
              <w:rPr>
                <w:rFonts w:asciiTheme="minorHAnsi" w:hAnsiTheme="minorHAnsi" w:cstheme="minorHAnsi"/>
              </w:rPr>
            </w:pPr>
            <w:r w:rsidRPr="00B845AF">
              <w:rPr>
                <w:rFonts w:asciiTheme="minorHAnsi" w:hAnsiTheme="minorHAnsi" w:cstheme="minorHAnsi"/>
                <w:sz w:val="2"/>
                <w:szCs w:val="2"/>
              </w:rPr>
              <w:t xml:space="preserve"> </w:t>
            </w:r>
          </w:p>
        </w:tc>
      </w:tr>
      <w:tr w:rsidR="00CA5547" w:rsidRPr="00B845AF" w14:paraId="48A3E93A" w14:textId="77777777" w:rsidTr="00835632">
        <w:trPr>
          <w:trHeight w:val="406"/>
        </w:trPr>
        <w:tc>
          <w:tcPr>
            <w:tcW w:w="1355" w:type="dxa"/>
          </w:tcPr>
          <w:p w14:paraId="7274476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NUMBER OF </w:t>
            </w:r>
          </w:p>
          <w:p w14:paraId="71E511D0"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HOOKS PER SET </w:t>
            </w:r>
          </w:p>
        </w:tc>
        <w:tc>
          <w:tcPr>
            <w:tcW w:w="5868" w:type="dxa"/>
          </w:tcPr>
          <w:p w14:paraId="7BE94415"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Number of hooks per set </w:t>
            </w:r>
          </w:p>
        </w:tc>
        <w:tc>
          <w:tcPr>
            <w:tcW w:w="867" w:type="dxa"/>
            <w:vAlign w:val="center"/>
          </w:tcPr>
          <w:p w14:paraId="3EE5CCA5"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YES</w:t>
            </w:r>
          </w:p>
        </w:tc>
        <w:tc>
          <w:tcPr>
            <w:tcW w:w="5460" w:type="dxa"/>
            <w:gridSpan w:val="4"/>
          </w:tcPr>
          <w:p w14:paraId="10E8A8E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58D1A491" w14:textId="77777777" w:rsidTr="00835632">
        <w:trPr>
          <w:trHeight w:val="401"/>
        </w:trPr>
        <w:tc>
          <w:tcPr>
            <w:tcW w:w="1355" w:type="dxa"/>
          </w:tcPr>
          <w:p w14:paraId="53372AF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BRANCHLINE LENGTH </w:t>
            </w:r>
          </w:p>
        </w:tc>
        <w:tc>
          <w:tcPr>
            <w:tcW w:w="5868" w:type="dxa"/>
          </w:tcPr>
          <w:p w14:paraId="067817DB" w14:textId="77777777" w:rsidR="00CA5547" w:rsidRPr="00B845AF" w:rsidRDefault="00CA5547" w:rsidP="00CA5547">
            <w:pPr>
              <w:spacing w:line="259" w:lineRule="auto"/>
              <w:ind w:left="2" w:right="9"/>
              <w:rPr>
                <w:rFonts w:asciiTheme="minorHAnsi" w:hAnsiTheme="minorHAnsi" w:cstheme="minorHAnsi"/>
              </w:rPr>
            </w:pPr>
            <w:r w:rsidRPr="00B845AF">
              <w:rPr>
                <w:rFonts w:asciiTheme="minorHAnsi" w:hAnsiTheme="minorHAnsi" w:cstheme="minorHAnsi"/>
                <w:color w:val="0000FF"/>
                <w:sz w:val="16"/>
              </w:rPr>
              <w:t xml:space="preserve">Record the average length in meters of the branch lines in the trip or set. (The total length from the mainline to the hook). </w:t>
            </w:r>
          </w:p>
        </w:tc>
        <w:tc>
          <w:tcPr>
            <w:tcW w:w="867" w:type="dxa"/>
            <w:vAlign w:val="center"/>
          </w:tcPr>
          <w:p w14:paraId="4837E308" w14:textId="77777777" w:rsidR="00CA5547" w:rsidRPr="00B845AF" w:rsidRDefault="00CA5547" w:rsidP="00CA5547">
            <w:pPr>
              <w:spacing w:line="259" w:lineRule="auto"/>
              <w:ind w:right="106"/>
              <w:jc w:val="center"/>
              <w:rPr>
                <w:rFonts w:asciiTheme="minorHAnsi" w:hAnsiTheme="minorHAnsi" w:cstheme="minorHAnsi"/>
              </w:rPr>
            </w:pPr>
            <w:r w:rsidRPr="00B845AF">
              <w:rPr>
                <w:rFonts w:asciiTheme="minorHAnsi" w:hAnsiTheme="minorHAnsi" w:cstheme="minorHAnsi"/>
                <w:b/>
                <w:sz w:val="20"/>
              </w:rPr>
              <w:t>NO</w:t>
            </w:r>
          </w:p>
        </w:tc>
        <w:tc>
          <w:tcPr>
            <w:tcW w:w="5460" w:type="dxa"/>
            <w:gridSpan w:val="4"/>
          </w:tcPr>
          <w:p w14:paraId="230D85C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22E4A3D5" w14:textId="77777777" w:rsidTr="00835632">
        <w:trPr>
          <w:trHeight w:val="401"/>
        </w:trPr>
        <w:tc>
          <w:tcPr>
            <w:tcW w:w="1355" w:type="dxa"/>
          </w:tcPr>
          <w:p w14:paraId="7DA32BE2"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NUMBER OF BRANCHLINES  </w:t>
            </w:r>
          </w:p>
        </w:tc>
        <w:tc>
          <w:tcPr>
            <w:tcW w:w="5868" w:type="dxa"/>
          </w:tcPr>
          <w:p w14:paraId="77D77BCD" w14:textId="77777777" w:rsidR="00CA5547" w:rsidRPr="00B845AF" w:rsidRDefault="00CA5547" w:rsidP="00CA5547">
            <w:pPr>
              <w:spacing w:line="259" w:lineRule="auto"/>
              <w:rPr>
                <w:rFonts w:asciiTheme="minorHAnsi" w:hAnsiTheme="minorHAnsi" w:cstheme="minorHAnsi"/>
                <w:color w:val="0000FF"/>
                <w:sz w:val="16"/>
                <w:szCs w:val="16"/>
              </w:rPr>
            </w:pPr>
            <w:r w:rsidRPr="00B845AF">
              <w:rPr>
                <w:rFonts w:asciiTheme="minorHAnsi" w:hAnsiTheme="minorHAnsi" w:cstheme="minorHAnsi"/>
                <w:color w:val="0000FF"/>
                <w:sz w:val="16"/>
              </w:rPr>
              <w:t>Number of branch lines between floats. The number of branch lines between floats shall be reported for each set.</w:t>
            </w:r>
            <w:r w:rsidRPr="00B845AF">
              <w:rPr>
                <w:rFonts w:asciiTheme="minorHAnsi" w:hAnsiTheme="minorHAnsi" w:cstheme="minorHAnsi"/>
                <w:sz w:val="16"/>
              </w:rPr>
              <w:t xml:space="preserve"> </w:t>
            </w:r>
          </w:p>
        </w:tc>
        <w:tc>
          <w:tcPr>
            <w:tcW w:w="867" w:type="dxa"/>
            <w:vAlign w:val="center"/>
          </w:tcPr>
          <w:p w14:paraId="20B56DAC" w14:textId="77777777" w:rsidR="00CA5547" w:rsidRPr="00B845AF" w:rsidRDefault="00CA5547" w:rsidP="00CA5547">
            <w:pPr>
              <w:spacing w:line="259" w:lineRule="auto"/>
              <w:jc w:val="center"/>
              <w:rPr>
                <w:rFonts w:asciiTheme="minorHAnsi" w:hAnsiTheme="minorHAnsi" w:cstheme="minorHAnsi"/>
                <w:b/>
                <w:bCs/>
                <w:sz w:val="20"/>
                <w:szCs w:val="20"/>
              </w:rPr>
            </w:pPr>
            <w:r w:rsidRPr="00B845AF">
              <w:rPr>
                <w:rFonts w:asciiTheme="minorHAnsi" w:hAnsiTheme="minorHAnsi" w:cstheme="minorHAnsi"/>
                <w:b/>
                <w:sz w:val="20"/>
              </w:rPr>
              <w:t>YES</w:t>
            </w:r>
          </w:p>
        </w:tc>
        <w:tc>
          <w:tcPr>
            <w:tcW w:w="5460" w:type="dxa"/>
            <w:gridSpan w:val="4"/>
          </w:tcPr>
          <w:p w14:paraId="6B3D1F3F"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The “Number of Branchlines” are also commonly referred to as “Hooks between floats” or “Branchlines between FLOATS” for some fleets. Use '-1' to flag missing number of branchline in case of non-fishing activities or if unknown.</w:t>
            </w:r>
          </w:p>
        </w:tc>
      </w:tr>
      <w:tr w:rsidR="00CA5547" w:rsidRPr="00B845AF" w14:paraId="0C8F6A36" w14:textId="77777777" w:rsidTr="00835632">
        <w:trPr>
          <w:trHeight w:val="401"/>
        </w:trPr>
        <w:tc>
          <w:tcPr>
            <w:tcW w:w="1355" w:type="dxa"/>
          </w:tcPr>
          <w:p w14:paraId="386DE43E"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FLOAT LINE LENGTH </w:t>
            </w:r>
          </w:p>
        </w:tc>
        <w:tc>
          <w:tcPr>
            <w:tcW w:w="5868" w:type="dxa"/>
          </w:tcPr>
          <w:p w14:paraId="6AD9EB66" w14:textId="77777777" w:rsidR="00CA5547" w:rsidRPr="00B845AF" w:rsidRDefault="00CA5547" w:rsidP="00CA5547">
            <w:pPr>
              <w:spacing w:line="259" w:lineRule="auto"/>
              <w:rPr>
                <w:rFonts w:asciiTheme="minorHAnsi" w:hAnsiTheme="minorHAnsi" w:cstheme="minorHAnsi"/>
                <w:color w:val="0000FF"/>
                <w:sz w:val="16"/>
                <w:szCs w:val="16"/>
              </w:rPr>
            </w:pPr>
            <w:r w:rsidRPr="00B845AF">
              <w:rPr>
                <w:rFonts w:asciiTheme="minorHAnsi" w:hAnsiTheme="minorHAnsi" w:cstheme="minorHAnsi"/>
                <w:color w:val="0000FF"/>
                <w:sz w:val="16"/>
              </w:rPr>
              <w:t xml:space="preserve">Record the average length in meters of the float lines in the set. (The total length from the float to the mainline). </w:t>
            </w:r>
          </w:p>
        </w:tc>
        <w:tc>
          <w:tcPr>
            <w:tcW w:w="867" w:type="dxa"/>
          </w:tcPr>
          <w:p w14:paraId="45288FD5" w14:textId="77777777" w:rsidR="00CA5547" w:rsidRPr="00B845AF" w:rsidRDefault="00CA5547" w:rsidP="00CA5547">
            <w:pPr>
              <w:spacing w:line="259" w:lineRule="auto"/>
              <w:jc w:val="center"/>
              <w:rPr>
                <w:rFonts w:asciiTheme="minorHAnsi" w:hAnsiTheme="minorHAnsi" w:cstheme="minorHAnsi"/>
                <w:b/>
                <w:bCs/>
                <w:sz w:val="20"/>
                <w:szCs w:val="20"/>
              </w:rPr>
            </w:pPr>
            <w:r w:rsidRPr="00B845AF">
              <w:rPr>
                <w:rFonts w:asciiTheme="minorHAnsi" w:hAnsiTheme="minorHAnsi" w:cstheme="minorHAnsi"/>
                <w:b/>
                <w:sz w:val="20"/>
              </w:rPr>
              <w:t xml:space="preserve">NO </w:t>
            </w:r>
          </w:p>
        </w:tc>
        <w:tc>
          <w:tcPr>
            <w:tcW w:w="5460" w:type="dxa"/>
            <w:gridSpan w:val="4"/>
          </w:tcPr>
          <w:p w14:paraId="4022A7E2"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 </w:t>
            </w:r>
          </w:p>
        </w:tc>
      </w:tr>
      <w:tr w:rsidR="00CA5547" w:rsidRPr="00B845AF" w14:paraId="06DDB7D4" w14:textId="77777777" w:rsidTr="00835632">
        <w:trPr>
          <w:trHeight w:val="401"/>
        </w:trPr>
        <w:tc>
          <w:tcPr>
            <w:tcW w:w="1355" w:type="dxa"/>
          </w:tcPr>
          <w:p w14:paraId="74EA5CAD"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LIGHTSTICKS USED </w:t>
            </w:r>
          </w:p>
        </w:tc>
        <w:tc>
          <w:tcPr>
            <w:tcW w:w="5868" w:type="dxa"/>
          </w:tcPr>
          <w:p w14:paraId="5DF2487D" w14:textId="77777777" w:rsidR="00CA5547" w:rsidRPr="00B845AF" w:rsidRDefault="00CA5547" w:rsidP="00CA5547">
            <w:pPr>
              <w:spacing w:line="259" w:lineRule="auto"/>
              <w:rPr>
                <w:rFonts w:asciiTheme="minorHAnsi" w:hAnsiTheme="minorHAnsi" w:cstheme="minorHAnsi"/>
                <w:color w:val="0000FF"/>
                <w:sz w:val="16"/>
                <w:szCs w:val="16"/>
              </w:rPr>
            </w:pPr>
            <w:r w:rsidRPr="00B845AF">
              <w:rPr>
                <w:rFonts w:asciiTheme="minorHAnsi" w:hAnsiTheme="minorHAnsi" w:cstheme="minorHAnsi"/>
                <w:color w:val="0000FF"/>
                <w:sz w:val="16"/>
              </w:rPr>
              <w:t xml:space="preserve">Record the total number of lightsticks used in the set. </w:t>
            </w:r>
          </w:p>
        </w:tc>
        <w:tc>
          <w:tcPr>
            <w:tcW w:w="867" w:type="dxa"/>
          </w:tcPr>
          <w:p w14:paraId="32D3D620" w14:textId="77777777" w:rsidR="00CA5547" w:rsidRPr="00B845AF" w:rsidRDefault="00CA5547" w:rsidP="00CA5547">
            <w:pPr>
              <w:spacing w:line="259" w:lineRule="auto"/>
              <w:jc w:val="center"/>
              <w:rPr>
                <w:rFonts w:asciiTheme="minorHAnsi" w:hAnsiTheme="minorHAnsi" w:cstheme="minorHAnsi"/>
                <w:b/>
                <w:bCs/>
                <w:sz w:val="20"/>
                <w:szCs w:val="20"/>
              </w:rPr>
            </w:pPr>
            <w:r w:rsidRPr="00B845AF">
              <w:rPr>
                <w:rFonts w:asciiTheme="minorHAnsi" w:hAnsiTheme="minorHAnsi" w:cstheme="minorHAnsi"/>
                <w:b/>
                <w:sz w:val="20"/>
              </w:rPr>
              <w:t xml:space="preserve">NO </w:t>
            </w:r>
          </w:p>
        </w:tc>
        <w:tc>
          <w:tcPr>
            <w:tcW w:w="5460" w:type="dxa"/>
            <w:gridSpan w:val="4"/>
          </w:tcPr>
          <w:p w14:paraId="03CA66FD"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 </w:t>
            </w:r>
          </w:p>
        </w:tc>
      </w:tr>
      <w:tr w:rsidR="00CA5547" w:rsidRPr="00B845AF" w14:paraId="6F0DCAFC" w14:textId="77777777" w:rsidTr="00835632">
        <w:trPr>
          <w:trHeight w:val="401"/>
        </w:trPr>
        <w:tc>
          <w:tcPr>
            <w:tcW w:w="1355" w:type="dxa"/>
          </w:tcPr>
          <w:p w14:paraId="02E1F12C"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lastRenderedPageBreak/>
              <w:t xml:space="preserve">VESSEL SETTING SPEED </w:t>
            </w:r>
          </w:p>
        </w:tc>
        <w:tc>
          <w:tcPr>
            <w:tcW w:w="5868" w:type="dxa"/>
          </w:tcPr>
          <w:p w14:paraId="30EDDE75" w14:textId="77777777" w:rsidR="00CA5547" w:rsidRPr="00B845AF" w:rsidRDefault="00CA5547" w:rsidP="00CA5547">
            <w:pPr>
              <w:spacing w:line="259" w:lineRule="auto"/>
              <w:ind w:left="2"/>
              <w:rPr>
                <w:rFonts w:asciiTheme="minorHAnsi" w:hAnsiTheme="minorHAnsi" w:cstheme="minorHAnsi"/>
                <w:color w:val="0000FF"/>
              </w:rPr>
            </w:pPr>
            <w:r w:rsidRPr="00B845AF">
              <w:rPr>
                <w:rFonts w:asciiTheme="minorHAnsi" w:hAnsiTheme="minorHAnsi" w:cstheme="minorHAnsi"/>
                <w:color w:val="0000FF"/>
                <w:sz w:val="16"/>
              </w:rPr>
              <w:t xml:space="preserve">Record the average speed in knots of a vessel during line setting. </w:t>
            </w:r>
          </w:p>
          <w:p w14:paraId="307BEE32" w14:textId="77777777" w:rsidR="00CA5547" w:rsidRPr="00B845AF" w:rsidRDefault="00CA5547" w:rsidP="00CA5547">
            <w:pPr>
              <w:spacing w:line="259" w:lineRule="auto"/>
              <w:rPr>
                <w:rFonts w:asciiTheme="minorHAnsi" w:hAnsiTheme="minorHAnsi" w:cstheme="minorHAnsi"/>
                <w:color w:val="0000FF"/>
                <w:sz w:val="16"/>
                <w:szCs w:val="16"/>
              </w:rPr>
            </w:pPr>
            <w:r w:rsidRPr="00B845AF">
              <w:rPr>
                <w:rFonts w:asciiTheme="minorHAnsi" w:hAnsiTheme="minorHAnsi" w:cstheme="minorHAnsi"/>
                <w:color w:val="0000FF"/>
                <w:sz w:val="16"/>
              </w:rPr>
              <w:t xml:space="preserve"> </w:t>
            </w:r>
          </w:p>
        </w:tc>
        <w:tc>
          <w:tcPr>
            <w:tcW w:w="867" w:type="dxa"/>
          </w:tcPr>
          <w:p w14:paraId="1D6DCDC8" w14:textId="77777777" w:rsidR="00CA5547" w:rsidRPr="00B845AF" w:rsidRDefault="00CA5547" w:rsidP="00CA5547">
            <w:pPr>
              <w:spacing w:line="259" w:lineRule="auto"/>
              <w:jc w:val="center"/>
              <w:rPr>
                <w:rFonts w:asciiTheme="minorHAnsi" w:hAnsiTheme="minorHAnsi" w:cstheme="minorHAnsi"/>
                <w:b/>
                <w:bCs/>
                <w:sz w:val="20"/>
                <w:szCs w:val="20"/>
              </w:rPr>
            </w:pPr>
            <w:r w:rsidRPr="00B845AF">
              <w:rPr>
                <w:rFonts w:asciiTheme="minorHAnsi" w:hAnsiTheme="minorHAnsi" w:cstheme="minorHAnsi"/>
                <w:b/>
                <w:sz w:val="20"/>
              </w:rPr>
              <w:t xml:space="preserve">NO </w:t>
            </w:r>
          </w:p>
        </w:tc>
        <w:tc>
          <w:tcPr>
            <w:tcW w:w="5460" w:type="dxa"/>
            <w:gridSpan w:val="4"/>
          </w:tcPr>
          <w:p w14:paraId="187C2E6D"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 </w:t>
            </w:r>
          </w:p>
        </w:tc>
      </w:tr>
      <w:tr w:rsidR="00CA5547" w:rsidRPr="00B845AF" w14:paraId="606815CF" w14:textId="77777777" w:rsidTr="00835632">
        <w:trPr>
          <w:trHeight w:val="401"/>
        </w:trPr>
        <w:tc>
          <w:tcPr>
            <w:tcW w:w="1355" w:type="dxa"/>
          </w:tcPr>
          <w:p w14:paraId="7F311902"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LINE SETTER SPEED </w:t>
            </w:r>
          </w:p>
        </w:tc>
        <w:tc>
          <w:tcPr>
            <w:tcW w:w="5868" w:type="dxa"/>
          </w:tcPr>
          <w:p w14:paraId="19995E7C" w14:textId="77777777" w:rsidR="00CA5547" w:rsidRPr="00B845AF" w:rsidRDefault="00CA5547" w:rsidP="00CA5547">
            <w:pPr>
              <w:spacing w:line="259" w:lineRule="auto"/>
              <w:rPr>
                <w:rFonts w:asciiTheme="minorHAnsi" w:hAnsiTheme="minorHAnsi" w:cstheme="minorHAnsi"/>
                <w:color w:val="0000FF"/>
                <w:sz w:val="16"/>
                <w:szCs w:val="16"/>
              </w:rPr>
            </w:pPr>
            <w:r w:rsidRPr="00B845AF">
              <w:rPr>
                <w:rFonts w:asciiTheme="minorHAnsi" w:hAnsiTheme="minorHAnsi" w:cstheme="minorHAnsi"/>
                <w:color w:val="0000FF"/>
                <w:sz w:val="16"/>
              </w:rPr>
              <w:t xml:space="preserve">Record the speed in knots of the line setter (i.e., the line shooter speed). </w:t>
            </w:r>
          </w:p>
        </w:tc>
        <w:tc>
          <w:tcPr>
            <w:tcW w:w="867" w:type="dxa"/>
          </w:tcPr>
          <w:p w14:paraId="2BCA7F29" w14:textId="77777777" w:rsidR="00CA5547" w:rsidRPr="00B845AF" w:rsidRDefault="00CA5547" w:rsidP="00CA5547">
            <w:pPr>
              <w:spacing w:line="259" w:lineRule="auto"/>
              <w:jc w:val="center"/>
              <w:rPr>
                <w:rFonts w:asciiTheme="minorHAnsi" w:hAnsiTheme="minorHAnsi" w:cstheme="minorHAnsi"/>
                <w:b/>
                <w:bCs/>
                <w:sz w:val="20"/>
                <w:szCs w:val="20"/>
              </w:rPr>
            </w:pPr>
            <w:r w:rsidRPr="00B845AF">
              <w:rPr>
                <w:rFonts w:asciiTheme="minorHAnsi" w:hAnsiTheme="minorHAnsi" w:cstheme="minorHAnsi"/>
                <w:b/>
                <w:sz w:val="20"/>
              </w:rPr>
              <w:t xml:space="preserve">NO </w:t>
            </w:r>
          </w:p>
        </w:tc>
        <w:tc>
          <w:tcPr>
            <w:tcW w:w="5460" w:type="dxa"/>
            <w:gridSpan w:val="4"/>
          </w:tcPr>
          <w:p w14:paraId="127CFFA5" w14:textId="77777777" w:rsidR="00CA5547" w:rsidRPr="00B845AF" w:rsidRDefault="00CA5547" w:rsidP="00CA5547">
            <w:pPr>
              <w:spacing w:line="259" w:lineRule="auto"/>
              <w:rPr>
                <w:rFonts w:asciiTheme="minorHAnsi" w:hAnsiTheme="minorHAnsi" w:cstheme="minorHAnsi"/>
                <w:sz w:val="16"/>
                <w:szCs w:val="16"/>
              </w:rPr>
            </w:pPr>
            <w:r w:rsidRPr="00B845AF">
              <w:rPr>
                <w:rFonts w:asciiTheme="minorHAnsi" w:hAnsiTheme="minorHAnsi" w:cstheme="minorHAnsi"/>
                <w:sz w:val="16"/>
              </w:rPr>
              <w:t xml:space="preserve"> </w:t>
            </w:r>
          </w:p>
        </w:tc>
      </w:tr>
    </w:tbl>
    <w:p w14:paraId="1419A13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noProof/>
        </w:rPr>
        <mc:AlternateContent>
          <mc:Choice Requires="wpg">
            <w:drawing>
              <wp:inline distT="0" distB="0" distL="0" distR="0" wp14:anchorId="76068196" wp14:editId="72A64782">
                <wp:extent cx="1829054" cy="6096"/>
                <wp:effectExtent l="0" t="0" r="0" b="0"/>
                <wp:docPr id="52448" name="Group 52448"/>
                <wp:cNvGraphicFramePr/>
                <a:graphic xmlns:a="http://schemas.openxmlformats.org/drawingml/2006/main">
                  <a:graphicData uri="http://schemas.microsoft.com/office/word/2010/wordprocessingGroup">
                    <wpg:wgp>
                      <wpg:cNvGrpSpPr/>
                      <wpg:grpSpPr>
                        <a:xfrm>
                          <a:off x="0" y="0"/>
                          <a:ext cx="1829054" cy="6096"/>
                          <a:chOff x="0" y="0"/>
                          <a:chExt cx="1829054" cy="6096"/>
                        </a:xfrm>
                      </wpg:grpSpPr>
                      <wps:wsp>
                        <wps:cNvPr id="55115" name="Shape 55115"/>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solidFill>
                            <a:srgbClr val="000000"/>
                          </a:solidFill>
                          <a:ln w="0" cap="flat">
                            <a:noFill/>
                            <a:miter lim="127000"/>
                          </a:ln>
                          <a:effectLst/>
                        </wps:spPr>
                        <wps:bodyPr/>
                      </wps:wsp>
                    </wpg:wgp>
                  </a:graphicData>
                </a:graphic>
              </wp:inline>
            </w:drawing>
          </mc:Choice>
          <mc:Fallback xmlns:a="http://schemas.openxmlformats.org/drawingml/2006/main" xmlns:pic="http://schemas.openxmlformats.org/drawingml/2006/picture" xmlns:a14="http://schemas.microsoft.com/office/drawing/2010/main" xmlns:arto="http://schemas.microsoft.com/office/word/2006/arto">
            <w:pict w14:anchorId="73CF0B34">
              <v:group id="Group 52448" style="width:2in;height:.5pt;mso-position-horizontal-relative:char;mso-position-vertical-relative:line" coordsize="18290,60" o:spid="_x0000_s1026" w14:anchorId="7AAEE8D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">
                <v:shape id="Shape 55115" style="position:absolute;width:18290;height:91;visibility:visible;mso-wrap-style:square;v-text-anchor:top" coordsize="1829054,9144" o:spid="_x0000_s1027" fillcolor="black" stroked="f" strokeweight="0" path="m,l1829054,r,9144l,9144,,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">
                  <v:stroke miterlimit="83231f" joinstyle="miter"/>
                  <v:path textboxrect="0,0,1829054,9144" arrowok="t"/>
                </v:shape>
                <w10:anchorlock/>
              </v:group>
            </w:pict>
          </mc:Fallback>
        </mc:AlternateContent>
      </w:r>
      <w:r w:rsidRPr="00B845AF">
        <w:rPr>
          <w:rFonts w:asciiTheme="minorHAnsi" w:hAnsiTheme="minorHAnsi" w:cstheme="minorHAnsi"/>
          <w:sz w:val="20"/>
          <w:szCs w:val="20"/>
        </w:rPr>
        <w:t xml:space="preserve"> </w:t>
      </w:r>
    </w:p>
    <w:p w14:paraId="364B3804" w14:textId="77777777" w:rsidR="00CA5547" w:rsidRPr="00B845AF" w:rsidRDefault="00CA5547" w:rsidP="00CA5547">
      <w:pPr>
        <w:spacing w:after="174" w:line="259" w:lineRule="auto"/>
        <w:rPr>
          <w:rFonts w:asciiTheme="minorHAnsi" w:hAnsiTheme="minorHAnsi" w:cstheme="minorHAnsi"/>
        </w:rPr>
      </w:pPr>
      <w:r w:rsidRPr="00B845AF">
        <w:rPr>
          <w:rFonts w:asciiTheme="minorHAnsi" w:hAnsiTheme="minorHAnsi" w:cstheme="minorHAnsi"/>
          <w:sz w:val="20"/>
        </w:rPr>
        <w:t xml:space="preserve"> </w:t>
      </w:r>
    </w:p>
    <w:p w14:paraId="7EB0B449" w14:textId="77777777" w:rsidR="00CA5547" w:rsidRPr="00B845AF" w:rsidRDefault="00CA5547" w:rsidP="00CA5547">
      <w:pPr>
        <w:spacing w:line="259" w:lineRule="auto"/>
        <w:ind w:left="-5"/>
        <w:outlineLvl w:val="1"/>
        <w:rPr>
          <w:rFonts w:asciiTheme="minorHAnsi" w:eastAsia="MS Mincho" w:hAnsiTheme="minorHAnsi" w:cstheme="minorHAnsi"/>
          <w:b/>
          <w:color w:val="000000"/>
          <w:lang w:eastAsia="ja-JP"/>
        </w:rPr>
      </w:pPr>
      <w:r w:rsidRPr="00B845AF">
        <w:rPr>
          <w:rFonts w:asciiTheme="minorHAnsi" w:eastAsia="MS Mincho" w:hAnsiTheme="minorHAnsi" w:cstheme="minorHAnsi"/>
          <w:b/>
          <w:color w:val="365F91"/>
          <w:lang w:eastAsia="ja-JP"/>
        </w:rPr>
        <w:t xml:space="preserve">A2.1.3 </w:t>
      </w:r>
      <w:r w:rsidRPr="00B845AF">
        <w:rPr>
          <w:rFonts w:asciiTheme="minorHAnsi" w:eastAsia="MS Mincho" w:hAnsiTheme="minorHAnsi" w:cstheme="minorHAnsi"/>
          <w:b/>
          <w:i/>
          <w:iCs/>
          <w:color w:val="365F91"/>
          <w:lang w:eastAsia="ja-JP"/>
        </w:rPr>
        <w:t>Longline operational data</w:t>
      </w:r>
      <w:r w:rsidRPr="00B845AF">
        <w:rPr>
          <w:rFonts w:asciiTheme="minorHAnsi" w:eastAsia="MS Mincho" w:hAnsiTheme="minorHAnsi" w:cstheme="minorHAnsi"/>
          <w:b/>
          <w:color w:val="365F91"/>
          <w:lang w:eastAsia="ja-JP"/>
        </w:rPr>
        <w:t xml:space="preserve"> –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45"/>
        <w:gridCol w:w="6844"/>
        <w:gridCol w:w="902"/>
        <w:gridCol w:w="4259"/>
      </w:tblGrid>
      <w:tr w:rsidR="00CA5547" w:rsidRPr="00B845AF" w14:paraId="64F7515D" w14:textId="77777777" w:rsidTr="00835632">
        <w:trPr>
          <w:trHeight w:val="204"/>
        </w:trPr>
        <w:tc>
          <w:tcPr>
            <w:tcW w:w="1545" w:type="dxa"/>
            <w:tcBorders>
              <w:top w:val="single" w:sz="4" w:space="0" w:color="000000"/>
              <w:left w:val="single" w:sz="4" w:space="0" w:color="000000"/>
              <w:bottom w:val="single" w:sz="4" w:space="0" w:color="000000"/>
              <w:right w:val="single" w:sz="4" w:space="0" w:color="000000"/>
            </w:tcBorders>
            <w:shd w:val="clear" w:color="auto" w:fill="A6A6A6"/>
          </w:tcPr>
          <w:p w14:paraId="5C01559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843" w:type="dxa"/>
            <w:tcBorders>
              <w:top w:val="single" w:sz="4" w:space="0" w:color="000000"/>
              <w:left w:val="single" w:sz="4" w:space="0" w:color="000000"/>
              <w:bottom w:val="single" w:sz="4" w:space="0" w:color="000000"/>
              <w:right w:val="single" w:sz="4" w:space="0" w:color="000000"/>
            </w:tcBorders>
            <w:shd w:val="clear" w:color="auto" w:fill="A6A6A6"/>
          </w:tcPr>
          <w:p w14:paraId="3A3E8D6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Reference text in Annex 1. </w:t>
            </w:r>
          </w:p>
        </w:tc>
        <w:tc>
          <w:tcPr>
            <w:tcW w:w="902" w:type="dxa"/>
            <w:tcBorders>
              <w:top w:val="single" w:sz="4" w:space="0" w:color="000000"/>
              <w:left w:val="single" w:sz="4" w:space="0" w:color="000000"/>
              <w:bottom w:val="single" w:sz="4" w:space="0" w:color="000000"/>
              <w:right w:val="single" w:sz="4" w:space="0" w:color="000000"/>
            </w:tcBorders>
            <w:shd w:val="clear" w:color="auto" w:fill="A6A6A6"/>
          </w:tcPr>
          <w:p w14:paraId="0CC37DB1" w14:textId="77777777" w:rsidR="00CA5547" w:rsidRPr="00B845AF" w:rsidRDefault="00CA5547" w:rsidP="00CA5547">
            <w:pPr>
              <w:spacing w:line="259" w:lineRule="auto"/>
              <w:ind w:right="20"/>
              <w:jc w:val="center"/>
              <w:rPr>
                <w:rFonts w:asciiTheme="minorHAnsi" w:hAnsiTheme="minorHAnsi" w:cstheme="minorHAnsi"/>
              </w:rPr>
            </w:pPr>
            <w:r w:rsidRPr="00B845AF">
              <w:rPr>
                <w:rFonts w:asciiTheme="minorHAnsi" w:hAnsiTheme="minorHAnsi" w:cstheme="minorHAnsi"/>
                <w:b/>
                <w:sz w:val="16"/>
              </w:rPr>
              <w:t xml:space="preserve">Binding </w:t>
            </w:r>
          </w:p>
        </w:tc>
        <w:tc>
          <w:tcPr>
            <w:tcW w:w="4259" w:type="dxa"/>
            <w:tcBorders>
              <w:top w:val="single" w:sz="4" w:space="0" w:color="000000"/>
              <w:left w:val="single" w:sz="4" w:space="0" w:color="000000"/>
              <w:bottom w:val="single" w:sz="4" w:space="0" w:color="000000"/>
              <w:right w:val="single" w:sz="4" w:space="0" w:color="000000"/>
            </w:tcBorders>
            <w:shd w:val="clear" w:color="auto" w:fill="A6A6A6"/>
          </w:tcPr>
          <w:p w14:paraId="42B9978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67FCDA4A" w14:textId="77777777" w:rsidTr="00835632">
        <w:trPr>
          <w:trHeight w:val="401"/>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7EF93A8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3A46E31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4C8212F6"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351E570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75E7A32F" w14:textId="77777777" w:rsidTr="00835632">
        <w:trPr>
          <w:trHeight w:val="398"/>
        </w:trPr>
        <w:tc>
          <w:tcPr>
            <w:tcW w:w="1545" w:type="dxa"/>
            <w:tcBorders>
              <w:top w:val="single" w:sz="4" w:space="0" w:color="000000"/>
              <w:left w:val="single" w:sz="4" w:space="0" w:color="000000"/>
              <w:bottom w:val="single" w:sz="4" w:space="0" w:color="000000"/>
              <w:right w:val="single" w:sz="4" w:space="0" w:color="000000"/>
            </w:tcBorders>
            <w:shd w:val="clear" w:color="auto" w:fill="FDE9D9"/>
          </w:tcPr>
          <w:p w14:paraId="6A4F3EAB" w14:textId="77777777" w:rsidR="00CA5547" w:rsidRPr="00B845AF" w:rsidRDefault="00CA5547" w:rsidP="00CA5547">
            <w:pPr>
              <w:spacing w:line="259" w:lineRule="auto"/>
              <w:ind w:right="9"/>
              <w:rPr>
                <w:rFonts w:asciiTheme="minorHAnsi" w:hAnsiTheme="minorHAnsi" w:cstheme="minorHAnsi"/>
              </w:rPr>
            </w:pPr>
            <w:r w:rsidRPr="00B845AF">
              <w:rPr>
                <w:rFonts w:asciiTheme="minorHAnsi" w:hAnsiTheme="minorHAnsi" w:cstheme="minorHAnsi"/>
                <w:sz w:val="16"/>
              </w:rPr>
              <w:t xml:space="preserve">ACTIVITY IDENTIFIER </w:t>
            </w:r>
          </w:p>
        </w:tc>
        <w:tc>
          <w:tcPr>
            <w:tcW w:w="6843" w:type="dxa"/>
            <w:tcBorders>
              <w:top w:val="single" w:sz="4" w:space="0" w:color="000000"/>
              <w:left w:val="single" w:sz="4" w:space="0" w:color="000000"/>
              <w:bottom w:val="single" w:sz="4" w:space="0" w:color="000000"/>
              <w:right w:val="single" w:sz="4" w:space="0" w:color="000000"/>
            </w:tcBorders>
            <w:shd w:val="clear" w:color="auto" w:fill="FDE9D9"/>
          </w:tcPr>
          <w:p w14:paraId="7D2414A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902" w:type="dxa"/>
            <w:tcBorders>
              <w:top w:val="single" w:sz="4" w:space="0" w:color="000000"/>
              <w:left w:val="single" w:sz="4" w:space="0" w:color="000000"/>
              <w:bottom w:val="single" w:sz="4" w:space="0" w:color="000000"/>
              <w:right w:val="single" w:sz="4" w:space="0" w:color="000000"/>
            </w:tcBorders>
            <w:shd w:val="clear" w:color="auto" w:fill="FDE9D9"/>
          </w:tcPr>
          <w:p w14:paraId="6C38AE58"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59" w:type="dxa"/>
            <w:tcBorders>
              <w:top w:val="single" w:sz="4" w:space="0" w:color="000000"/>
              <w:left w:val="single" w:sz="4" w:space="0" w:color="000000"/>
              <w:bottom w:val="single" w:sz="4" w:space="0" w:color="000000"/>
              <w:right w:val="single" w:sz="4" w:space="0" w:color="000000"/>
            </w:tcBorders>
            <w:shd w:val="clear" w:color="auto" w:fill="FDE9D9"/>
          </w:tcPr>
          <w:p w14:paraId="55854CF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5D2557A5" w14:textId="77777777" w:rsidTr="00835632">
        <w:trPr>
          <w:trHeight w:val="4514"/>
        </w:trPr>
        <w:tc>
          <w:tcPr>
            <w:tcW w:w="1545" w:type="dxa"/>
            <w:vMerge w:val="restart"/>
            <w:tcBorders>
              <w:top w:val="single" w:sz="4" w:space="0" w:color="000000"/>
              <w:left w:val="single" w:sz="4" w:space="0" w:color="000000"/>
              <w:bottom w:val="single" w:sz="4" w:space="0" w:color="000000"/>
              <w:right w:val="single" w:sz="4" w:space="0" w:color="000000"/>
            </w:tcBorders>
          </w:tcPr>
          <w:p w14:paraId="526C260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SPECIES CODE </w:t>
            </w:r>
          </w:p>
        </w:tc>
        <w:tc>
          <w:tcPr>
            <w:tcW w:w="6843" w:type="dxa"/>
            <w:tcBorders>
              <w:top w:val="single" w:sz="4" w:space="0" w:color="000000"/>
              <w:left w:val="single" w:sz="4" w:space="0" w:color="000000"/>
              <w:bottom w:val="single" w:sz="8" w:space="0" w:color="000000"/>
              <w:right w:val="single" w:sz="4" w:space="0" w:color="000000"/>
            </w:tcBorders>
          </w:tcPr>
          <w:p w14:paraId="19FBC06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The following species:  </w:t>
            </w:r>
          </w:p>
          <w:tbl>
            <w:tblPr>
              <w:tblStyle w:val="TableGrid0"/>
              <w:tblW w:w="6450" w:type="dxa"/>
              <w:tblInd w:w="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4" w:type="dxa"/>
                <w:left w:w="107" w:type="dxa"/>
                <w:right w:w="115" w:type="dxa"/>
              </w:tblCellMar>
              <w:tblLook w:val="04A0" w:firstRow="1" w:lastRow="0" w:firstColumn="1" w:lastColumn="0" w:noHBand="0" w:noVBand="1"/>
            </w:tblPr>
            <w:tblGrid>
              <w:gridCol w:w="4600"/>
              <w:gridCol w:w="1850"/>
            </w:tblGrid>
            <w:tr w:rsidR="00CA5547" w:rsidRPr="00B845AF" w14:paraId="517C71F5" w14:textId="77777777" w:rsidTr="00835632">
              <w:trPr>
                <w:trHeight w:val="202"/>
              </w:trPr>
              <w:tc>
                <w:tcPr>
                  <w:tcW w:w="4600" w:type="dxa"/>
                  <w:shd w:val="clear" w:color="auto" w:fill="CCC0D9"/>
                </w:tcPr>
                <w:p w14:paraId="6A0FD09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Species name </w:t>
                  </w:r>
                </w:p>
              </w:tc>
              <w:tc>
                <w:tcPr>
                  <w:tcW w:w="1850" w:type="dxa"/>
                  <w:shd w:val="clear" w:color="auto" w:fill="CCC0D9"/>
                </w:tcPr>
                <w:p w14:paraId="7BC1B65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FAO Code </w:t>
                  </w:r>
                </w:p>
              </w:tc>
            </w:tr>
            <w:tr w:rsidR="00CA5547" w:rsidRPr="00B845AF" w14:paraId="73D95E87" w14:textId="77777777" w:rsidTr="00835632">
              <w:trPr>
                <w:trHeight w:val="208"/>
              </w:trPr>
              <w:tc>
                <w:tcPr>
                  <w:tcW w:w="4600" w:type="dxa"/>
                </w:tcPr>
                <w:p w14:paraId="2E2C9BB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albacore (</w:t>
                  </w:r>
                  <w:r w:rsidRPr="00B845AF">
                    <w:rPr>
                      <w:rFonts w:asciiTheme="minorHAnsi" w:hAnsiTheme="minorHAnsi" w:cstheme="minorHAnsi"/>
                      <w:i/>
                      <w:color w:val="0000FF"/>
                      <w:sz w:val="16"/>
                    </w:rPr>
                    <w:t>Thunnus alalunga</w:t>
                  </w:r>
                  <w:r w:rsidRPr="00B845AF">
                    <w:rPr>
                      <w:rFonts w:asciiTheme="minorHAnsi" w:hAnsiTheme="minorHAnsi" w:cstheme="minorHAnsi"/>
                      <w:color w:val="0000FF"/>
                      <w:sz w:val="16"/>
                    </w:rPr>
                    <w:t xml:space="preserve">),  </w:t>
                  </w:r>
                </w:p>
              </w:tc>
              <w:tc>
                <w:tcPr>
                  <w:tcW w:w="1850" w:type="dxa"/>
                </w:tcPr>
                <w:p w14:paraId="005FBCC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ALB </w:t>
                  </w:r>
                </w:p>
              </w:tc>
            </w:tr>
            <w:tr w:rsidR="00CA5547" w:rsidRPr="00B845AF" w14:paraId="185D4BD7" w14:textId="77777777" w:rsidTr="00835632">
              <w:trPr>
                <w:trHeight w:val="204"/>
              </w:trPr>
              <w:tc>
                <w:tcPr>
                  <w:tcW w:w="4600" w:type="dxa"/>
                </w:tcPr>
                <w:p w14:paraId="750C4B2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bigeye (</w:t>
                  </w:r>
                  <w:r w:rsidRPr="00B845AF">
                    <w:rPr>
                      <w:rFonts w:asciiTheme="minorHAnsi" w:hAnsiTheme="minorHAnsi" w:cstheme="minorHAnsi"/>
                      <w:i/>
                      <w:color w:val="0000FF"/>
                      <w:sz w:val="16"/>
                    </w:rPr>
                    <w:t>Thunnus obesus</w:t>
                  </w:r>
                  <w:r w:rsidRPr="00B845AF">
                    <w:rPr>
                      <w:rFonts w:asciiTheme="minorHAnsi" w:hAnsiTheme="minorHAnsi" w:cstheme="minorHAnsi"/>
                      <w:color w:val="0000FF"/>
                      <w:sz w:val="16"/>
                    </w:rPr>
                    <w:t xml:space="preserve">),  </w:t>
                  </w:r>
                </w:p>
              </w:tc>
              <w:tc>
                <w:tcPr>
                  <w:tcW w:w="1850" w:type="dxa"/>
                </w:tcPr>
                <w:p w14:paraId="73AB941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BET </w:t>
                  </w:r>
                </w:p>
              </w:tc>
            </w:tr>
            <w:tr w:rsidR="00CA5547" w:rsidRPr="00B845AF" w14:paraId="656B67DE" w14:textId="77777777" w:rsidTr="00835632">
              <w:trPr>
                <w:trHeight w:val="206"/>
              </w:trPr>
              <w:tc>
                <w:tcPr>
                  <w:tcW w:w="4600" w:type="dxa"/>
                </w:tcPr>
                <w:p w14:paraId="4E3338F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skipjack (</w:t>
                  </w:r>
                  <w:r w:rsidRPr="00B845AF">
                    <w:rPr>
                      <w:rFonts w:asciiTheme="minorHAnsi" w:hAnsiTheme="minorHAnsi" w:cstheme="minorHAnsi"/>
                      <w:i/>
                      <w:color w:val="0000FF"/>
                      <w:sz w:val="16"/>
                    </w:rPr>
                    <w:t>Katsuwonus pelamis</w:t>
                  </w:r>
                  <w:r w:rsidRPr="00B845AF">
                    <w:rPr>
                      <w:rFonts w:asciiTheme="minorHAnsi" w:hAnsiTheme="minorHAnsi" w:cstheme="minorHAnsi"/>
                      <w:color w:val="0000FF"/>
                      <w:sz w:val="16"/>
                    </w:rPr>
                    <w:t xml:space="preserve">),  </w:t>
                  </w:r>
                </w:p>
              </w:tc>
              <w:tc>
                <w:tcPr>
                  <w:tcW w:w="1850" w:type="dxa"/>
                </w:tcPr>
                <w:p w14:paraId="1E1D4EF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SKJ </w:t>
                  </w:r>
                </w:p>
              </w:tc>
            </w:tr>
            <w:tr w:rsidR="00CA5547" w:rsidRPr="00B845AF" w14:paraId="68F7FAFB" w14:textId="77777777" w:rsidTr="00835632">
              <w:trPr>
                <w:trHeight w:val="206"/>
              </w:trPr>
              <w:tc>
                <w:tcPr>
                  <w:tcW w:w="4600" w:type="dxa"/>
                </w:tcPr>
                <w:p w14:paraId="647C9F7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yellowfin (</w:t>
                  </w:r>
                  <w:r w:rsidRPr="00B845AF">
                    <w:rPr>
                      <w:rFonts w:asciiTheme="minorHAnsi" w:hAnsiTheme="minorHAnsi" w:cstheme="minorHAnsi"/>
                      <w:i/>
                      <w:color w:val="0000FF"/>
                      <w:sz w:val="16"/>
                    </w:rPr>
                    <w:t>Thunnus albacares</w:t>
                  </w:r>
                  <w:r w:rsidRPr="00B845AF">
                    <w:rPr>
                      <w:rFonts w:asciiTheme="minorHAnsi" w:hAnsiTheme="minorHAnsi" w:cstheme="minorHAnsi"/>
                      <w:color w:val="0000FF"/>
                      <w:sz w:val="16"/>
                    </w:rPr>
                    <w:t xml:space="preserve">),  </w:t>
                  </w:r>
                </w:p>
              </w:tc>
              <w:tc>
                <w:tcPr>
                  <w:tcW w:w="1850" w:type="dxa"/>
                </w:tcPr>
                <w:p w14:paraId="1BFD8C3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YFT </w:t>
                  </w:r>
                </w:p>
              </w:tc>
            </w:tr>
            <w:tr w:rsidR="00CA5547" w:rsidRPr="00B845AF" w14:paraId="669F9D50" w14:textId="77777777" w:rsidTr="00835632">
              <w:trPr>
                <w:trHeight w:val="204"/>
              </w:trPr>
              <w:tc>
                <w:tcPr>
                  <w:tcW w:w="4600" w:type="dxa"/>
                </w:tcPr>
                <w:p w14:paraId="0C645E7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striped marlin (</w:t>
                  </w:r>
                  <w:r w:rsidRPr="00B845AF">
                    <w:rPr>
                      <w:rFonts w:asciiTheme="minorHAnsi" w:hAnsiTheme="minorHAnsi" w:cstheme="minorHAnsi"/>
                      <w:i/>
                      <w:color w:val="0000FF"/>
                      <w:sz w:val="16"/>
                    </w:rPr>
                    <w:t>Tetrapturus audax</w:t>
                  </w:r>
                  <w:r w:rsidRPr="00B845AF">
                    <w:rPr>
                      <w:rFonts w:asciiTheme="minorHAnsi" w:hAnsiTheme="minorHAnsi" w:cstheme="minorHAnsi"/>
                      <w:color w:val="0000FF"/>
                      <w:sz w:val="16"/>
                    </w:rPr>
                    <w:t xml:space="preserve">),  </w:t>
                  </w:r>
                </w:p>
              </w:tc>
              <w:tc>
                <w:tcPr>
                  <w:tcW w:w="1850" w:type="dxa"/>
                </w:tcPr>
                <w:p w14:paraId="018857D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MLS </w:t>
                  </w:r>
                </w:p>
              </w:tc>
            </w:tr>
            <w:tr w:rsidR="00CA5547" w:rsidRPr="00B845AF" w14:paraId="07DE8305" w14:textId="77777777" w:rsidTr="00835632">
              <w:trPr>
                <w:trHeight w:val="207"/>
              </w:trPr>
              <w:tc>
                <w:tcPr>
                  <w:tcW w:w="4600" w:type="dxa"/>
                </w:tcPr>
                <w:p w14:paraId="1462F2B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blue marlin (</w:t>
                  </w:r>
                  <w:r w:rsidRPr="00B845AF">
                    <w:rPr>
                      <w:rFonts w:asciiTheme="minorHAnsi" w:hAnsiTheme="minorHAnsi" w:cstheme="minorHAnsi"/>
                      <w:i/>
                      <w:color w:val="0000FF"/>
                      <w:sz w:val="16"/>
                    </w:rPr>
                    <w:t>Makaira mazara</w:t>
                  </w:r>
                  <w:r w:rsidRPr="00B845AF">
                    <w:rPr>
                      <w:rFonts w:asciiTheme="minorHAnsi" w:hAnsiTheme="minorHAnsi" w:cstheme="minorHAnsi"/>
                      <w:color w:val="0000FF"/>
                      <w:sz w:val="16"/>
                    </w:rPr>
                    <w:t xml:space="preserve">),  </w:t>
                  </w:r>
                </w:p>
              </w:tc>
              <w:tc>
                <w:tcPr>
                  <w:tcW w:w="1850" w:type="dxa"/>
                </w:tcPr>
                <w:p w14:paraId="3305FD9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BUM </w:t>
                  </w:r>
                </w:p>
              </w:tc>
            </w:tr>
            <w:tr w:rsidR="00CA5547" w:rsidRPr="00B845AF" w14:paraId="21B932E9" w14:textId="77777777" w:rsidTr="00835632">
              <w:trPr>
                <w:trHeight w:val="204"/>
              </w:trPr>
              <w:tc>
                <w:tcPr>
                  <w:tcW w:w="4600" w:type="dxa"/>
                </w:tcPr>
                <w:p w14:paraId="7E54FF4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black marlin (</w:t>
                  </w:r>
                  <w:r w:rsidRPr="00B845AF">
                    <w:rPr>
                      <w:rFonts w:asciiTheme="minorHAnsi" w:hAnsiTheme="minorHAnsi" w:cstheme="minorHAnsi"/>
                      <w:i/>
                      <w:color w:val="0000FF"/>
                      <w:sz w:val="16"/>
                    </w:rPr>
                    <w:t>Makaira indica</w:t>
                  </w:r>
                  <w:r w:rsidRPr="00B845AF">
                    <w:rPr>
                      <w:rFonts w:asciiTheme="minorHAnsi" w:hAnsiTheme="minorHAnsi" w:cstheme="minorHAnsi"/>
                      <w:color w:val="0000FF"/>
                      <w:sz w:val="16"/>
                    </w:rPr>
                    <w:t xml:space="preserve">)  </w:t>
                  </w:r>
                </w:p>
              </w:tc>
              <w:tc>
                <w:tcPr>
                  <w:tcW w:w="1850" w:type="dxa"/>
                </w:tcPr>
                <w:p w14:paraId="1DD223E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BLM </w:t>
                  </w:r>
                </w:p>
              </w:tc>
            </w:tr>
            <w:tr w:rsidR="00CA5547" w:rsidRPr="00B845AF" w14:paraId="40337565" w14:textId="77777777" w:rsidTr="00835632">
              <w:trPr>
                <w:trHeight w:val="206"/>
              </w:trPr>
              <w:tc>
                <w:tcPr>
                  <w:tcW w:w="4600" w:type="dxa"/>
                </w:tcPr>
                <w:p w14:paraId="58E2D92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swordfish (</w:t>
                  </w:r>
                  <w:r w:rsidRPr="00B845AF">
                    <w:rPr>
                      <w:rFonts w:asciiTheme="minorHAnsi" w:hAnsiTheme="minorHAnsi" w:cstheme="minorHAnsi"/>
                      <w:i/>
                      <w:color w:val="0000FF"/>
                      <w:sz w:val="16"/>
                    </w:rPr>
                    <w:t>Xiphias gladius</w:t>
                  </w:r>
                  <w:r w:rsidRPr="00B845AF">
                    <w:rPr>
                      <w:rFonts w:asciiTheme="minorHAnsi" w:hAnsiTheme="minorHAnsi" w:cstheme="minorHAnsi"/>
                      <w:color w:val="0000FF"/>
                      <w:sz w:val="16"/>
                    </w:rPr>
                    <w:t xml:space="preserve">),  </w:t>
                  </w:r>
                </w:p>
              </w:tc>
              <w:tc>
                <w:tcPr>
                  <w:tcW w:w="1850" w:type="dxa"/>
                </w:tcPr>
                <w:p w14:paraId="11B0A19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SWO </w:t>
                  </w:r>
                </w:p>
              </w:tc>
            </w:tr>
            <w:tr w:rsidR="00CA5547" w:rsidRPr="00B845AF" w14:paraId="49055177" w14:textId="77777777" w:rsidTr="00835632">
              <w:trPr>
                <w:trHeight w:val="204"/>
              </w:trPr>
              <w:tc>
                <w:tcPr>
                  <w:tcW w:w="4600" w:type="dxa"/>
                </w:tcPr>
                <w:p w14:paraId="112B7A3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shortbill spearfish (</w:t>
                  </w:r>
                  <w:r w:rsidRPr="00B845AF">
                    <w:rPr>
                      <w:rFonts w:asciiTheme="minorHAnsi" w:hAnsiTheme="minorHAnsi" w:cstheme="minorHAnsi"/>
                      <w:i/>
                      <w:color w:val="0000FF"/>
                      <w:sz w:val="16"/>
                    </w:rPr>
                    <w:t xml:space="preserve">Tetrapturus </w:t>
                  </w:r>
                  <w:proofErr w:type="spellStart"/>
                  <w:r w:rsidRPr="00B845AF">
                    <w:rPr>
                      <w:rFonts w:asciiTheme="minorHAnsi" w:hAnsiTheme="minorHAnsi" w:cstheme="minorHAnsi"/>
                      <w:i/>
                      <w:color w:val="0000FF"/>
                      <w:sz w:val="16"/>
                    </w:rPr>
                    <w:t>angustirostris</w:t>
                  </w:r>
                  <w:proofErr w:type="spellEnd"/>
                  <w:r w:rsidRPr="00B845AF">
                    <w:rPr>
                      <w:rFonts w:asciiTheme="minorHAnsi" w:hAnsiTheme="minorHAnsi" w:cstheme="minorHAnsi"/>
                      <w:color w:val="0000FF"/>
                      <w:sz w:val="16"/>
                    </w:rPr>
                    <w:t xml:space="preserve">) </w:t>
                  </w:r>
                </w:p>
              </w:tc>
              <w:tc>
                <w:tcPr>
                  <w:tcW w:w="1850" w:type="dxa"/>
                </w:tcPr>
                <w:p w14:paraId="4BFD21C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SSP </w:t>
                  </w:r>
                </w:p>
              </w:tc>
            </w:tr>
            <w:tr w:rsidR="00CA5547" w:rsidRPr="00B845AF" w14:paraId="1BAB8C1B" w14:textId="77777777" w:rsidTr="00835632">
              <w:trPr>
                <w:trHeight w:val="206"/>
              </w:trPr>
              <w:tc>
                <w:tcPr>
                  <w:tcW w:w="4600" w:type="dxa"/>
                </w:tcPr>
                <w:p w14:paraId="6C13265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sailfish (</w:t>
                  </w:r>
                  <w:proofErr w:type="spellStart"/>
                  <w:r w:rsidRPr="00B845AF">
                    <w:rPr>
                      <w:rFonts w:asciiTheme="minorHAnsi" w:hAnsiTheme="minorHAnsi" w:cstheme="minorHAnsi"/>
                      <w:i/>
                      <w:color w:val="0000FF"/>
                      <w:sz w:val="16"/>
                    </w:rPr>
                    <w:t>Istiophorus</w:t>
                  </w:r>
                  <w:proofErr w:type="spellEnd"/>
                  <w:r w:rsidRPr="00B845AF">
                    <w:rPr>
                      <w:rFonts w:asciiTheme="minorHAnsi" w:hAnsiTheme="minorHAnsi" w:cstheme="minorHAnsi"/>
                      <w:i/>
                      <w:color w:val="0000FF"/>
                      <w:sz w:val="16"/>
                    </w:rPr>
                    <w:t xml:space="preserve"> </w:t>
                  </w:r>
                  <w:proofErr w:type="spellStart"/>
                  <w:r w:rsidRPr="00B845AF">
                    <w:rPr>
                      <w:rFonts w:asciiTheme="minorHAnsi" w:hAnsiTheme="minorHAnsi" w:cstheme="minorHAnsi"/>
                      <w:i/>
                      <w:color w:val="0000FF"/>
                      <w:sz w:val="16"/>
                    </w:rPr>
                    <w:t>platypterus</w:t>
                  </w:r>
                  <w:proofErr w:type="spellEnd"/>
                  <w:r w:rsidRPr="00B845AF">
                    <w:rPr>
                      <w:rFonts w:asciiTheme="minorHAnsi" w:hAnsiTheme="minorHAnsi" w:cstheme="minorHAnsi"/>
                      <w:color w:val="0000FF"/>
                      <w:sz w:val="16"/>
                    </w:rPr>
                    <w:t>)</w:t>
                  </w:r>
                  <w:r w:rsidRPr="00B845AF">
                    <w:rPr>
                      <w:rFonts w:asciiTheme="minorHAnsi" w:hAnsiTheme="minorHAnsi" w:cstheme="minorHAnsi"/>
                      <w:i/>
                      <w:color w:val="0000FF"/>
                      <w:sz w:val="16"/>
                    </w:rPr>
                    <w:t xml:space="preserve"> </w:t>
                  </w:r>
                </w:p>
              </w:tc>
              <w:tc>
                <w:tcPr>
                  <w:tcW w:w="1850" w:type="dxa"/>
                </w:tcPr>
                <w:p w14:paraId="35B27E7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SFA </w:t>
                  </w:r>
                </w:p>
              </w:tc>
            </w:tr>
            <w:tr w:rsidR="00CA5547" w:rsidRPr="00B845AF" w14:paraId="5BEC480D" w14:textId="77777777" w:rsidTr="00835632">
              <w:trPr>
                <w:trHeight w:val="204"/>
              </w:trPr>
              <w:tc>
                <w:tcPr>
                  <w:tcW w:w="4600" w:type="dxa"/>
                </w:tcPr>
                <w:p w14:paraId="1F2AA39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blue shark,  </w:t>
                  </w:r>
                </w:p>
              </w:tc>
              <w:tc>
                <w:tcPr>
                  <w:tcW w:w="1850" w:type="dxa"/>
                </w:tcPr>
                <w:p w14:paraId="41D322D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BSH </w:t>
                  </w:r>
                </w:p>
              </w:tc>
            </w:tr>
            <w:tr w:rsidR="00CA5547" w:rsidRPr="00B845AF" w14:paraId="7ACC5633" w14:textId="77777777" w:rsidTr="00835632">
              <w:trPr>
                <w:trHeight w:val="206"/>
              </w:trPr>
              <w:tc>
                <w:tcPr>
                  <w:tcW w:w="4600" w:type="dxa"/>
                </w:tcPr>
                <w:p w14:paraId="1295128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silky shark,  </w:t>
                  </w:r>
                </w:p>
              </w:tc>
              <w:tc>
                <w:tcPr>
                  <w:tcW w:w="1850" w:type="dxa"/>
                </w:tcPr>
                <w:p w14:paraId="7BF4D64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FAL </w:t>
                  </w:r>
                </w:p>
              </w:tc>
            </w:tr>
            <w:tr w:rsidR="00CA5547" w:rsidRPr="00B845AF" w14:paraId="4CCDF2A8" w14:textId="77777777" w:rsidTr="00835632">
              <w:trPr>
                <w:trHeight w:val="206"/>
              </w:trPr>
              <w:tc>
                <w:tcPr>
                  <w:tcW w:w="4600" w:type="dxa"/>
                </w:tcPr>
                <w:p w14:paraId="0C13D39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oceanic whitetip shark,  </w:t>
                  </w:r>
                </w:p>
              </w:tc>
              <w:tc>
                <w:tcPr>
                  <w:tcW w:w="1850" w:type="dxa"/>
                </w:tcPr>
                <w:p w14:paraId="6FA94BC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OCS </w:t>
                  </w:r>
                </w:p>
              </w:tc>
            </w:tr>
            <w:tr w:rsidR="00CA5547" w:rsidRPr="00B845AF" w14:paraId="22503C65" w14:textId="77777777" w:rsidTr="00835632">
              <w:trPr>
                <w:trHeight w:val="204"/>
              </w:trPr>
              <w:tc>
                <w:tcPr>
                  <w:tcW w:w="4600" w:type="dxa"/>
                </w:tcPr>
                <w:p w14:paraId="13E2E230"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mako sharks,  </w:t>
                  </w:r>
                </w:p>
              </w:tc>
              <w:tc>
                <w:tcPr>
                  <w:tcW w:w="1850" w:type="dxa"/>
                </w:tcPr>
                <w:p w14:paraId="020C060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MAK, SMA, LMA </w:t>
                  </w:r>
                </w:p>
              </w:tc>
            </w:tr>
            <w:tr w:rsidR="00CA5547" w:rsidRPr="00B845AF" w14:paraId="5B11F63D" w14:textId="77777777" w:rsidTr="00835632">
              <w:trPr>
                <w:trHeight w:val="206"/>
              </w:trPr>
              <w:tc>
                <w:tcPr>
                  <w:tcW w:w="4600" w:type="dxa"/>
                </w:tcPr>
                <w:p w14:paraId="7B29C03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thresher sharks,  </w:t>
                  </w:r>
                </w:p>
              </w:tc>
              <w:tc>
                <w:tcPr>
                  <w:tcW w:w="1850" w:type="dxa"/>
                </w:tcPr>
                <w:p w14:paraId="0BBFE07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THR, ALV, PTH, BTH </w:t>
                  </w:r>
                </w:p>
              </w:tc>
            </w:tr>
            <w:tr w:rsidR="00CA5547" w:rsidRPr="00B845AF" w14:paraId="7BE25EFB" w14:textId="77777777" w:rsidTr="00835632">
              <w:trPr>
                <w:trHeight w:val="204"/>
              </w:trPr>
              <w:tc>
                <w:tcPr>
                  <w:tcW w:w="4600" w:type="dxa"/>
                </w:tcPr>
                <w:p w14:paraId="5B205BE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porbeagle shark,  </w:t>
                  </w:r>
                </w:p>
              </w:tc>
              <w:tc>
                <w:tcPr>
                  <w:tcW w:w="1850" w:type="dxa"/>
                </w:tcPr>
                <w:p w14:paraId="03735DC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POR </w:t>
                  </w:r>
                </w:p>
              </w:tc>
            </w:tr>
            <w:tr w:rsidR="00CA5547" w:rsidRPr="00B845AF" w14:paraId="3D7DBDF8" w14:textId="77777777" w:rsidTr="00835632">
              <w:trPr>
                <w:trHeight w:val="401"/>
              </w:trPr>
              <w:tc>
                <w:tcPr>
                  <w:tcW w:w="4600" w:type="dxa"/>
                </w:tcPr>
                <w:p w14:paraId="3662B76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hammerhead sharks (winghead, scalloped, great, and smooth) </w:t>
                  </w:r>
                </w:p>
              </w:tc>
              <w:tc>
                <w:tcPr>
                  <w:tcW w:w="1850" w:type="dxa"/>
                </w:tcPr>
                <w:p w14:paraId="0422936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SPN, SPK, SPL, SPZ, SPQ, EUB  </w:t>
                  </w:r>
                </w:p>
              </w:tc>
            </w:tr>
            <w:tr w:rsidR="00CA5547" w:rsidRPr="00B845AF" w14:paraId="754891FE" w14:textId="77777777" w:rsidTr="00835632">
              <w:trPr>
                <w:trHeight w:val="207"/>
              </w:trPr>
              <w:tc>
                <w:tcPr>
                  <w:tcW w:w="4600" w:type="dxa"/>
                </w:tcPr>
                <w:p w14:paraId="1BEDADF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whale shark,  </w:t>
                  </w:r>
                </w:p>
              </w:tc>
              <w:tc>
                <w:tcPr>
                  <w:tcW w:w="1850" w:type="dxa"/>
                </w:tcPr>
                <w:p w14:paraId="08385CB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RHN </w:t>
                  </w:r>
                </w:p>
              </w:tc>
            </w:tr>
            <w:tr w:rsidR="00CA5547" w:rsidRPr="00B845AF" w14:paraId="7273FAC5" w14:textId="77777777" w:rsidTr="00835632">
              <w:trPr>
                <w:trHeight w:val="199"/>
              </w:trPr>
              <w:tc>
                <w:tcPr>
                  <w:tcW w:w="4600" w:type="dxa"/>
                </w:tcPr>
                <w:p w14:paraId="7C15B71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other species as determined by the Commission</w:t>
                  </w:r>
                  <w:r w:rsidRPr="00B845AF">
                    <w:rPr>
                      <w:rFonts w:asciiTheme="minorHAnsi" w:hAnsiTheme="minorHAnsi" w:cstheme="minorHAnsi"/>
                      <w:color w:val="0000FF"/>
                      <w:sz w:val="16"/>
                      <w:vertAlign w:val="superscript"/>
                    </w:rPr>
                    <w:footnoteReference w:id="8"/>
                  </w:r>
                  <w:r w:rsidRPr="00B845AF">
                    <w:rPr>
                      <w:rFonts w:asciiTheme="minorHAnsi" w:hAnsiTheme="minorHAnsi" w:cstheme="minorHAnsi"/>
                      <w:color w:val="0000FF"/>
                      <w:sz w:val="16"/>
                    </w:rPr>
                    <w:t xml:space="preserve">. </w:t>
                  </w:r>
                </w:p>
              </w:tc>
              <w:tc>
                <w:tcPr>
                  <w:tcW w:w="1850" w:type="dxa"/>
                </w:tcPr>
                <w:p w14:paraId="681E6E2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r>
          </w:tbl>
          <w:p w14:paraId="6668516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2"/>
              </w:rPr>
              <w:t xml:space="preserve"> </w:t>
            </w:r>
          </w:p>
        </w:tc>
        <w:tc>
          <w:tcPr>
            <w:tcW w:w="902" w:type="dxa"/>
            <w:tcBorders>
              <w:top w:val="single" w:sz="4" w:space="0" w:color="000000"/>
              <w:left w:val="single" w:sz="4" w:space="0" w:color="000000"/>
              <w:bottom w:val="single" w:sz="8" w:space="0" w:color="000000"/>
              <w:right w:val="single" w:sz="4" w:space="0" w:color="000000"/>
            </w:tcBorders>
          </w:tcPr>
          <w:p w14:paraId="4B079D61"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59" w:type="dxa"/>
            <w:tcBorders>
              <w:top w:val="single" w:sz="4" w:space="0" w:color="000000"/>
              <w:left w:val="single" w:sz="4" w:space="0" w:color="000000"/>
              <w:bottom w:val="single" w:sz="8" w:space="0" w:color="000000"/>
              <w:right w:val="single" w:sz="4" w:space="0" w:color="000000"/>
            </w:tcBorders>
          </w:tcPr>
          <w:p w14:paraId="7E2D7E9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Key WCPFC Species. </w:t>
            </w:r>
          </w:p>
          <w:p w14:paraId="325E0CF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For each species taken in the set, PROVIDE the SPECIES CODE according to the FAO standard species code list. </w:t>
            </w:r>
          </w:p>
        </w:tc>
      </w:tr>
      <w:tr w:rsidR="00CA5547" w:rsidRPr="00B845AF" w14:paraId="18D0BC01" w14:textId="77777777" w:rsidTr="00835632">
        <w:trPr>
          <w:trHeight w:val="259"/>
        </w:trPr>
        <w:tc>
          <w:tcPr>
            <w:tcW w:w="0" w:type="auto"/>
            <w:vMerge/>
            <w:tcBorders>
              <w:top w:val="nil"/>
              <w:left w:val="single" w:sz="4" w:space="0" w:color="000000"/>
              <w:bottom w:val="single" w:sz="4" w:space="0" w:color="000000"/>
              <w:right w:val="single" w:sz="4" w:space="0" w:color="000000"/>
            </w:tcBorders>
          </w:tcPr>
          <w:p w14:paraId="7CA039F1" w14:textId="77777777" w:rsidR="00CA5547" w:rsidRPr="00B845AF" w:rsidRDefault="00CA5547" w:rsidP="00CA5547">
            <w:pPr>
              <w:spacing w:after="160" w:line="259" w:lineRule="auto"/>
              <w:rPr>
                <w:rFonts w:asciiTheme="minorHAnsi" w:hAnsiTheme="minorHAnsi" w:cstheme="minorHAnsi"/>
              </w:rPr>
            </w:pPr>
          </w:p>
        </w:tc>
        <w:tc>
          <w:tcPr>
            <w:tcW w:w="6843" w:type="dxa"/>
            <w:tcBorders>
              <w:top w:val="single" w:sz="8" w:space="0" w:color="000000"/>
              <w:left w:val="single" w:sz="4" w:space="0" w:color="000000"/>
              <w:bottom w:val="single" w:sz="4" w:space="0" w:color="000000"/>
              <w:right w:val="single" w:sz="4" w:space="0" w:color="000000"/>
            </w:tcBorders>
          </w:tcPr>
          <w:p w14:paraId="29DBCD0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Species that are not WCPFC key species. </w:t>
            </w:r>
          </w:p>
        </w:tc>
        <w:tc>
          <w:tcPr>
            <w:tcW w:w="902" w:type="dxa"/>
            <w:tcBorders>
              <w:top w:val="single" w:sz="8" w:space="0" w:color="000000"/>
              <w:left w:val="single" w:sz="4" w:space="0" w:color="000000"/>
              <w:bottom w:val="single" w:sz="4" w:space="0" w:color="000000"/>
              <w:right w:val="single" w:sz="4" w:space="0" w:color="000000"/>
            </w:tcBorders>
          </w:tcPr>
          <w:p w14:paraId="705691B0"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 xml:space="preserve">NO </w:t>
            </w:r>
          </w:p>
        </w:tc>
        <w:tc>
          <w:tcPr>
            <w:tcW w:w="4259" w:type="dxa"/>
            <w:tcBorders>
              <w:top w:val="single" w:sz="8" w:space="0" w:color="000000"/>
              <w:left w:val="single" w:sz="4" w:space="0" w:color="000000"/>
              <w:bottom w:val="single" w:sz="4" w:space="0" w:color="000000"/>
              <w:right w:val="single" w:sz="4" w:space="0" w:color="000000"/>
            </w:tcBorders>
          </w:tcPr>
          <w:p w14:paraId="441FF39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Other species </w:t>
            </w:r>
            <w:proofErr w:type="gramStart"/>
            <w:r w:rsidRPr="00B845AF">
              <w:rPr>
                <w:rFonts w:asciiTheme="minorHAnsi" w:hAnsiTheme="minorHAnsi" w:cstheme="minorHAnsi"/>
                <w:sz w:val="16"/>
              </w:rPr>
              <w:t>not</w:t>
            </w:r>
            <w:proofErr w:type="gramEnd"/>
            <w:r w:rsidRPr="00B845AF">
              <w:rPr>
                <w:rFonts w:asciiTheme="minorHAnsi" w:hAnsiTheme="minorHAnsi" w:cstheme="minorHAnsi"/>
                <w:sz w:val="16"/>
              </w:rPr>
              <w:t xml:space="preserve"> included in list of Key WCPFC species. </w:t>
            </w:r>
          </w:p>
        </w:tc>
      </w:tr>
      <w:tr w:rsidR="00CA5547" w:rsidRPr="00B845AF" w14:paraId="7F7E21FA" w14:textId="77777777" w:rsidTr="00835632">
        <w:trPr>
          <w:trHeight w:val="401"/>
        </w:trPr>
        <w:tc>
          <w:tcPr>
            <w:tcW w:w="1545" w:type="dxa"/>
            <w:tcBorders>
              <w:top w:val="single" w:sz="4" w:space="0" w:color="000000"/>
              <w:left w:val="single" w:sz="4" w:space="0" w:color="000000"/>
              <w:bottom w:val="single" w:sz="4" w:space="0" w:color="000000"/>
              <w:right w:val="single" w:sz="4" w:space="0" w:color="000000"/>
            </w:tcBorders>
          </w:tcPr>
          <w:p w14:paraId="1AC9252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CATCH NUMBER </w:t>
            </w:r>
          </w:p>
        </w:tc>
        <w:tc>
          <w:tcPr>
            <w:tcW w:w="6843" w:type="dxa"/>
            <w:tcBorders>
              <w:top w:val="single" w:sz="4" w:space="0" w:color="000000"/>
              <w:left w:val="single" w:sz="4" w:space="0" w:color="000000"/>
              <w:bottom w:val="single" w:sz="4" w:space="0" w:color="000000"/>
              <w:right w:val="single" w:sz="4" w:space="0" w:color="000000"/>
            </w:tcBorders>
          </w:tcPr>
          <w:p w14:paraId="31A39BF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color w:val="0000FF"/>
                <w:sz w:val="16"/>
                <w:u w:val="single" w:color="0000FF"/>
              </w:rPr>
              <w:t xml:space="preserve">Number of fish/animals caught per set </w:t>
            </w:r>
            <w:r w:rsidRPr="00B845AF">
              <w:rPr>
                <w:rFonts w:asciiTheme="minorHAnsi" w:hAnsiTheme="minorHAnsi" w:cstheme="minorHAnsi"/>
                <w:color w:val="0000FF"/>
                <w:sz w:val="16"/>
              </w:rPr>
              <w:t xml:space="preserve">for each of the key WCPFC species and other species as determined by the Commission </w:t>
            </w:r>
          </w:p>
        </w:tc>
        <w:tc>
          <w:tcPr>
            <w:tcW w:w="902" w:type="dxa"/>
            <w:tcBorders>
              <w:top w:val="single" w:sz="4" w:space="0" w:color="000000"/>
              <w:left w:val="single" w:sz="4" w:space="0" w:color="000000"/>
              <w:bottom w:val="single" w:sz="4" w:space="0" w:color="000000"/>
              <w:right w:val="single" w:sz="4" w:space="0" w:color="000000"/>
            </w:tcBorders>
          </w:tcPr>
          <w:p w14:paraId="6CA244AA"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28311EF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For each of the key WCPFC species and others determined by the Commission, including for cetaceans (CMM 2024-07) and sea turtles (CMM 2018-04). Reporting of non-key species, when encountered, is encouraged. </w:t>
            </w:r>
          </w:p>
        </w:tc>
      </w:tr>
      <w:tr w:rsidR="00CA5547" w:rsidRPr="00B845AF" w14:paraId="1D8F29B1" w14:textId="77777777" w:rsidTr="00835632">
        <w:trPr>
          <w:trHeight w:val="986"/>
        </w:trPr>
        <w:tc>
          <w:tcPr>
            <w:tcW w:w="1545" w:type="dxa"/>
            <w:tcBorders>
              <w:top w:val="single" w:sz="4" w:space="0" w:color="000000"/>
              <w:left w:val="single" w:sz="4" w:space="0" w:color="000000"/>
              <w:bottom w:val="single" w:sz="4" w:space="0" w:color="000000"/>
              <w:right w:val="single" w:sz="4" w:space="0" w:color="000000"/>
            </w:tcBorders>
          </w:tcPr>
          <w:p w14:paraId="24EA66C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CATCH WEIGHT </w:t>
            </w:r>
          </w:p>
        </w:tc>
        <w:tc>
          <w:tcPr>
            <w:tcW w:w="6843" w:type="dxa"/>
            <w:tcBorders>
              <w:top w:val="single" w:sz="4" w:space="0" w:color="000000"/>
              <w:left w:val="single" w:sz="4" w:space="0" w:color="000000"/>
              <w:bottom w:val="single" w:sz="4" w:space="0" w:color="000000"/>
              <w:right w:val="single" w:sz="4" w:space="0" w:color="000000"/>
            </w:tcBorders>
          </w:tcPr>
          <w:p w14:paraId="4F7512E4" w14:textId="77777777" w:rsidR="00CA5547" w:rsidRPr="00B845AF" w:rsidRDefault="00CA5547" w:rsidP="00CA5547">
            <w:pPr>
              <w:spacing w:line="259" w:lineRule="auto"/>
              <w:ind w:left="1" w:right="7"/>
              <w:rPr>
                <w:rFonts w:asciiTheme="minorHAnsi" w:hAnsiTheme="minorHAnsi" w:cstheme="minorHAnsi"/>
              </w:rPr>
            </w:pPr>
            <w:r w:rsidRPr="00B845AF">
              <w:rPr>
                <w:rFonts w:asciiTheme="minorHAnsi" w:hAnsiTheme="minorHAnsi" w:cstheme="minorHAnsi"/>
                <w:b/>
                <w:bCs/>
                <w:color w:val="0000FF"/>
                <w:sz w:val="16"/>
              </w:rPr>
              <w:t>Weight of fish caught per set</w:t>
            </w:r>
            <w:r w:rsidRPr="00B845AF">
              <w:rPr>
                <w:rFonts w:asciiTheme="minorHAnsi" w:hAnsiTheme="minorHAnsi" w:cstheme="minorHAnsi"/>
                <w:color w:val="0000FF"/>
                <w:sz w:val="16"/>
              </w:rPr>
              <w:t xml:space="preserve"> (kg) for each key WCPFC species and other species as determined by the Commission. Weight should represent whole weight rather than processed weight.</w:t>
            </w:r>
          </w:p>
        </w:tc>
        <w:tc>
          <w:tcPr>
            <w:tcW w:w="902" w:type="dxa"/>
            <w:tcBorders>
              <w:top w:val="single" w:sz="4" w:space="0" w:color="000000"/>
              <w:left w:val="single" w:sz="4" w:space="0" w:color="000000"/>
              <w:bottom w:val="single" w:sz="4" w:space="0" w:color="000000"/>
              <w:right w:val="single" w:sz="4" w:space="0" w:color="000000"/>
            </w:tcBorders>
          </w:tcPr>
          <w:p w14:paraId="59629CAD"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color w:val="1F497D" w:themeColor="text2"/>
                <w:sz w:val="20"/>
              </w:rPr>
              <w:t>NO</w:t>
            </w:r>
            <w:r w:rsidRPr="00B845AF">
              <w:rPr>
                <w:rFonts w:asciiTheme="minorHAnsi" w:hAnsiTheme="minorHAnsi" w:cstheme="minorHAnsi"/>
                <w:color w:val="1F497D" w:themeColor="text2"/>
                <w:sz w:val="16"/>
              </w:rPr>
              <w:t xml:space="preserve"> </w:t>
            </w:r>
          </w:p>
        </w:tc>
        <w:tc>
          <w:tcPr>
            <w:tcW w:w="4259" w:type="dxa"/>
            <w:tcBorders>
              <w:top w:val="single" w:sz="4" w:space="0" w:color="000000"/>
              <w:left w:val="single" w:sz="4" w:space="0" w:color="000000"/>
              <w:bottom w:val="single" w:sz="4" w:space="0" w:color="000000"/>
              <w:right w:val="single" w:sz="4" w:space="0" w:color="000000"/>
            </w:tcBorders>
          </w:tcPr>
          <w:p w14:paraId="37218F9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For each of the key WCPFC species and others determined by the Commission. Reporting of non-key species, when encountered, is encouraged.</w:t>
            </w:r>
            <w:r w:rsidRPr="00B845AF">
              <w:rPr>
                <w:rFonts w:asciiTheme="minorHAnsi" w:hAnsiTheme="minorHAnsi" w:cstheme="minorHAnsi"/>
              </w:rPr>
              <w:t xml:space="preserve"> </w:t>
            </w:r>
            <w:r w:rsidRPr="00B845AF">
              <w:rPr>
                <w:rFonts w:asciiTheme="minorHAnsi" w:hAnsiTheme="minorHAnsi" w:cstheme="minorHAnsi"/>
                <w:sz w:val="16"/>
              </w:rPr>
              <w:t xml:space="preserve">If catch is discarded and no weight is obtained, use '-1' to flag this case. </w:t>
            </w:r>
          </w:p>
        </w:tc>
      </w:tr>
      <w:tr w:rsidR="00CA5547" w:rsidRPr="00B845AF" w14:paraId="25FFF70E" w14:textId="77777777" w:rsidTr="00835632">
        <w:trPr>
          <w:trHeight w:val="598"/>
        </w:trPr>
        <w:tc>
          <w:tcPr>
            <w:tcW w:w="1545" w:type="dxa"/>
            <w:tcBorders>
              <w:top w:val="single" w:sz="4" w:space="0" w:color="000000"/>
              <w:left w:val="single" w:sz="4" w:space="0" w:color="000000"/>
              <w:bottom w:val="single" w:sz="4" w:space="0" w:color="000000"/>
              <w:right w:val="single" w:sz="4" w:space="0" w:color="000000"/>
            </w:tcBorders>
          </w:tcPr>
          <w:p w14:paraId="183F32D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IS DISCARDED </w:t>
            </w:r>
          </w:p>
        </w:tc>
        <w:tc>
          <w:tcPr>
            <w:tcW w:w="6843" w:type="dxa"/>
            <w:tcBorders>
              <w:top w:val="single" w:sz="4" w:space="0" w:color="000000"/>
              <w:left w:val="single" w:sz="4" w:space="0" w:color="000000"/>
              <w:bottom w:val="single" w:sz="4" w:space="0" w:color="000000"/>
              <w:right w:val="single" w:sz="4" w:space="0" w:color="000000"/>
            </w:tcBorders>
          </w:tcPr>
          <w:p w14:paraId="4B8EE74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A binary (0 or 1) to indicate whether the catch record (number and weight) was retained (0) or discarded (1).  </w:t>
            </w:r>
          </w:p>
        </w:tc>
        <w:tc>
          <w:tcPr>
            <w:tcW w:w="902" w:type="dxa"/>
            <w:tcBorders>
              <w:top w:val="single" w:sz="4" w:space="0" w:color="000000"/>
              <w:left w:val="single" w:sz="4" w:space="0" w:color="000000"/>
              <w:bottom w:val="single" w:sz="4" w:space="0" w:color="000000"/>
              <w:right w:val="single" w:sz="4" w:space="0" w:color="000000"/>
            </w:tcBorders>
          </w:tcPr>
          <w:p w14:paraId="444C7CD1"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p>
        </w:tc>
        <w:tc>
          <w:tcPr>
            <w:tcW w:w="4259" w:type="dxa"/>
            <w:tcBorders>
              <w:top w:val="single" w:sz="4" w:space="0" w:color="000000"/>
              <w:left w:val="single" w:sz="4" w:space="0" w:color="000000"/>
              <w:bottom w:val="single" w:sz="4" w:space="0" w:color="000000"/>
              <w:right w:val="single" w:sz="4" w:space="0" w:color="000000"/>
            </w:tcBorders>
          </w:tcPr>
          <w:p w14:paraId="455D43D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szCs w:val="16"/>
              </w:rPr>
              <w:t>Discard information is required through other CMMs for certain key WCPFC species, including cetaceans and sea turtles, consistent with CMMs 2024-07 and 2018-04, with information on fate and life status.</w:t>
            </w:r>
          </w:p>
        </w:tc>
      </w:tr>
    </w:tbl>
    <w:p w14:paraId="67B5A229" w14:textId="77777777" w:rsidR="00CA5547" w:rsidRPr="00B845AF" w:rsidRDefault="00CA5547" w:rsidP="00CA5547">
      <w:pPr>
        <w:spacing w:line="259" w:lineRule="auto"/>
        <w:rPr>
          <w:rFonts w:asciiTheme="minorHAnsi" w:hAnsiTheme="minorHAnsi" w:cstheme="minorHAnsi"/>
          <w:color w:val="365F91"/>
        </w:rPr>
      </w:pPr>
      <w:r w:rsidRPr="00B845AF">
        <w:rPr>
          <w:rFonts w:asciiTheme="minorHAnsi" w:hAnsiTheme="minorHAnsi" w:cstheme="minorHAnsi"/>
          <w:sz w:val="20"/>
        </w:rPr>
        <w:t xml:space="preserve"> </w:t>
      </w:r>
      <w:r w:rsidRPr="00B845AF">
        <w:rPr>
          <w:rFonts w:asciiTheme="minorHAnsi" w:hAnsiTheme="minorHAnsi" w:cstheme="minorHAnsi"/>
          <w:sz w:val="20"/>
        </w:rPr>
        <w:tab/>
      </w:r>
    </w:p>
    <w:p w14:paraId="3E1AE313" w14:textId="77777777" w:rsidR="00CA5547" w:rsidRPr="00B845AF" w:rsidRDefault="00CA5547" w:rsidP="00CA5547">
      <w:pPr>
        <w:keepNext/>
        <w:keepLines/>
        <w:tabs>
          <w:tab w:val="center" w:pos="4460"/>
        </w:tabs>
        <w:spacing w:line="259" w:lineRule="auto"/>
        <w:ind w:left="-15"/>
        <w:outlineLvl w:val="0"/>
        <w:rPr>
          <w:rFonts w:asciiTheme="minorHAnsi" w:eastAsiaTheme="majorEastAsia" w:hAnsiTheme="minorHAnsi" w:cstheme="minorHAnsi"/>
          <w:b/>
          <w:bCs/>
          <w:color w:val="365F91"/>
          <w:szCs w:val="22"/>
        </w:rPr>
      </w:pPr>
    </w:p>
    <w:p w14:paraId="28862420" w14:textId="77777777" w:rsidR="00CA5547" w:rsidRPr="00B845AF" w:rsidRDefault="00CA5547" w:rsidP="00CA5547">
      <w:pPr>
        <w:keepNext/>
        <w:keepLines/>
        <w:tabs>
          <w:tab w:val="center" w:pos="4460"/>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A2.2.1 </w:t>
      </w:r>
      <w:r w:rsidRPr="00B845AF">
        <w:rPr>
          <w:rFonts w:asciiTheme="minorHAnsi" w:eastAsiaTheme="majorEastAsia" w:hAnsiTheme="minorHAnsi" w:cstheme="minorHAnsi"/>
          <w:b/>
          <w:bCs/>
          <w:i/>
          <w:iCs/>
          <w:color w:val="365F91"/>
          <w:szCs w:val="22"/>
        </w:rPr>
        <w:t>Purse seine operational data</w:t>
      </w:r>
      <w:r w:rsidRPr="00B845AF">
        <w:rPr>
          <w:rFonts w:asciiTheme="minorHAnsi" w:eastAsiaTheme="majorEastAsia" w:hAnsiTheme="minorHAnsi" w:cstheme="minorHAnsi"/>
          <w:b/>
          <w:bCs/>
          <w:color w:val="365F91"/>
          <w:szCs w:val="22"/>
        </w:rPr>
        <w:t xml:space="preserve"> –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CA5547" w:rsidRPr="00B845AF" w14:paraId="4F6687EB" w14:textId="77777777" w:rsidTr="00835632">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3D24996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i/>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401D934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i/>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49A6FD1A" w14:textId="77777777" w:rsidR="00CA5547" w:rsidRPr="00B845AF" w:rsidRDefault="00CA5547" w:rsidP="00CA5547">
            <w:pPr>
              <w:spacing w:line="259" w:lineRule="auto"/>
              <w:ind w:right="17"/>
              <w:jc w:val="center"/>
              <w:rPr>
                <w:rFonts w:asciiTheme="minorHAnsi" w:hAnsiTheme="minorHAnsi" w:cstheme="minorHAnsi"/>
              </w:rPr>
            </w:pPr>
            <w:r w:rsidRPr="00B845AF">
              <w:rPr>
                <w:rFonts w:asciiTheme="minorHAnsi" w:hAnsiTheme="minorHAnsi" w:cstheme="minorHAnsi"/>
                <w:b/>
                <w:i/>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2648BC2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i/>
                <w:sz w:val="16"/>
              </w:rPr>
              <w:t xml:space="preserve">Notes on recommended submission requirements </w:t>
            </w:r>
          </w:p>
        </w:tc>
      </w:tr>
      <w:tr w:rsidR="00CA5547" w:rsidRPr="00B845AF" w14:paraId="740EB061"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B79303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633B92C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F7A0213"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6AE9EC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5956BB2E"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729162E2"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4E8B7CCD"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code of the flag-state under which the vessel is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583F9252"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9DD496E"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357D3050"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6F57B2B8"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27022F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2FA741C"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D454538"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48C6FA54" w14:textId="77777777" w:rsidTr="00835632">
        <w:trPr>
          <w:trHeight w:val="1619"/>
        </w:trPr>
        <w:tc>
          <w:tcPr>
            <w:tcW w:w="1520" w:type="dxa"/>
            <w:tcBorders>
              <w:top w:val="single" w:sz="4" w:space="0" w:color="000000"/>
              <w:left w:val="single" w:sz="4" w:space="0" w:color="000000"/>
              <w:bottom w:val="single" w:sz="4" w:space="0" w:color="000000"/>
              <w:right w:val="single" w:sz="4" w:space="0" w:color="000000"/>
            </w:tcBorders>
          </w:tcPr>
          <w:p w14:paraId="1EB3450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5E6C00D2" w14:textId="77777777" w:rsidR="00CA5547" w:rsidRPr="00B845AF" w:rsidRDefault="00CA5547" w:rsidP="00CA5547">
            <w:pPr>
              <w:spacing w:after="79" w:line="241" w:lineRule="auto"/>
              <w:rPr>
                <w:rFonts w:asciiTheme="minorHAnsi" w:hAnsiTheme="minorHAnsi" w:cstheme="minorHAnsi"/>
              </w:rPr>
            </w:pPr>
            <w:r w:rsidRPr="00B845AF">
              <w:rPr>
                <w:rFonts w:asciiTheme="minorHAnsi" w:hAnsiTheme="minorHAnsi" w:cstheme="minorHAnsi"/>
                <w:color w:val="0000FF"/>
                <w:sz w:val="16"/>
              </w:rPr>
              <w:t xml:space="preserve">Name of the </w:t>
            </w:r>
            <w:r w:rsidRPr="00B845AF">
              <w:rPr>
                <w:rFonts w:asciiTheme="minorHAnsi" w:hAnsiTheme="minorHAnsi" w:cstheme="minorHAnsi"/>
                <w:b/>
                <w:color w:val="0000FF"/>
                <w:sz w:val="16"/>
                <w:u w:val="single" w:color="0000FF"/>
              </w:rPr>
              <w:t>vessel</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country of registration</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registration number</w:t>
            </w:r>
            <w:r w:rsidRPr="00B845AF">
              <w:rPr>
                <w:rFonts w:asciiTheme="minorHAnsi" w:hAnsiTheme="minorHAnsi" w:cstheme="minorHAnsi"/>
                <w:color w:val="0000FF"/>
                <w:sz w:val="16"/>
              </w:rPr>
              <w:t xml:space="preserve">, and </w:t>
            </w:r>
            <w:r w:rsidRPr="00B845AF">
              <w:rPr>
                <w:rFonts w:asciiTheme="minorHAnsi" w:hAnsiTheme="minorHAnsi" w:cstheme="minorHAnsi"/>
                <w:b/>
                <w:color w:val="0000FF"/>
                <w:sz w:val="16"/>
                <w:u w:val="single" w:color="0000FF"/>
              </w:rPr>
              <w:t>international radio</w:t>
            </w:r>
            <w:r w:rsidRPr="00B845AF">
              <w:rPr>
                <w:rFonts w:asciiTheme="minorHAnsi" w:hAnsiTheme="minorHAnsi" w:cstheme="minorHAnsi"/>
                <w:b/>
                <w:color w:val="0000FF"/>
                <w:sz w:val="16"/>
              </w:rPr>
              <w:t xml:space="preserve"> </w:t>
            </w:r>
            <w:r w:rsidRPr="00B845AF">
              <w:rPr>
                <w:rFonts w:asciiTheme="minorHAnsi" w:hAnsiTheme="minorHAnsi" w:cstheme="minorHAnsi"/>
                <w:b/>
                <w:color w:val="0000FF"/>
                <w:sz w:val="16"/>
                <w:u w:val="single" w:color="0000FF"/>
              </w:rPr>
              <w:t>call sign</w:t>
            </w:r>
            <w:r w:rsidRPr="00B845AF">
              <w:rPr>
                <w:rFonts w:asciiTheme="minorHAnsi" w:hAnsiTheme="minorHAnsi" w:cstheme="minorHAnsi"/>
                <w:color w:val="0000FF"/>
                <w:sz w:val="16"/>
              </w:rPr>
              <w:t xml:space="preserve">:  </w:t>
            </w:r>
          </w:p>
          <w:p w14:paraId="70686BFA"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7103410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24E31A24"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376E9425" w14:textId="77777777" w:rsidR="00CA5547" w:rsidRPr="00B845AF" w:rsidRDefault="00CA5547" w:rsidP="00CA5547">
            <w:pPr>
              <w:spacing w:after="80"/>
              <w:ind w:left="1"/>
              <w:rPr>
                <w:rFonts w:asciiTheme="minorHAnsi" w:hAnsiTheme="minorHAnsi" w:cstheme="minorHAnsi"/>
              </w:rPr>
            </w:pPr>
            <w:r w:rsidRPr="00B845AF">
              <w:rPr>
                <w:rFonts w:asciiTheme="minorHAnsi" w:hAnsiTheme="minorHAnsi" w:cstheme="minorHAnsi"/>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28362AB5"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rPr>
              <w:t xml:space="preserve"> </w:t>
            </w:r>
          </w:p>
          <w:p w14:paraId="41111E5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Please provide a separate list of Vessel attributes linked to the Vessel identifier field.</w:t>
            </w:r>
            <w:r w:rsidRPr="00B845AF">
              <w:rPr>
                <w:rFonts w:asciiTheme="minorHAnsi" w:hAnsiTheme="minorHAnsi" w:cstheme="minorHAnsi"/>
                <w:color w:val="0000FF"/>
                <w:sz w:val="16"/>
              </w:rPr>
              <w:t xml:space="preserve"> </w:t>
            </w:r>
          </w:p>
        </w:tc>
      </w:tr>
      <w:tr w:rsidR="00CA5547" w:rsidRPr="00B845AF" w14:paraId="20CFD696" w14:textId="77777777" w:rsidTr="00835632">
        <w:trPr>
          <w:trHeight w:val="2007"/>
        </w:trPr>
        <w:tc>
          <w:tcPr>
            <w:tcW w:w="1520" w:type="dxa"/>
            <w:tcBorders>
              <w:top w:val="single" w:sz="4" w:space="0" w:color="000000"/>
              <w:left w:val="single" w:sz="4" w:space="0" w:color="000000"/>
              <w:bottom w:val="single" w:sz="4" w:space="0" w:color="000000"/>
              <w:right w:val="single" w:sz="4" w:space="0" w:color="000000"/>
            </w:tcBorders>
          </w:tcPr>
          <w:p w14:paraId="147E3DD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4A17F67D" w14:textId="77777777" w:rsidR="00CA5547" w:rsidRPr="00B845AF" w:rsidRDefault="00CA5547" w:rsidP="00CA5547">
            <w:pPr>
              <w:spacing w:after="80" w:line="239" w:lineRule="auto"/>
              <w:ind w:right="11"/>
              <w:rPr>
                <w:rFonts w:asciiTheme="minorHAnsi" w:hAnsiTheme="minorHAnsi" w:cstheme="minorHAnsi"/>
              </w:rPr>
            </w:pPr>
            <w:r w:rsidRPr="00B845AF">
              <w:rPr>
                <w:rFonts w:asciiTheme="minorHAnsi" w:hAnsiTheme="minorHAnsi" w:cstheme="minorHAnsi"/>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145803E3"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0F99D33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If the start of a trip coincides with recommencing fishing operations or transiting to a fishing area after transshipping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1B489DDB"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BDC88DD" w14:textId="77777777" w:rsidR="00CA5547" w:rsidRPr="00B845AF" w:rsidRDefault="00CA5547" w:rsidP="00CA5547">
            <w:pPr>
              <w:spacing w:after="53" w:line="272"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27"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28"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Alternatively, provide a standardised Port location code through the following facility</w:t>
            </w:r>
            <w:r w:rsidRPr="00B845AF">
              <w:rPr>
                <w:rFonts w:asciiTheme="minorHAnsi" w:hAnsiTheme="minorHAnsi" w:cstheme="minorHAnsi"/>
              </w:rPr>
              <w:t xml:space="preserve"> </w:t>
            </w:r>
            <w:hyperlink r:id="rId129" w:history="1">
              <w:r w:rsidRPr="00B845AF">
                <w:rPr>
                  <w:rFonts w:asciiTheme="minorHAnsi" w:eastAsiaTheme="majorEastAsia" w:hAnsiTheme="minorHAnsi" w:cstheme="minorHAnsi"/>
                  <w:color w:val="0000FF"/>
                  <w:sz w:val="16"/>
                  <w:u w:val="single"/>
                </w:rPr>
                <w:t>https://unece.org/trade/cefact/unlocode-code-list-country-and-territory</w:t>
              </w:r>
            </w:hyperlink>
            <w:r w:rsidRPr="00B845AF">
              <w:rPr>
                <w:rFonts w:asciiTheme="minorHAnsi" w:hAnsiTheme="minorHAnsi" w:cstheme="minorHAnsi"/>
                <w:sz w:val="16"/>
              </w:rPr>
              <w:t xml:space="preserve">  </w:t>
            </w:r>
          </w:p>
          <w:p w14:paraId="667B69DD" w14:textId="77777777" w:rsidR="00CA5547" w:rsidRPr="00B845AF" w:rsidRDefault="00CA5547" w:rsidP="00CA5547">
            <w:pPr>
              <w:spacing w:after="62" w:line="259" w:lineRule="auto"/>
              <w:ind w:left="1"/>
              <w:rPr>
                <w:rFonts w:asciiTheme="minorHAnsi" w:hAnsiTheme="minorHAnsi" w:cstheme="minorHAnsi"/>
              </w:rPr>
            </w:pPr>
          </w:p>
          <w:p w14:paraId="27992C7C" w14:textId="77777777" w:rsidR="00CA5547" w:rsidRPr="00B845AF" w:rsidRDefault="00CA5547" w:rsidP="00CA5547">
            <w:pPr>
              <w:spacing w:after="79" w:line="241" w:lineRule="auto"/>
              <w:ind w:left="1"/>
              <w:rPr>
                <w:rFonts w:asciiTheme="minorHAnsi" w:hAnsiTheme="minorHAnsi" w:cstheme="minorHAnsi"/>
              </w:rPr>
            </w:pPr>
            <w:r w:rsidRPr="00B845AF">
              <w:rPr>
                <w:rFonts w:asciiTheme="minorHAnsi" w:hAnsiTheme="minorHAnsi" w:cstheme="minorHAnsi"/>
                <w:sz w:val="16"/>
              </w:rPr>
              <w:t xml:space="preserve">The WCPFC will consider the establishment of WCPFC LOCATION CODEs in the future.  </w:t>
            </w:r>
          </w:p>
          <w:p w14:paraId="3A4C6BC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r>
      <w:tr w:rsidR="00CA5547" w:rsidRPr="00B845AF" w14:paraId="0033E33A" w14:textId="77777777" w:rsidTr="00835632">
        <w:trPr>
          <w:trHeight w:val="1700"/>
        </w:trPr>
        <w:tc>
          <w:tcPr>
            <w:tcW w:w="1520" w:type="dxa"/>
            <w:tcBorders>
              <w:top w:val="single" w:sz="4" w:space="0" w:color="000000"/>
              <w:left w:val="single" w:sz="4" w:space="0" w:color="000000"/>
              <w:bottom w:val="single" w:sz="4" w:space="0" w:color="000000"/>
              <w:right w:val="single" w:sz="4" w:space="0" w:color="000000"/>
            </w:tcBorders>
          </w:tcPr>
          <w:p w14:paraId="606806C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11D96C78" w14:textId="77777777" w:rsidR="00CA5547" w:rsidRPr="00B845AF" w:rsidRDefault="00CA5547" w:rsidP="00CA5547">
            <w:pPr>
              <w:spacing w:after="79" w:line="241" w:lineRule="auto"/>
              <w:rPr>
                <w:rFonts w:asciiTheme="minorHAnsi" w:hAnsiTheme="minorHAnsi" w:cstheme="minorHAnsi"/>
              </w:rPr>
            </w:pPr>
            <w:r w:rsidRPr="00B845AF">
              <w:rPr>
                <w:rFonts w:asciiTheme="minorHAnsi" w:hAnsiTheme="minorHAnsi" w:cstheme="minorHAnsi"/>
                <w:color w:val="0000FF"/>
                <w:sz w:val="16"/>
              </w:rPr>
              <w:t xml:space="preserve">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“ATSEA” code shall be reported in lieu of the port of unloading. </w:t>
            </w:r>
          </w:p>
          <w:p w14:paraId="5D22FF7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22AEC009"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2509EA45" w14:textId="77777777" w:rsidR="00CA5547" w:rsidRPr="00B845AF" w:rsidRDefault="00CA5547" w:rsidP="00CA5547">
            <w:pPr>
              <w:spacing w:after="53" w:line="272"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30"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31"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Alternatively, provide a standardised Port location code through the following facility</w:t>
            </w:r>
            <w:r w:rsidRPr="00B845AF">
              <w:rPr>
                <w:rFonts w:asciiTheme="minorHAnsi" w:hAnsiTheme="minorHAnsi" w:cstheme="minorHAnsi"/>
              </w:rPr>
              <w:t xml:space="preserve"> </w:t>
            </w:r>
            <w:r w:rsidRPr="00B845AF">
              <w:rPr>
                <w:rFonts w:asciiTheme="minorHAnsi" w:hAnsiTheme="minorHAnsi" w:cstheme="minorHAnsi"/>
                <w:sz w:val="16"/>
              </w:rPr>
              <w:t xml:space="preserve">https://unece.org/trade/cefact/unlocode-code-list-country-and-territory </w:t>
            </w:r>
          </w:p>
          <w:p w14:paraId="086D1A1C" w14:textId="77777777" w:rsidR="00CA5547" w:rsidRPr="00B845AF" w:rsidRDefault="00CA5547" w:rsidP="00CA5547">
            <w:pPr>
              <w:spacing w:after="59" w:line="259" w:lineRule="auto"/>
              <w:ind w:left="1"/>
              <w:rPr>
                <w:rFonts w:asciiTheme="minorHAnsi" w:hAnsiTheme="minorHAnsi" w:cstheme="minorHAnsi"/>
              </w:rPr>
            </w:pPr>
            <w:r w:rsidRPr="00B845AF">
              <w:rPr>
                <w:rFonts w:asciiTheme="minorHAnsi" w:hAnsiTheme="minorHAnsi" w:cstheme="minorHAnsi"/>
                <w:sz w:val="16"/>
                <w:szCs w:val="16"/>
              </w:rPr>
              <w:t>Use 'ongoing' to flag trips that have not yet been completed</w:t>
            </w:r>
            <w:r w:rsidRPr="00B845AF">
              <w:rPr>
                <w:rFonts w:asciiTheme="minorHAnsi" w:hAnsiTheme="minorHAnsi" w:cstheme="minorHAnsi"/>
                <w:sz w:val="16"/>
              </w:rPr>
              <w:t xml:space="preserve"> </w:t>
            </w:r>
          </w:p>
          <w:p w14:paraId="5C8F4AC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The WCPFC will consider the establishment of WCPFC LOCATION CODEs in the future. </w:t>
            </w:r>
          </w:p>
        </w:tc>
      </w:tr>
      <w:tr w:rsidR="00CA5547" w:rsidRPr="00B845AF" w14:paraId="465E65A6" w14:textId="77777777" w:rsidTr="00835632">
        <w:trPr>
          <w:trHeight w:val="674"/>
        </w:trPr>
        <w:tc>
          <w:tcPr>
            <w:tcW w:w="1520" w:type="dxa"/>
            <w:tcBorders>
              <w:top w:val="single" w:sz="4" w:space="0" w:color="000000"/>
              <w:left w:val="single" w:sz="4" w:space="0" w:color="000000"/>
              <w:bottom w:val="single" w:sz="4" w:space="0" w:color="000000"/>
              <w:right w:val="single" w:sz="4" w:space="0" w:color="000000"/>
            </w:tcBorders>
          </w:tcPr>
          <w:p w14:paraId="61A0C70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 OF </w:t>
            </w:r>
          </w:p>
          <w:p w14:paraId="6FFFBEF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414E022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departure from Port</w:t>
            </w:r>
            <w:r w:rsidRPr="00B845AF">
              <w:rPr>
                <w:rFonts w:asciiTheme="minorHAnsi" w:hAnsiTheme="minorHAnsi" w:cstheme="minorHAnsi"/>
                <w:color w:val="0000FF"/>
                <w:sz w:val="16"/>
              </w:rPr>
              <w:t xml:space="preserve">. If the start of a trip coincides with recommencing fishing operations or transiting to a fishing area after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68B4F505"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0128A7C6"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rPr>
              <w:t>Recommend using ISO 8601 – Date only format</w:t>
            </w:r>
            <w:r w:rsidRPr="00B845AF">
              <w:rPr>
                <w:rFonts w:asciiTheme="minorHAnsi" w:hAnsiTheme="minorHAnsi" w:cstheme="minorHAnsi"/>
                <w:color w:val="0000FF"/>
                <w:sz w:val="16"/>
              </w:rPr>
              <w:t xml:space="preserve"> </w:t>
            </w:r>
          </w:p>
          <w:p w14:paraId="0FB8FA1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19AB1C96" w14:textId="77777777" w:rsidTr="00835632">
        <w:trPr>
          <w:trHeight w:val="799"/>
        </w:trPr>
        <w:tc>
          <w:tcPr>
            <w:tcW w:w="1520" w:type="dxa"/>
            <w:tcBorders>
              <w:top w:val="single" w:sz="4" w:space="0" w:color="000000"/>
              <w:left w:val="single" w:sz="4" w:space="0" w:color="000000"/>
              <w:bottom w:val="single" w:sz="4" w:space="0" w:color="000000"/>
              <w:right w:val="single" w:sz="4" w:space="0" w:color="000000"/>
            </w:tcBorders>
          </w:tcPr>
          <w:p w14:paraId="2E6E5FD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 OF </w:t>
            </w:r>
          </w:p>
          <w:p w14:paraId="5B609F9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UNLOADING / </w:t>
            </w:r>
          </w:p>
          <w:p w14:paraId="24D82D5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144F49C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return to Port</w:t>
            </w:r>
            <w:r w:rsidRPr="00B845AF">
              <w:rPr>
                <w:rFonts w:asciiTheme="minorHAnsi" w:hAnsiTheme="minorHAnsi" w:cstheme="minorHAnsi"/>
                <w:color w:val="0000FF"/>
                <w:sz w:val="16"/>
              </w:rPr>
              <w:t xml:space="preserve"> 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40CD35F9"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NO</w:t>
            </w:r>
          </w:p>
        </w:tc>
        <w:tc>
          <w:tcPr>
            <w:tcW w:w="4775" w:type="dxa"/>
            <w:tcBorders>
              <w:top w:val="single" w:sz="4" w:space="0" w:color="000000"/>
              <w:left w:val="single" w:sz="4" w:space="0" w:color="000000"/>
              <w:bottom w:val="single" w:sz="4" w:space="0" w:color="000000"/>
              <w:right w:val="single" w:sz="4" w:space="0" w:color="000000"/>
            </w:tcBorders>
          </w:tcPr>
          <w:p w14:paraId="1B9C6887" w14:textId="77777777" w:rsidR="00CA5547" w:rsidRPr="00B845AF" w:rsidRDefault="00CA5547" w:rsidP="00CA5547">
            <w:pPr>
              <w:spacing w:after="64" w:line="259" w:lineRule="auto"/>
              <w:ind w:left="1"/>
              <w:rPr>
                <w:rFonts w:asciiTheme="minorHAnsi" w:hAnsiTheme="minorHAnsi" w:cstheme="minorHAnsi"/>
              </w:rPr>
            </w:pPr>
            <w:r w:rsidRPr="00B845AF">
              <w:rPr>
                <w:rFonts w:asciiTheme="minorHAnsi" w:hAnsiTheme="minorHAnsi" w:cstheme="minorHAnsi"/>
                <w:sz w:val="16"/>
              </w:rPr>
              <w:t xml:space="preserve">Recommend using ISO 8601 – Date only format </w:t>
            </w:r>
          </w:p>
          <w:p w14:paraId="5A62B911" w14:textId="77777777" w:rsidR="00CA5547" w:rsidRPr="00B845AF" w:rsidRDefault="00CA5547" w:rsidP="00CA5547">
            <w:pPr>
              <w:spacing w:after="62" w:line="259" w:lineRule="auto"/>
              <w:rPr>
                <w:rFonts w:asciiTheme="minorHAnsi" w:hAnsiTheme="minorHAnsi" w:cstheme="minorHAnsi"/>
                <w:sz w:val="16"/>
              </w:rPr>
            </w:pPr>
            <w:r w:rsidRPr="00B845AF">
              <w:rPr>
                <w:rFonts w:asciiTheme="minorHAnsi" w:hAnsiTheme="minorHAnsi" w:cstheme="minorHAnsi"/>
                <w:sz w:val="16"/>
              </w:rPr>
              <w:t>Date of unloading IS MANDATORY if a trip has concluded. If a trip is ONGOING at the time of submission, this field may be left blank.</w:t>
            </w:r>
          </w:p>
          <w:p w14:paraId="18629998" w14:textId="77777777" w:rsidR="00CA5547" w:rsidRPr="00B845AF" w:rsidRDefault="00CA5547" w:rsidP="00CA5547">
            <w:pPr>
              <w:spacing w:line="259" w:lineRule="auto"/>
              <w:ind w:left="1"/>
              <w:rPr>
                <w:rFonts w:asciiTheme="minorHAnsi" w:hAnsiTheme="minorHAnsi" w:cstheme="minorHAnsi"/>
              </w:rPr>
            </w:pPr>
          </w:p>
        </w:tc>
      </w:tr>
    </w:tbl>
    <w:p w14:paraId="54745B17" w14:textId="77777777" w:rsidR="00CA5547" w:rsidRPr="00B845AF" w:rsidRDefault="00CA5547" w:rsidP="00CA5547">
      <w:pPr>
        <w:spacing w:after="58" w:line="259" w:lineRule="auto"/>
        <w:rPr>
          <w:rFonts w:asciiTheme="minorHAnsi" w:hAnsiTheme="minorHAnsi" w:cstheme="minorHAnsi"/>
        </w:rPr>
      </w:pPr>
      <w:r w:rsidRPr="00B845AF">
        <w:rPr>
          <w:rFonts w:asciiTheme="minorHAnsi" w:hAnsiTheme="minorHAnsi" w:cstheme="minorHAnsi"/>
          <w:sz w:val="20"/>
        </w:rPr>
        <w:t xml:space="preserve"> </w:t>
      </w:r>
    </w:p>
    <w:p w14:paraId="0ED76ED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20"/>
        </w:rPr>
        <w:t xml:space="preserve"> </w:t>
      </w:r>
      <w:r w:rsidRPr="00B845AF">
        <w:rPr>
          <w:rFonts w:asciiTheme="minorHAnsi" w:hAnsiTheme="minorHAnsi" w:cstheme="minorHAnsi"/>
          <w:sz w:val="20"/>
        </w:rPr>
        <w:tab/>
      </w:r>
      <w:r w:rsidRPr="00B845AF">
        <w:rPr>
          <w:rFonts w:asciiTheme="minorHAnsi" w:hAnsiTheme="minorHAnsi" w:cstheme="minorHAnsi"/>
          <w:color w:val="365F91"/>
          <w:sz w:val="26"/>
        </w:rPr>
        <w:t xml:space="preserve"> </w:t>
      </w:r>
    </w:p>
    <w:p w14:paraId="79C37CF3" w14:textId="77777777" w:rsidR="00CA5547" w:rsidRPr="00B845AF" w:rsidRDefault="00CA5547" w:rsidP="00CA5547">
      <w:pPr>
        <w:keepNext/>
        <w:keepLines/>
        <w:tabs>
          <w:tab w:val="right" w:pos="5787"/>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A2.2.2 </w:t>
      </w:r>
      <w:r w:rsidRPr="00B845AF">
        <w:rPr>
          <w:rFonts w:asciiTheme="minorHAnsi" w:eastAsiaTheme="majorEastAsia" w:hAnsiTheme="minorHAnsi" w:cstheme="minorHAnsi"/>
          <w:b/>
          <w:bCs/>
          <w:i/>
          <w:iCs/>
          <w:color w:val="365F91"/>
          <w:szCs w:val="22"/>
        </w:rPr>
        <w:t>Purse seine operational data</w:t>
      </w:r>
      <w:r w:rsidRPr="00B845AF">
        <w:rPr>
          <w:rFonts w:asciiTheme="minorHAnsi" w:eastAsiaTheme="majorEastAsia" w:hAnsiTheme="minorHAnsi" w:cstheme="minorHAnsi"/>
          <w:b/>
          <w:bCs/>
          <w:color w:val="365F91"/>
          <w:szCs w:val="22"/>
        </w:rPr>
        <w:t xml:space="preserve"> – ACTIVITY INFORMATION </w:t>
      </w:r>
    </w:p>
    <w:tbl>
      <w:tblPr>
        <w:tblStyle w:val="TableGrid0"/>
        <w:tblW w:w="13550" w:type="dxa"/>
        <w:tblInd w:w="6" w:type="dxa"/>
        <w:tblCellMar>
          <w:top w:w="34" w:type="dxa"/>
          <w:left w:w="107" w:type="dxa"/>
          <w:right w:w="106" w:type="dxa"/>
        </w:tblCellMar>
        <w:tblLook w:val="04A0" w:firstRow="1" w:lastRow="0" w:firstColumn="1" w:lastColumn="0" w:noHBand="0" w:noVBand="1"/>
      </w:tblPr>
      <w:tblGrid>
        <w:gridCol w:w="1417"/>
        <w:gridCol w:w="6326"/>
        <w:gridCol w:w="1032"/>
        <w:gridCol w:w="4775"/>
      </w:tblGrid>
      <w:tr w:rsidR="00CA5547" w:rsidRPr="00B845AF" w14:paraId="4C7688CC" w14:textId="77777777" w:rsidTr="00835632">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5B9D707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41F128C7"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5BB62B10" w14:textId="77777777" w:rsidR="00CA5547" w:rsidRPr="00B845AF" w:rsidRDefault="00CA5547" w:rsidP="00CA5547">
            <w:pPr>
              <w:spacing w:line="259" w:lineRule="auto"/>
              <w:ind w:right="2"/>
              <w:jc w:val="center"/>
              <w:rPr>
                <w:rFonts w:asciiTheme="minorHAnsi" w:hAnsiTheme="minorHAnsi" w:cstheme="minorHAnsi"/>
              </w:rPr>
            </w:pPr>
            <w:r w:rsidRPr="00B845AF">
              <w:rPr>
                <w:rFonts w:asciiTheme="minorHAnsi" w:hAnsiTheme="minorHAnsi" w:cstheme="minorHAnsi"/>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769EFDA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7F1FEA39" w14:textId="77777777" w:rsidTr="00835632">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7A6AE7B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7248C0CE"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6C1990F3"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BDAACB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69AEF526" w14:textId="77777777" w:rsidTr="00835632">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06698A7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9F0BCBD"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43854E2A"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6C14813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2ED5CCBD" w14:textId="77777777" w:rsidTr="00835632">
        <w:trPr>
          <w:trHeight w:val="793"/>
        </w:trPr>
        <w:tc>
          <w:tcPr>
            <w:tcW w:w="1417" w:type="dxa"/>
            <w:vMerge w:val="restart"/>
            <w:tcBorders>
              <w:top w:val="single" w:sz="4" w:space="0" w:color="000000"/>
              <w:left w:val="single" w:sz="4" w:space="0" w:color="000000"/>
              <w:bottom w:val="single" w:sz="4" w:space="0" w:color="000000"/>
              <w:right w:val="single" w:sz="4" w:space="0" w:color="000000"/>
            </w:tcBorders>
          </w:tcPr>
          <w:p w14:paraId="77FF938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22CBDBB8"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Activity</w:t>
            </w:r>
            <w:r w:rsidRPr="00B845AF">
              <w:rPr>
                <w:rFonts w:asciiTheme="minorHAnsi" w:hAnsiTheme="minorHAnsi" w:cstheme="minorHAnsi"/>
                <w:color w:val="0000FF"/>
                <w:sz w:val="16"/>
              </w:rPr>
              <w:t>: This item shall be reported for each set and for days on which no sets were made, from the start of the trip to the end of the trip. Activities should include “a set”; “a day searched, but no sets made”; “no fishing — in transit”; “no fishing — gear breakdown”; “no fishing — bad weather</w:t>
            </w:r>
            <w:proofErr w:type="gramStart"/>
            <w:r w:rsidRPr="00B845AF">
              <w:rPr>
                <w:rFonts w:asciiTheme="minorHAnsi" w:hAnsiTheme="minorHAnsi" w:cstheme="minorHAnsi"/>
                <w:color w:val="0000FF"/>
                <w:sz w:val="16"/>
              </w:rPr>
              <w:t>”;  “</w:t>
            </w:r>
            <w:proofErr w:type="gramEnd"/>
            <w:r w:rsidRPr="00B845AF">
              <w:rPr>
                <w:rFonts w:asciiTheme="minorHAnsi" w:hAnsiTheme="minorHAnsi" w:cstheme="minorHAnsi"/>
                <w:color w:val="0000FF"/>
                <w:sz w:val="16"/>
              </w:rPr>
              <w:t xml:space="preserve">no fishing — in port”; and “no fishing – other”. </w:t>
            </w:r>
          </w:p>
        </w:tc>
        <w:tc>
          <w:tcPr>
            <w:tcW w:w="1032" w:type="dxa"/>
            <w:tcBorders>
              <w:top w:val="single" w:sz="4" w:space="0" w:color="000000"/>
              <w:left w:val="single" w:sz="4" w:space="0" w:color="000000"/>
              <w:bottom w:val="single" w:sz="4" w:space="0" w:color="000000"/>
              <w:right w:val="single" w:sz="4" w:space="0" w:color="000000"/>
            </w:tcBorders>
          </w:tcPr>
          <w:p w14:paraId="01B8D985"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2B7D7538" w14:textId="77777777" w:rsidR="00CA5547" w:rsidRPr="00B845AF" w:rsidRDefault="00CA5547" w:rsidP="00CA5547">
            <w:pPr>
              <w:spacing w:line="241" w:lineRule="auto"/>
              <w:ind w:left="1"/>
              <w:rPr>
                <w:rFonts w:asciiTheme="minorHAnsi" w:hAnsiTheme="minorHAnsi" w:cstheme="minorHAnsi"/>
              </w:rPr>
            </w:pPr>
            <w:r w:rsidRPr="00B845AF">
              <w:rPr>
                <w:rFonts w:asciiTheme="minorHAnsi" w:hAnsiTheme="minorHAnsi" w:cstheme="minorHAnsi"/>
                <w:sz w:val="16"/>
              </w:rPr>
              <w:t xml:space="preserve">Suggest using a standardised numeric code for each activity consistent with the WCFPC E-Reporting data field standards. </w:t>
            </w:r>
          </w:p>
          <w:p w14:paraId="0706BE2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p w14:paraId="28B9189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1– “a set”; </w:t>
            </w:r>
          </w:p>
          <w:p w14:paraId="5FF0099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2– “a day searched, but no sets made”;  </w:t>
            </w:r>
          </w:p>
          <w:p w14:paraId="16AD491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3– “no fishing — in transit”;  </w:t>
            </w:r>
          </w:p>
          <w:p w14:paraId="10DAB428" w14:textId="77777777" w:rsidR="00CA5547" w:rsidRPr="00B845AF" w:rsidRDefault="00CA5547" w:rsidP="00CA5547">
            <w:pPr>
              <w:ind w:left="1"/>
              <w:rPr>
                <w:rFonts w:asciiTheme="minorHAnsi" w:hAnsiTheme="minorHAnsi" w:cstheme="minorHAnsi"/>
                <w:sz w:val="16"/>
              </w:rPr>
            </w:pPr>
            <w:r w:rsidRPr="00B845AF">
              <w:rPr>
                <w:rFonts w:asciiTheme="minorHAnsi" w:hAnsiTheme="minorHAnsi" w:cstheme="minorHAnsi"/>
                <w:sz w:val="16"/>
              </w:rPr>
              <w:t xml:space="preserve">4– “no fishing — gear breakdown”;  </w:t>
            </w:r>
          </w:p>
          <w:p w14:paraId="313E151C" w14:textId="77777777" w:rsidR="00CA5547" w:rsidRPr="00B845AF" w:rsidRDefault="00CA5547" w:rsidP="00CA5547">
            <w:pPr>
              <w:ind w:left="1"/>
              <w:rPr>
                <w:rFonts w:asciiTheme="minorHAnsi" w:hAnsiTheme="minorHAnsi" w:cstheme="minorHAnsi"/>
                <w:sz w:val="16"/>
              </w:rPr>
            </w:pPr>
            <w:r w:rsidRPr="00B845AF">
              <w:rPr>
                <w:rFonts w:asciiTheme="minorHAnsi" w:hAnsiTheme="minorHAnsi" w:cstheme="minorHAnsi"/>
                <w:sz w:val="16"/>
              </w:rPr>
              <w:t xml:space="preserve">5 – “no fishing — bad weather”;  </w:t>
            </w:r>
          </w:p>
          <w:p w14:paraId="35BC9DF4" w14:textId="77777777" w:rsidR="00CA5547" w:rsidRPr="00B845AF" w:rsidRDefault="00CA5547" w:rsidP="00CA5547">
            <w:pPr>
              <w:ind w:left="1"/>
              <w:rPr>
                <w:rFonts w:asciiTheme="minorHAnsi" w:hAnsiTheme="minorHAnsi" w:cstheme="minorHAnsi"/>
                <w:sz w:val="16"/>
              </w:rPr>
            </w:pPr>
            <w:r w:rsidRPr="00B845AF">
              <w:rPr>
                <w:rFonts w:asciiTheme="minorHAnsi" w:hAnsiTheme="minorHAnsi" w:cstheme="minorHAnsi"/>
                <w:sz w:val="16"/>
              </w:rPr>
              <w:t>6 – “no fishing — in port”;</w:t>
            </w:r>
          </w:p>
          <w:p w14:paraId="200457C2" w14:textId="77777777" w:rsidR="00CA5547" w:rsidRPr="00B845AF" w:rsidRDefault="00CA5547" w:rsidP="00CA5547">
            <w:pPr>
              <w:ind w:left="1"/>
              <w:rPr>
                <w:rFonts w:asciiTheme="minorHAnsi" w:hAnsiTheme="minorHAnsi" w:cstheme="minorHAnsi"/>
                <w:sz w:val="16"/>
              </w:rPr>
            </w:pPr>
            <w:r w:rsidRPr="00B845AF">
              <w:rPr>
                <w:rFonts w:asciiTheme="minorHAnsi" w:hAnsiTheme="minorHAnsi" w:cstheme="minorHAnsi"/>
                <w:sz w:val="16"/>
              </w:rPr>
              <w:t>7 – “no fishing — other”.</w:t>
            </w:r>
          </w:p>
          <w:p w14:paraId="61A77734" w14:textId="77777777" w:rsidR="00CA5547" w:rsidRPr="00B845AF" w:rsidRDefault="00CA5547" w:rsidP="00CA5547">
            <w:pPr>
              <w:ind w:left="1"/>
              <w:rPr>
                <w:rFonts w:asciiTheme="minorHAnsi" w:hAnsiTheme="minorHAnsi" w:cstheme="minorHAnsi"/>
              </w:rPr>
            </w:pPr>
          </w:p>
          <w:p w14:paraId="7094FBE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p w14:paraId="1E90A9F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The purse </w:t>
            </w:r>
            <w:proofErr w:type="gramStart"/>
            <w:r w:rsidRPr="00B845AF">
              <w:rPr>
                <w:rFonts w:asciiTheme="minorHAnsi" w:hAnsiTheme="minorHAnsi" w:cstheme="minorHAnsi"/>
                <w:sz w:val="16"/>
              </w:rPr>
              <w:t>seine</w:t>
            </w:r>
            <w:proofErr w:type="gramEnd"/>
            <w:r w:rsidRPr="00B845AF">
              <w:rPr>
                <w:rFonts w:asciiTheme="minorHAnsi" w:hAnsiTheme="minorHAnsi" w:cstheme="minorHAnsi"/>
                <w:sz w:val="16"/>
              </w:rPr>
              <w:t xml:space="preserve"> SET INFORMATION and CATCH INFORMATION should be used for every SET event. </w:t>
            </w:r>
          </w:p>
        </w:tc>
      </w:tr>
      <w:tr w:rsidR="00CA5547" w:rsidRPr="00B845AF" w14:paraId="35D80963" w14:textId="77777777" w:rsidTr="00835632">
        <w:trPr>
          <w:trHeight w:val="2185"/>
        </w:trPr>
        <w:tc>
          <w:tcPr>
            <w:tcW w:w="0" w:type="auto"/>
            <w:vMerge/>
            <w:tcBorders>
              <w:top w:val="nil"/>
              <w:left w:val="single" w:sz="4" w:space="0" w:color="000000"/>
              <w:bottom w:val="single" w:sz="4" w:space="0" w:color="000000"/>
              <w:right w:val="single" w:sz="4" w:space="0" w:color="000000"/>
            </w:tcBorders>
          </w:tcPr>
          <w:p w14:paraId="5B1C3E3C" w14:textId="77777777" w:rsidR="00CA5547" w:rsidRPr="00B845AF" w:rsidRDefault="00CA5547" w:rsidP="00CA5547">
            <w:pPr>
              <w:spacing w:after="160" w:line="259" w:lineRule="auto"/>
              <w:rPr>
                <w:rFonts w:asciiTheme="minorHAnsi" w:hAnsiTheme="minorHAnsi" w:cstheme="minorHAnsi"/>
              </w:rPr>
            </w:pPr>
          </w:p>
        </w:tc>
        <w:tc>
          <w:tcPr>
            <w:tcW w:w="6326" w:type="dxa"/>
            <w:tcBorders>
              <w:top w:val="single" w:sz="4" w:space="0" w:color="000000"/>
              <w:left w:val="single" w:sz="4" w:space="0" w:color="000000"/>
              <w:bottom w:val="single" w:sz="4" w:space="0" w:color="000000"/>
              <w:right w:val="single" w:sz="4" w:space="0" w:color="000000"/>
            </w:tcBorders>
          </w:tcPr>
          <w:p w14:paraId="658C59E3"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Activity</w:t>
            </w:r>
            <w:r w:rsidRPr="00B845AF">
              <w:rPr>
                <w:rFonts w:asciiTheme="minorHAnsi" w:hAnsiTheme="minorHAnsi" w:cstheme="minorHAnsi"/>
                <w:color w:val="0000FF"/>
                <w:sz w:val="16"/>
              </w:rPr>
              <w:t xml:space="preserve">:  </w:t>
            </w:r>
          </w:p>
          <w:p w14:paraId="54614E5A"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 </w:t>
            </w:r>
          </w:p>
          <w:p w14:paraId="3407BA52" w14:textId="77777777" w:rsidR="00CA5547" w:rsidRPr="00B845AF" w:rsidRDefault="00CA5547" w:rsidP="00CA5547">
            <w:pPr>
              <w:spacing w:after="37" w:line="238" w:lineRule="auto"/>
              <w:ind w:left="2"/>
              <w:rPr>
                <w:rFonts w:asciiTheme="minorHAnsi" w:hAnsiTheme="minorHAnsi" w:cstheme="minorHAnsi"/>
              </w:rPr>
            </w:pPr>
            <w:r w:rsidRPr="00B845AF">
              <w:rPr>
                <w:rFonts w:asciiTheme="minorHAnsi" w:hAnsiTheme="minorHAnsi" w:cstheme="minorHAnsi"/>
                <w:color w:val="0000FF"/>
                <w:sz w:val="16"/>
              </w:rPr>
              <w:t xml:space="preserve">The current definition for a purse seine day in </w:t>
            </w:r>
            <w:proofErr w:type="gramStart"/>
            <w:r w:rsidRPr="00B845AF">
              <w:rPr>
                <w:rFonts w:asciiTheme="minorHAnsi" w:hAnsiTheme="minorHAnsi" w:cstheme="minorHAnsi"/>
                <w:color w:val="0000FF"/>
                <w:sz w:val="16"/>
              </w:rPr>
              <w:t>transit (‘</w:t>
            </w:r>
            <w:proofErr w:type="gramEnd"/>
            <w:r w:rsidRPr="00B845AF">
              <w:rPr>
                <w:rFonts w:asciiTheme="minorHAnsi" w:hAnsiTheme="minorHAnsi" w:cstheme="minorHAnsi"/>
                <w:color w:val="0000FF"/>
                <w:sz w:val="16"/>
              </w:rPr>
              <w:t xml:space="preserve">a day in transit’) should only cover the following cases: </w:t>
            </w:r>
          </w:p>
          <w:p w14:paraId="2783BDA6" w14:textId="77777777" w:rsidR="00CA5547" w:rsidRPr="00B845AF" w:rsidRDefault="00CA5547" w:rsidP="00D47778">
            <w:pPr>
              <w:numPr>
                <w:ilvl w:val="0"/>
                <w:numId w:val="43"/>
              </w:numPr>
              <w:spacing w:line="259" w:lineRule="auto"/>
              <w:rPr>
                <w:rFonts w:asciiTheme="minorHAnsi" w:hAnsiTheme="minorHAnsi" w:cstheme="minorHAnsi"/>
              </w:rPr>
            </w:pPr>
            <w:r w:rsidRPr="00B845AF">
              <w:rPr>
                <w:rFonts w:asciiTheme="minorHAnsi" w:hAnsiTheme="minorHAnsi" w:cstheme="minorHAnsi"/>
                <w:color w:val="0000FF"/>
                <w:sz w:val="16"/>
              </w:rPr>
              <w:t xml:space="preserve">Transiting from port to the tropical WCPFC area (10°N - 10°S); or </w:t>
            </w:r>
          </w:p>
          <w:p w14:paraId="040F4554" w14:textId="77777777" w:rsidR="00CA5547" w:rsidRPr="00B845AF" w:rsidRDefault="00CA5547" w:rsidP="00D47778">
            <w:pPr>
              <w:numPr>
                <w:ilvl w:val="0"/>
                <w:numId w:val="43"/>
              </w:numPr>
              <w:spacing w:line="259" w:lineRule="auto"/>
              <w:rPr>
                <w:rFonts w:asciiTheme="minorHAnsi" w:hAnsiTheme="minorHAnsi" w:cstheme="minorHAnsi"/>
              </w:rPr>
            </w:pPr>
            <w:r w:rsidRPr="00B845AF">
              <w:rPr>
                <w:rFonts w:asciiTheme="minorHAnsi" w:hAnsiTheme="minorHAnsi" w:cstheme="minorHAnsi"/>
                <w:color w:val="0000FF"/>
                <w:sz w:val="16"/>
              </w:rPr>
              <w:t xml:space="preserve">Transiting back to port; or </w:t>
            </w:r>
          </w:p>
          <w:p w14:paraId="58E34795" w14:textId="77777777" w:rsidR="00CA5547" w:rsidRPr="00B845AF" w:rsidRDefault="00CA5547" w:rsidP="00D47778">
            <w:pPr>
              <w:numPr>
                <w:ilvl w:val="0"/>
                <w:numId w:val="43"/>
              </w:numPr>
              <w:spacing w:line="259" w:lineRule="auto"/>
              <w:rPr>
                <w:rFonts w:asciiTheme="minorHAnsi" w:hAnsiTheme="minorHAnsi" w:cstheme="minorHAnsi"/>
              </w:rPr>
            </w:pPr>
            <w:r w:rsidRPr="00B845AF">
              <w:rPr>
                <w:rFonts w:asciiTheme="minorHAnsi" w:hAnsiTheme="minorHAnsi" w:cstheme="minorHAnsi"/>
                <w:color w:val="0000FF"/>
                <w:sz w:val="16"/>
              </w:rPr>
              <w:t xml:space="preserve">Transiting from one fishing zone to another in the Convention Area. </w:t>
            </w:r>
          </w:p>
          <w:p w14:paraId="223E1571"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 </w:t>
            </w:r>
          </w:p>
          <w:p w14:paraId="42C9629F"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Where vessels are transiting as described above, the conditions of transit are that the gear is stowed, with the boom lowered and tied down, and the net covered (subject to any further clarification).</w:t>
            </w:r>
            <w:r w:rsidRPr="00B845AF">
              <w:rPr>
                <w:rFonts w:asciiTheme="minorHAnsi" w:hAnsiTheme="minorHAnsi" w:cstheme="minorHAnsi"/>
                <w:b/>
                <w:color w:val="0000FF"/>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2D94E0B" w14:textId="77777777" w:rsidR="00CA5547" w:rsidRPr="00B845AF" w:rsidRDefault="00CA5547" w:rsidP="00CA5547">
            <w:pPr>
              <w:spacing w:line="259" w:lineRule="auto"/>
              <w:ind w:right="3"/>
              <w:jc w:val="center"/>
              <w:rPr>
                <w:rFonts w:asciiTheme="minorHAnsi" w:hAnsiTheme="minorHAnsi" w:cstheme="minorHAnsi"/>
                <w:b/>
                <w:bCs/>
                <w:sz w:val="20"/>
                <w:szCs w:val="20"/>
              </w:rPr>
            </w:pPr>
            <w:r w:rsidRPr="00B845AF">
              <w:rPr>
                <w:rFonts w:asciiTheme="minorHAnsi" w:hAnsiTheme="minorHAnsi" w:cstheme="minorHAnsi"/>
                <w:b/>
                <w:bCs/>
                <w:sz w:val="20"/>
                <w:szCs w:val="20"/>
              </w:rPr>
              <w:t>NO</w:t>
            </w:r>
          </w:p>
        </w:tc>
        <w:tc>
          <w:tcPr>
            <w:tcW w:w="0" w:type="auto"/>
            <w:vMerge/>
            <w:tcBorders>
              <w:top w:val="nil"/>
              <w:left w:val="single" w:sz="4" w:space="0" w:color="000000"/>
              <w:bottom w:val="single" w:sz="4" w:space="0" w:color="000000"/>
              <w:right w:val="single" w:sz="4" w:space="0" w:color="000000"/>
            </w:tcBorders>
          </w:tcPr>
          <w:p w14:paraId="2593E57F" w14:textId="77777777" w:rsidR="00CA5547" w:rsidRPr="00B845AF" w:rsidRDefault="00CA5547" w:rsidP="00CA5547">
            <w:pPr>
              <w:spacing w:after="160" w:line="259" w:lineRule="auto"/>
              <w:rPr>
                <w:rFonts w:asciiTheme="minorHAnsi" w:hAnsiTheme="minorHAnsi" w:cstheme="minorHAnsi"/>
              </w:rPr>
            </w:pPr>
          </w:p>
        </w:tc>
      </w:tr>
      <w:tr w:rsidR="00CA5547" w:rsidRPr="00B845AF" w14:paraId="71AE7741" w14:textId="77777777" w:rsidTr="00835632">
        <w:trPr>
          <w:trHeight w:val="792"/>
        </w:trPr>
        <w:tc>
          <w:tcPr>
            <w:tcW w:w="1417" w:type="dxa"/>
            <w:tcBorders>
              <w:top w:val="single" w:sz="4" w:space="0" w:color="000000"/>
              <w:left w:val="single" w:sz="4" w:space="0" w:color="000000"/>
              <w:bottom w:val="single" w:sz="4" w:space="0" w:color="000000"/>
              <w:right w:val="single" w:sz="4" w:space="0" w:color="000000"/>
            </w:tcBorders>
          </w:tcPr>
          <w:p w14:paraId="3BECE30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DATE/TIME ACTIVITY </w:t>
            </w:r>
          </w:p>
        </w:tc>
        <w:tc>
          <w:tcPr>
            <w:tcW w:w="6326" w:type="dxa"/>
            <w:tcBorders>
              <w:top w:val="single" w:sz="4" w:space="0" w:color="000000"/>
              <w:left w:val="single" w:sz="4" w:space="0" w:color="000000"/>
              <w:bottom w:val="single" w:sz="4" w:space="0" w:color="000000"/>
              <w:right w:val="single" w:sz="4" w:space="0" w:color="000000"/>
            </w:tcBorders>
          </w:tcPr>
          <w:p w14:paraId="09CF1329"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Date/Time of Activity</w:t>
            </w:r>
            <w:r w:rsidRPr="00B845AF">
              <w:rPr>
                <w:rFonts w:asciiTheme="minorHAnsi" w:hAnsiTheme="minorHAnsi" w:cstheme="minorHAnsi"/>
                <w:color w:val="0000FF"/>
                <w:sz w:val="16"/>
              </w:rPr>
              <w:t xml:space="preserve">. DATE/TIME shall be reported for each set and for days on which no sets were made in GMT/UTC. If searching occurs, but no sets are made, then NOON shall be reported as the TIME. </w:t>
            </w:r>
          </w:p>
        </w:tc>
        <w:tc>
          <w:tcPr>
            <w:tcW w:w="1032" w:type="dxa"/>
            <w:tcBorders>
              <w:top w:val="single" w:sz="4" w:space="0" w:color="000000"/>
              <w:left w:val="single" w:sz="4" w:space="0" w:color="000000"/>
              <w:bottom w:val="single" w:sz="4" w:space="0" w:color="000000"/>
              <w:right w:val="single" w:sz="4" w:space="0" w:color="000000"/>
            </w:tcBorders>
          </w:tcPr>
          <w:p w14:paraId="681ED087"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132B39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If the activity is ‘a set’ record DATE/TIME when the set </w:t>
            </w:r>
            <w:proofErr w:type="gramStart"/>
            <w:r w:rsidRPr="00B845AF">
              <w:rPr>
                <w:rFonts w:asciiTheme="minorHAnsi" w:hAnsiTheme="minorHAnsi" w:cstheme="minorHAnsi"/>
                <w:sz w:val="16"/>
              </w:rPr>
              <w:t>started</w:t>
            </w:r>
            <w:proofErr w:type="gramEnd"/>
            <w:r w:rsidRPr="00B845AF">
              <w:rPr>
                <w:rFonts w:asciiTheme="minorHAnsi" w:hAnsiTheme="minorHAnsi" w:cstheme="minorHAnsi"/>
                <w:sz w:val="16"/>
              </w:rPr>
              <w:t xml:space="preserve">. </w:t>
            </w:r>
          </w:p>
          <w:p w14:paraId="111FAA6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p w14:paraId="06D9EEE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Please provide </w:t>
            </w:r>
            <w:proofErr w:type="gramStart"/>
            <w:r w:rsidRPr="00B845AF">
              <w:rPr>
                <w:rFonts w:asciiTheme="minorHAnsi" w:hAnsiTheme="minorHAnsi" w:cstheme="minorHAnsi"/>
                <w:sz w:val="16"/>
              </w:rPr>
              <w:t>the</w:t>
            </w:r>
            <w:proofErr w:type="gramEnd"/>
            <w:r w:rsidRPr="00B845AF">
              <w:rPr>
                <w:rFonts w:asciiTheme="minorHAnsi" w:hAnsiTheme="minorHAnsi" w:cstheme="minorHAnsi"/>
                <w:sz w:val="16"/>
              </w:rPr>
              <w:t xml:space="preserve"> NOON DATE/TIME for each day that the vessel is at sea when a set was not made on that day. </w:t>
            </w:r>
          </w:p>
        </w:tc>
      </w:tr>
      <w:tr w:rsidR="00CA5547" w:rsidRPr="00B845AF" w14:paraId="12EB2ADF" w14:textId="77777777" w:rsidTr="00835632">
        <w:trPr>
          <w:trHeight w:val="252"/>
        </w:trPr>
        <w:tc>
          <w:tcPr>
            <w:tcW w:w="1417" w:type="dxa"/>
            <w:vMerge w:val="restart"/>
            <w:tcBorders>
              <w:top w:val="single" w:sz="4" w:space="0" w:color="000000"/>
              <w:left w:val="single" w:sz="4" w:space="0" w:color="000000"/>
              <w:bottom w:val="single" w:sz="4" w:space="0" w:color="000000"/>
              <w:right w:val="single" w:sz="4" w:space="0" w:color="000000"/>
            </w:tcBorders>
          </w:tcPr>
          <w:p w14:paraId="4D21F9A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POSITION OF </w:t>
            </w:r>
          </w:p>
          <w:p w14:paraId="2B744A3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w:t>
            </w:r>
          </w:p>
          <w:p w14:paraId="2750478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4DD498D9"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Position of set or noon position:</w:t>
            </w:r>
            <w:r w:rsidRPr="00B845AF">
              <w:rPr>
                <w:rFonts w:asciiTheme="minorHAnsi" w:hAnsiTheme="minorHAnsi" w:cstheme="minorHAnsi"/>
                <w:b/>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6FF8AD5F"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vMerge w:val="restart"/>
            <w:tcBorders>
              <w:top w:val="single" w:sz="4" w:space="0" w:color="000000"/>
              <w:left w:val="single" w:sz="4" w:space="0" w:color="000000"/>
              <w:bottom w:val="single" w:sz="4" w:space="0" w:color="000000"/>
              <w:right w:val="single" w:sz="4" w:space="0" w:color="000000"/>
            </w:tcBorders>
          </w:tcPr>
          <w:p w14:paraId="32200EF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Please provide position according to ISO 6709 – Positions in degrees and minutes (to 3 decimal places where relevant). </w:t>
            </w:r>
          </w:p>
        </w:tc>
      </w:tr>
      <w:tr w:rsidR="00CA5547" w:rsidRPr="00B845AF" w14:paraId="41C78C1F" w14:textId="77777777" w:rsidTr="00835632">
        <w:trPr>
          <w:trHeight w:val="598"/>
        </w:trPr>
        <w:tc>
          <w:tcPr>
            <w:tcW w:w="0" w:type="auto"/>
            <w:vMerge/>
            <w:tcBorders>
              <w:top w:val="nil"/>
              <w:left w:val="single" w:sz="4" w:space="0" w:color="000000"/>
              <w:bottom w:val="single" w:sz="4" w:space="0" w:color="000000"/>
              <w:right w:val="single" w:sz="4" w:space="0" w:color="000000"/>
            </w:tcBorders>
          </w:tcPr>
          <w:p w14:paraId="62D85A44" w14:textId="77777777" w:rsidR="00CA5547" w:rsidRPr="00B845AF" w:rsidRDefault="00CA5547" w:rsidP="00CA5547">
            <w:pPr>
              <w:spacing w:after="160" w:line="259" w:lineRule="auto"/>
              <w:rPr>
                <w:rFonts w:asciiTheme="minorHAnsi" w:hAnsiTheme="minorHAnsi" w:cstheme="minorHAnsi"/>
              </w:rPr>
            </w:pPr>
          </w:p>
        </w:tc>
        <w:tc>
          <w:tcPr>
            <w:tcW w:w="6326" w:type="dxa"/>
            <w:tcBorders>
              <w:top w:val="single" w:sz="4" w:space="0" w:color="000000"/>
              <w:left w:val="single" w:sz="4" w:space="0" w:color="000000"/>
              <w:bottom w:val="single" w:sz="4" w:space="0" w:color="000000"/>
              <w:right w:val="single" w:sz="4" w:space="0" w:color="000000"/>
            </w:tcBorders>
          </w:tcPr>
          <w:p w14:paraId="210BD7D1" w14:textId="77777777" w:rsidR="00CA5547" w:rsidRPr="00B845AF" w:rsidRDefault="00CA5547" w:rsidP="00CA5547">
            <w:pPr>
              <w:spacing w:line="259" w:lineRule="auto"/>
              <w:ind w:left="2" w:right="554"/>
              <w:rPr>
                <w:rFonts w:asciiTheme="minorHAnsi" w:hAnsiTheme="minorHAnsi" w:cstheme="minorHAnsi"/>
              </w:rPr>
            </w:pPr>
            <w:r w:rsidRPr="00B845AF">
              <w:rPr>
                <w:rFonts w:asciiTheme="minorHAnsi" w:hAnsiTheme="minorHAnsi" w:cstheme="minorHAnsi"/>
                <w:color w:val="0000FF"/>
                <w:sz w:val="16"/>
              </w:rPr>
              <w:t xml:space="preserve">If a set is made, then the position of the set shall be reported. If searching occurs, but no sets are made, then the noon position shall be reported. The position should be reported in units of at least minutes of latitude and longitude. </w:t>
            </w: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5E634317" w14:textId="77777777" w:rsidR="00CA5547" w:rsidRPr="00B845AF" w:rsidRDefault="00CA5547" w:rsidP="00CA5547">
            <w:pPr>
              <w:spacing w:line="259" w:lineRule="auto"/>
              <w:ind w:right="3"/>
              <w:jc w:val="center"/>
              <w:rPr>
                <w:rFonts w:asciiTheme="minorHAnsi" w:hAnsiTheme="minorHAnsi" w:cstheme="minorHAnsi"/>
              </w:rPr>
            </w:pPr>
            <w:r w:rsidRPr="00B845AF">
              <w:rPr>
                <w:rFonts w:asciiTheme="minorHAnsi" w:hAnsiTheme="minorHAnsi" w:cstheme="minorHAnsi"/>
                <w:b/>
                <w:sz w:val="20"/>
              </w:rPr>
              <w:t>NO</w:t>
            </w:r>
            <w:r w:rsidRPr="00B845AF">
              <w:rPr>
                <w:rFonts w:asciiTheme="minorHAnsi" w:hAnsiTheme="minorHAnsi" w:cstheme="minorHAnsi"/>
                <w:sz w:val="20"/>
              </w:rPr>
              <w:t xml:space="preserve"> </w:t>
            </w:r>
          </w:p>
        </w:tc>
        <w:tc>
          <w:tcPr>
            <w:tcW w:w="0" w:type="auto"/>
            <w:vMerge/>
            <w:tcBorders>
              <w:top w:val="nil"/>
              <w:left w:val="single" w:sz="4" w:space="0" w:color="000000"/>
              <w:bottom w:val="single" w:sz="4" w:space="0" w:color="000000"/>
              <w:right w:val="single" w:sz="4" w:space="0" w:color="000000"/>
            </w:tcBorders>
          </w:tcPr>
          <w:p w14:paraId="2111C537" w14:textId="77777777" w:rsidR="00CA5547" w:rsidRPr="00B845AF" w:rsidRDefault="00CA5547" w:rsidP="00CA5547">
            <w:pPr>
              <w:spacing w:after="160" w:line="259" w:lineRule="auto"/>
              <w:rPr>
                <w:rFonts w:asciiTheme="minorHAnsi" w:hAnsiTheme="minorHAnsi" w:cstheme="minorHAnsi"/>
              </w:rPr>
            </w:pPr>
          </w:p>
        </w:tc>
      </w:tr>
    </w:tbl>
    <w:p w14:paraId="1F57637F" w14:textId="77777777" w:rsidR="00CA5547" w:rsidRPr="00B845AF" w:rsidRDefault="00CA5547" w:rsidP="00CA5547">
      <w:pPr>
        <w:spacing w:after="175" w:line="259" w:lineRule="auto"/>
        <w:rPr>
          <w:rFonts w:asciiTheme="minorHAnsi" w:hAnsiTheme="minorHAnsi" w:cstheme="minorHAnsi"/>
        </w:rPr>
      </w:pPr>
      <w:r w:rsidRPr="00B845AF">
        <w:rPr>
          <w:rFonts w:asciiTheme="minorHAnsi" w:hAnsiTheme="minorHAnsi" w:cstheme="minorHAnsi"/>
          <w:sz w:val="20"/>
        </w:rPr>
        <w:t xml:space="preserve"> </w:t>
      </w:r>
    </w:p>
    <w:p w14:paraId="7690B7A1" w14:textId="77777777" w:rsidR="00CA5547" w:rsidRPr="00B845AF" w:rsidRDefault="00CA5547" w:rsidP="00CA5547">
      <w:pPr>
        <w:keepNext/>
        <w:keepLines/>
        <w:tabs>
          <w:tab w:val="center" w:pos="4414"/>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A2.2.3 </w:t>
      </w:r>
      <w:r w:rsidRPr="00B845AF">
        <w:rPr>
          <w:rFonts w:asciiTheme="minorHAnsi" w:eastAsiaTheme="majorEastAsia" w:hAnsiTheme="minorHAnsi" w:cstheme="minorHAnsi"/>
          <w:b/>
          <w:bCs/>
          <w:i/>
          <w:iCs/>
          <w:color w:val="365F91"/>
          <w:szCs w:val="22"/>
        </w:rPr>
        <w:t>Purse seine operational data</w:t>
      </w:r>
      <w:r w:rsidRPr="00B845AF">
        <w:rPr>
          <w:rFonts w:asciiTheme="minorHAnsi" w:eastAsiaTheme="majorEastAsia" w:hAnsiTheme="minorHAnsi" w:cstheme="minorHAnsi"/>
          <w:b/>
          <w:bCs/>
          <w:color w:val="365F91"/>
          <w:szCs w:val="22"/>
        </w:rPr>
        <w:t xml:space="preserve"> – SET INFORMATION </w:t>
      </w:r>
    </w:p>
    <w:tbl>
      <w:tblPr>
        <w:tblStyle w:val="TableGrid0"/>
        <w:tblW w:w="13550" w:type="dxa"/>
        <w:tblInd w:w="6" w:type="dxa"/>
        <w:tblCellMar>
          <w:top w:w="34" w:type="dxa"/>
          <w:left w:w="107" w:type="dxa"/>
          <w:right w:w="230" w:type="dxa"/>
        </w:tblCellMar>
        <w:tblLook w:val="04A0" w:firstRow="1" w:lastRow="0" w:firstColumn="1" w:lastColumn="0" w:noHBand="0" w:noVBand="1"/>
      </w:tblPr>
      <w:tblGrid>
        <w:gridCol w:w="1417"/>
        <w:gridCol w:w="6326"/>
        <w:gridCol w:w="1032"/>
        <w:gridCol w:w="4775"/>
      </w:tblGrid>
      <w:tr w:rsidR="00CA5547" w:rsidRPr="00B845AF" w14:paraId="1E426F4A" w14:textId="77777777" w:rsidTr="00835632">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28E19A0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71DF69E4"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22EE3E20" w14:textId="77777777" w:rsidR="00CA5547" w:rsidRPr="00B845AF" w:rsidRDefault="00CA5547" w:rsidP="00CA5547">
            <w:pPr>
              <w:spacing w:line="259" w:lineRule="auto"/>
              <w:ind w:left="122"/>
              <w:jc w:val="center"/>
              <w:rPr>
                <w:rFonts w:asciiTheme="minorHAnsi" w:hAnsiTheme="minorHAnsi" w:cstheme="minorHAnsi"/>
              </w:rPr>
            </w:pPr>
            <w:r w:rsidRPr="00B845AF">
              <w:rPr>
                <w:rFonts w:asciiTheme="minorHAnsi" w:hAnsiTheme="minorHAnsi" w:cstheme="minorHAnsi"/>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28D2137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7A8CC570" w14:textId="77777777" w:rsidTr="00835632">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75B42B4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BEDCC0B"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CB975C6" w14:textId="77777777" w:rsidR="00CA5547" w:rsidRPr="00B845AF" w:rsidRDefault="00CA5547" w:rsidP="00CA5547">
            <w:pPr>
              <w:spacing w:line="259" w:lineRule="auto"/>
              <w:ind w:left="121"/>
              <w:jc w:val="center"/>
              <w:rPr>
                <w:rFonts w:asciiTheme="minorHAnsi" w:hAnsiTheme="minorHAnsi" w:cstheme="minorHAnsi"/>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41E7F41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6A25E966" w14:textId="77777777" w:rsidTr="00835632">
        <w:trPr>
          <w:trHeight w:val="400"/>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057F4FC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002442F7"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0A299DA7" w14:textId="77777777" w:rsidR="00CA5547" w:rsidRPr="00B845AF" w:rsidRDefault="00CA5547" w:rsidP="00CA5547">
            <w:pPr>
              <w:spacing w:line="259" w:lineRule="auto"/>
              <w:ind w:left="1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7991D1A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2BFA8879" w14:textId="77777777" w:rsidTr="00835632">
        <w:trPr>
          <w:trHeight w:val="402"/>
        </w:trPr>
        <w:tc>
          <w:tcPr>
            <w:tcW w:w="1417" w:type="dxa"/>
            <w:tcBorders>
              <w:top w:val="single" w:sz="4" w:space="0" w:color="000000"/>
              <w:left w:val="single" w:sz="4" w:space="0" w:color="000000"/>
              <w:bottom w:val="single" w:sz="4" w:space="0" w:color="000000"/>
              <w:right w:val="single" w:sz="4" w:space="0" w:color="000000"/>
            </w:tcBorders>
          </w:tcPr>
          <w:p w14:paraId="4B77E00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DATE/TIME OF SET START </w:t>
            </w:r>
          </w:p>
        </w:tc>
        <w:tc>
          <w:tcPr>
            <w:tcW w:w="6326" w:type="dxa"/>
            <w:tcBorders>
              <w:top w:val="single" w:sz="4" w:space="0" w:color="000000"/>
              <w:left w:val="single" w:sz="4" w:space="0" w:color="000000"/>
              <w:bottom w:val="single" w:sz="4" w:space="0" w:color="000000"/>
              <w:right w:val="single" w:sz="4" w:space="0" w:color="000000"/>
            </w:tcBorders>
          </w:tcPr>
          <w:p w14:paraId="50DA0438"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Date of start of set and time of start of set</w:t>
            </w:r>
            <w:r w:rsidRPr="00B845AF">
              <w:rPr>
                <w:rFonts w:asciiTheme="minorHAnsi" w:hAnsiTheme="minorHAnsi" w:cstheme="minorHAnsi"/>
                <w:color w:val="0000FF"/>
                <w:sz w:val="16"/>
              </w:rPr>
              <w:t xml:space="preserve">. CCMs shall provide information on how their vessels </w:t>
            </w:r>
            <w:proofErr w:type="gramStart"/>
            <w:r w:rsidRPr="00B845AF">
              <w:rPr>
                <w:rFonts w:asciiTheme="minorHAnsi" w:hAnsiTheme="minorHAnsi" w:cstheme="minorHAnsi"/>
                <w:color w:val="0000FF"/>
                <w:sz w:val="16"/>
              </w:rPr>
              <w:t>report</w:t>
            </w:r>
            <w:proofErr w:type="gramEnd"/>
            <w:r w:rsidRPr="00B845AF">
              <w:rPr>
                <w:rFonts w:asciiTheme="minorHAnsi" w:hAnsiTheme="minorHAnsi" w:cstheme="minorHAnsi"/>
                <w:color w:val="0000FF"/>
                <w:sz w:val="16"/>
              </w:rPr>
              <w:t xml:space="preserve"> time zone/format. The date and start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56E0C178" w14:textId="77777777" w:rsidR="00CA5547" w:rsidRPr="00B845AF" w:rsidRDefault="00CA5547" w:rsidP="00CA5547">
            <w:pPr>
              <w:spacing w:line="259" w:lineRule="auto"/>
              <w:ind w:left="1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076AEC5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40592F91" w14:textId="77777777" w:rsidTr="00835632">
        <w:trPr>
          <w:trHeight w:val="401"/>
        </w:trPr>
        <w:tc>
          <w:tcPr>
            <w:tcW w:w="1417" w:type="dxa"/>
            <w:tcBorders>
              <w:top w:val="single" w:sz="4" w:space="0" w:color="000000"/>
              <w:left w:val="single" w:sz="4" w:space="0" w:color="000000"/>
              <w:bottom w:val="single" w:sz="4" w:space="0" w:color="000000"/>
              <w:right w:val="single" w:sz="4" w:space="0" w:color="000000"/>
            </w:tcBorders>
          </w:tcPr>
          <w:p w14:paraId="455257E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DATE/TIME OF END SET </w:t>
            </w:r>
          </w:p>
        </w:tc>
        <w:tc>
          <w:tcPr>
            <w:tcW w:w="6326" w:type="dxa"/>
            <w:tcBorders>
              <w:top w:val="single" w:sz="4" w:space="0" w:color="000000"/>
              <w:left w:val="single" w:sz="4" w:space="0" w:color="000000"/>
              <w:bottom w:val="single" w:sz="4" w:space="0" w:color="000000"/>
              <w:right w:val="single" w:sz="4" w:space="0" w:color="000000"/>
            </w:tcBorders>
          </w:tcPr>
          <w:p w14:paraId="03024F59"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Date of end of set and time of end of set</w:t>
            </w:r>
            <w:r w:rsidRPr="00B845AF">
              <w:rPr>
                <w:rFonts w:asciiTheme="minorHAnsi" w:hAnsiTheme="minorHAnsi" w:cstheme="minorHAnsi"/>
                <w:color w:val="0000FF"/>
                <w:sz w:val="16"/>
              </w:rPr>
              <w:t xml:space="preserve">. CCMs shall provide information on how their vessels </w:t>
            </w:r>
            <w:proofErr w:type="gramStart"/>
            <w:r w:rsidRPr="00B845AF">
              <w:rPr>
                <w:rFonts w:asciiTheme="minorHAnsi" w:hAnsiTheme="minorHAnsi" w:cstheme="minorHAnsi"/>
                <w:color w:val="0000FF"/>
                <w:sz w:val="16"/>
              </w:rPr>
              <w:t>report</w:t>
            </w:r>
            <w:proofErr w:type="gramEnd"/>
            <w:r w:rsidRPr="00B845AF">
              <w:rPr>
                <w:rFonts w:asciiTheme="minorHAnsi" w:hAnsiTheme="minorHAnsi" w:cstheme="minorHAnsi"/>
                <w:color w:val="0000FF"/>
                <w:sz w:val="16"/>
              </w:rPr>
              <w:t xml:space="preserve"> time zone/format.</w:t>
            </w:r>
            <w:r w:rsidRPr="00B845AF">
              <w:rPr>
                <w:rFonts w:asciiTheme="minorHAnsi" w:hAnsiTheme="minorHAnsi" w:cstheme="minorHAnsi"/>
                <w:b/>
                <w:sz w:val="16"/>
              </w:rPr>
              <w:t xml:space="preserve"> </w:t>
            </w:r>
            <w:r w:rsidRPr="00B845AF">
              <w:rPr>
                <w:rFonts w:asciiTheme="minorHAnsi" w:hAnsiTheme="minorHAnsi" w:cstheme="minorHAnsi"/>
                <w:color w:val="0000FF"/>
                <w:sz w:val="16"/>
              </w:rPr>
              <w:t>The date and end of set time should be GMT/UTC.</w:t>
            </w:r>
          </w:p>
        </w:tc>
        <w:tc>
          <w:tcPr>
            <w:tcW w:w="1032" w:type="dxa"/>
            <w:tcBorders>
              <w:top w:val="single" w:sz="4" w:space="0" w:color="000000"/>
              <w:left w:val="single" w:sz="4" w:space="0" w:color="000000"/>
              <w:bottom w:val="single" w:sz="4" w:space="0" w:color="000000"/>
              <w:right w:val="single" w:sz="4" w:space="0" w:color="000000"/>
            </w:tcBorders>
          </w:tcPr>
          <w:p w14:paraId="0AAABF6F" w14:textId="77777777" w:rsidR="00CA5547" w:rsidRPr="00B845AF" w:rsidRDefault="00CA5547" w:rsidP="00CA5547">
            <w:pPr>
              <w:spacing w:line="259" w:lineRule="auto"/>
              <w:ind w:left="1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537EBE5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160CA47B" w14:textId="77777777" w:rsidTr="00835632">
        <w:trPr>
          <w:trHeight w:val="1963"/>
        </w:trPr>
        <w:tc>
          <w:tcPr>
            <w:tcW w:w="1417" w:type="dxa"/>
            <w:tcBorders>
              <w:top w:val="single" w:sz="4" w:space="0" w:color="000000"/>
              <w:left w:val="single" w:sz="4" w:space="0" w:color="000000"/>
              <w:bottom w:val="single" w:sz="4" w:space="0" w:color="000000"/>
              <w:right w:val="single" w:sz="4" w:space="0" w:color="000000"/>
            </w:tcBorders>
          </w:tcPr>
          <w:p w14:paraId="3882B70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SCHOOL </w:t>
            </w:r>
          </w:p>
          <w:p w14:paraId="09B449D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ASSOCIATION </w:t>
            </w:r>
          </w:p>
        </w:tc>
        <w:tc>
          <w:tcPr>
            <w:tcW w:w="6326" w:type="dxa"/>
            <w:tcBorders>
              <w:top w:val="single" w:sz="4" w:space="0" w:color="000000"/>
              <w:left w:val="single" w:sz="4" w:space="0" w:color="000000"/>
              <w:bottom w:val="single" w:sz="4" w:space="0" w:color="000000"/>
              <w:right w:val="single" w:sz="4" w:space="0" w:color="000000"/>
            </w:tcBorders>
          </w:tcPr>
          <w:p w14:paraId="648226E1" w14:textId="77777777" w:rsidR="00CA5547" w:rsidRPr="00B845AF" w:rsidRDefault="00CA5547" w:rsidP="00CA5547">
            <w:pPr>
              <w:spacing w:after="2" w:line="238" w:lineRule="auto"/>
              <w:ind w:left="2"/>
              <w:rPr>
                <w:rFonts w:asciiTheme="minorHAnsi" w:hAnsiTheme="minorHAnsi" w:cstheme="minorHAnsi"/>
              </w:rPr>
            </w:pPr>
            <w:r w:rsidRPr="00B845AF">
              <w:rPr>
                <w:rFonts w:asciiTheme="minorHAnsi" w:hAnsiTheme="minorHAnsi" w:cstheme="minorHAnsi"/>
                <w:color w:val="0000FF"/>
                <w:sz w:val="16"/>
              </w:rPr>
              <w:t xml:space="preserve">All common types of school association shall be reported, while uncommon types of associations shall be reported as “other”, including other explanation as appropriate. </w:t>
            </w:r>
          </w:p>
          <w:p w14:paraId="701A7B26"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 </w:t>
            </w:r>
          </w:p>
          <w:p w14:paraId="42F352D9"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Common types of school association are “free-swimming” or “unassociated”; “feeding on baitfish”; “drifting log, debris or dead animal”; “drifting raft, FAD or payao”; “anchored </w:t>
            </w:r>
            <w:proofErr w:type="spellStart"/>
            <w:proofErr w:type="gramStart"/>
            <w:r w:rsidRPr="00B845AF">
              <w:rPr>
                <w:rFonts w:asciiTheme="minorHAnsi" w:hAnsiTheme="minorHAnsi" w:cstheme="minorHAnsi"/>
                <w:color w:val="0000FF"/>
                <w:sz w:val="16"/>
              </w:rPr>
              <w:t>raft,FAD</w:t>
            </w:r>
            <w:proofErr w:type="spellEnd"/>
            <w:proofErr w:type="gramEnd"/>
            <w:r w:rsidRPr="00B845AF">
              <w:rPr>
                <w:rFonts w:asciiTheme="minorHAnsi" w:hAnsiTheme="minorHAnsi" w:cstheme="minorHAnsi"/>
                <w:color w:val="0000FF"/>
                <w:sz w:val="16"/>
              </w:rPr>
              <w:t xml:space="preserve"> or payao”; “live whale”; and “live whale shark”. </w:t>
            </w:r>
          </w:p>
        </w:tc>
        <w:tc>
          <w:tcPr>
            <w:tcW w:w="1032" w:type="dxa"/>
            <w:tcBorders>
              <w:top w:val="single" w:sz="4" w:space="0" w:color="000000"/>
              <w:left w:val="single" w:sz="4" w:space="0" w:color="000000"/>
              <w:bottom w:val="single" w:sz="4" w:space="0" w:color="000000"/>
              <w:right w:val="single" w:sz="4" w:space="0" w:color="000000"/>
            </w:tcBorders>
          </w:tcPr>
          <w:p w14:paraId="0BBE13FF" w14:textId="77777777" w:rsidR="00CA5547" w:rsidRPr="00B845AF" w:rsidRDefault="00CA5547" w:rsidP="00CA5547">
            <w:pPr>
              <w:spacing w:line="259" w:lineRule="auto"/>
              <w:ind w:left="121"/>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611C3DA" w14:textId="77777777" w:rsidR="00CA5547" w:rsidRPr="00B845AF" w:rsidRDefault="00CA5547" w:rsidP="00CA5547">
            <w:pPr>
              <w:spacing w:after="2" w:line="238" w:lineRule="auto"/>
              <w:ind w:left="1"/>
              <w:rPr>
                <w:rFonts w:asciiTheme="minorHAnsi" w:hAnsiTheme="minorHAnsi" w:cstheme="minorHAnsi"/>
                <w:sz w:val="16"/>
              </w:rPr>
            </w:pPr>
            <w:r w:rsidRPr="00B845AF">
              <w:rPr>
                <w:rFonts w:asciiTheme="minorHAnsi" w:hAnsiTheme="minorHAnsi" w:cstheme="minorHAnsi"/>
                <w:sz w:val="16"/>
              </w:rPr>
              <w:t xml:space="preserve">Suggest using a standardised numeric code for each school type </w:t>
            </w:r>
            <w:proofErr w:type="gramStart"/>
            <w:r w:rsidRPr="00B845AF">
              <w:rPr>
                <w:rFonts w:asciiTheme="minorHAnsi" w:hAnsiTheme="minorHAnsi" w:cstheme="minorHAnsi"/>
                <w:sz w:val="16"/>
              </w:rPr>
              <w:t>consistent with</w:t>
            </w:r>
            <w:proofErr w:type="gramEnd"/>
            <w:r w:rsidRPr="00B845AF">
              <w:rPr>
                <w:rFonts w:asciiTheme="minorHAnsi" w:hAnsiTheme="minorHAnsi" w:cstheme="minorHAnsi"/>
                <w:sz w:val="16"/>
              </w:rPr>
              <w:t xml:space="preserve"> the WCFPC E-Reporting data field standards. </w:t>
            </w:r>
          </w:p>
          <w:p w14:paraId="42934E19" w14:textId="77777777" w:rsidR="00CA5547" w:rsidRPr="00B845AF" w:rsidRDefault="00CA5547" w:rsidP="00CA5547">
            <w:pPr>
              <w:spacing w:after="2" w:line="238" w:lineRule="auto"/>
              <w:ind w:left="1"/>
              <w:rPr>
                <w:rFonts w:asciiTheme="minorHAnsi" w:hAnsiTheme="minorHAnsi" w:cstheme="minorHAnsi"/>
              </w:rPr>
            </w:pPr>
          </w:p>
          <w:p w14:paraId="2827EEF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0        No school type – searching activities only</w:t>
            </w:r>
          </w:p>
          <w:p w14:paraId="1F088547"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Unassociated (free school) </w:t>
            </w:r>
          </w:p>
          <w:p w14:paraId="24EDCA10"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Feeding on Baitfish (free school) </w:t>
            </w:r>
          </w:p>
          <w:p w14:paraId="516D9669"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Drifting log, debris or dead animal </w:t>
            </w:r>
          </w:p>
          <w:p w14:paraId="743028BC"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Drifting raft, FAD or payao </w:t>
            </w:r>
          </w:p>
          <w:p w14:paraId="7697B864"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Anchored raft, FAD or payao </w:t>
            </w:r>
          </w:p>
          <w:p w14:paraId="3589DD86"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Live whale </w:t>
            </w:r>
          </w:p>
          <w:p w14:paraId="050427A3" w14:textId="77777777" w:rsidR="00CA5547" w:rsidRPr="00B845AF" w:rsidRDefault="00CA5547" w:rsidP="00D47778">
            <w:pPr>
              <w:numPr>
                <w:ilvl w:val="0"/>
                <w:numId w:val="44"/>
              </w:numPr>
              <w:spacing w:line="259" w:lineRule="auto"/>
              <w:rPr>
                <w:rFonts w:asciiTheme="minorHAnsi" w:hAnsiTheme="minorHAnsi" w:cstheme="minorHAnsi"/>
              </w:rPr>
            </w:pPr>
            <w:r w:rsidRPr="00B845AF">
              <w:rPr>
                <w:rFonts w:asciiTheme="minorHAnsi" w:hAnsiTheme="minorHAnsi" w:cstheme="minorHAnsi"/>
                <w:sz w:val="16"/>
              </w:rPr>
              <w:t xml:space="preserve">Live whale shark </w:t>
            </w:r>
          </w:p>
          <w:p w14:paraId="0B715669" w14:textId="77777777" w:rsidR="00CA5547" w:rsidRPr="00B845AF" w:rsidRDefault="00CA5547" w:rsidP="00CA5547">
            <w:pPr>
              <w:spacing w:line="259" w:lineRule="auto"/>
              <w:ind w:left="721" w:hanging="721"/>
              <w:rPr>
                <w:rFonts w:asciiTheme="minorHAnsi" w:hAnsiTheme="minorHAnsi" w:cstheme="minorHAnsi"/>
                <w:sz w:val="16"/>
                <w:szCs w:val="16"/>
              </w:rPr>
            </w:pPr>
            <w:r w:rsidRPr="00B845AF">
              <w:rPr>
                <w:rFonts w:asciiTheme="minorHAnsi" w:hAnsiTheme="minorHAnsi" w:cstheme="minorHAnsi"/>
                <w:sz w:val="16"/>
                <w:szCs w:val="16"/>
              </w:rPr>
              <w:t xml:space="preserve">         -1       Unknown</w:t>
            </w:r>
          </w:p>
        </w:tc>
      </w:tr>
    </w:tbl>
    <w:p w14:paraId="7E0ECE35" w14:textId="77777777" w:rsidR="00CA5547" w:rsidRPr="00B845AF" w:rsidRDefault="00CA5547" w:rsidP="00CA5547">
      <w:pPr>
        <w:spacing w:after="176" w:line="259" w:lineRule="auto"/>
        <w:rPr>
          <w:rFonts w:asciiTheme="minorHAnsi" w:hAnsiTheme="minorHAnsi" w:cstheme="minorHAnsi"/>
        </w:rPr>
      </w:pPr>
      <w:r w:rsidRPr="00B845AF">
        <w:rPr>
          <w:rFonts w:asciiTheme="minorHAnsi" w:hAnsiTheme="minorHAnsi" w:cstheme="minorHAnsi"/>
          <w:sz w:val="20"/>
        </w:rPr>
        <w:t xml:space="preserve"> </w:t>
      </w:r>
    </w:p>
    <w:p w14:paraId="1909CB0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20"/>
        </w:rPr>
        <w:t xml:space="preserve"> </w:t>
      </w:r>
      <w:r w:rsidRPr="00B845AF">
        <w:rPr>
          <w:rFonts w:asciiTheme="minorHAnsi" w:hAnsiTheme="minorHAnsi" w:cstheme="minorHAnsi"/>
          <w:sz w:val="20"/>
        </w:rPr>
        <w:tab/>
        <w:t xml:space="preserve"> </w:t>
      </w:r>
    </w:p>
    <w:p w14:paraId="27BF9F0B" w14:textId="77777777" w:rsidR="00CA5547" w:rsidRPr="00B845AF" w:rsidRDefault="00CA5547" w:rsidP="00CA5547">
      <w:pPr>
        <w:keepNext/>
        <w:keepLines/>
        <w:tabs>
          <w:tab w:val="center" w:pos="4559"/>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A2.2.4 </w:t>
      </w:r>
      <w:r w:rsidRPr="00B845AF">
        <w:rPr>
          <w:rFonts w:asciiTheme="minorHAnsi" w:eastAsiaTheme="majorEastAsia" w:hAnsiTheme="minorHAnsi" w:cstheme="minorHAnsi"/>
          <w:b/>
          <w:bCs/>
          <w:i/>
          <w:iCs/>
          <w:color w:val="365F91"/>
          <w:szCs w:val="22"/>
        </w:rPr>
        <w:t>Purse seine operational data</w:t>
      </w:r>
      <w:r w:rsidRPr="00B845AF">
        <w:rPr>
          <w:rFonts w:asciiTheme="minorHAnsi" w:eastAsiaTheme="majorEastAsia" w:hAnsiTheme="minorHAnsi" w:cstheme="minorHAnsi"/>
          <w:b/>
          <w:bCs/>
          <w:color w:val="365F91"/>
          <w:szCs w:val="22"/>
        </w:rPr>
        <w:t xml:space="preserve"> –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279"/>
        <w:gridCol w:w="4559"/>
        <w:gridCol w:w="1844"/>
        <w:gridCol w:w="200"/>
        <w:gridCol w:w="900"/>
        <w:gridCol w:w="4229"/>
      </w:tblGrid>
      <w:tr w:rsidR="00CA5547" w:rsidRPr="00B845AF" w14:paraId="751C21AB" w14:textId="77777777" w:rsidTr="00835632">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7D45435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
          <w:p w14:paraId="6535FC8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6324EA34"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shd w:val="clear" w:color="auto" w:fill="A6A6A6"/>
          </w:tcPr>
          <w:p w14:paraId="1A39CB13" w14:textId="77777777" w:rsidR="00CA5547" w:rsidRPr="00B845AF" w:rsidRDefault="00CA5547" w:rsidP="00CA5547">
            <w:pPr>
              <w:spacing w:line="259" w:lineRule="auto"/>
              <w:ind w:right="20"/>
              <w:jc w:val="center"/>
              <w:rPr>
                <w:rFonts w:asciiTheme="minorHAnsi" w:hAnsiTheme="minorHAnsi" w:cstheme="minorHAnsi"/>
              </w:rPr>
            </w:pPr>
            <w:r w:rsidRPr="00B845AF">
              <w:rPr>
                <w:rFonts w:asciiTheme="minorHAnsi" w:hAnsiTheme="minorHAnsi" w:cstheme="minorHAnsi"/>
                <w:b/>
                <w:sz w:val="16"/>
              </w:rPr>
              <w:t xml:space="preserve">Binding </w:t>
            </w:r>
          </w:p>
        </w:tc>
        <w:tc>
          <w:tcPr>
            <w:tcW w:w="4229" w:type="dxa"/>
            <w:tcBorders>
              <w:top w:val="single" w:sz="4" w:space="0" w:color="000000"/>
              <w:left w:val="single" w:sz="4" w:space="0" w:color="000000"/>
              <w:bottom w:val="single" w:sz="4" w:space="0" w:color="000000"/>
              <w:right w:val="single" w:sz="4" w:space="0" w:color="000000"/>
            </w:tcBorders>
            <w:shd w:val="clear" w:color="auto" w:fill="A6A6A6"/>
          </w:tcPr>
          <w:p w14:paraId="363046E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5BA07B37"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5344879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0712B06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7306459E"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52A9B54F"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539D7BB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0B37F146" w14:textId="77777777" w:rsidTr="00835632">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6A3D55B" w14:textId="77777777" w:rsidR="00CA5547" w:rsidRPr="00B845AF" w:rsidRDefault="00CA5547" w:rsidP="00CA5547">
            <w:pPr>
              <w:spacing w:line="259" w:lineRule="auto"/>
              <w:ind w:right="9"/>
              <w:rPr>
                <w:rFonts w:asciiTheme="minorHAnsi" w:hAnsiTheme="minorHAnsi" w:cstheme="minorHAnsi"/>
              </w:rPr>
            </w:pPr>
            <w:r w:rsidRPr="00B845AF">
              <w:rPr>
                <w:rFonts w:asciiTheme="minorHAnsi" w:hAnsiTheme="minorHAnsi" w:cstheme="minorHAnsi"/>
                <w:sz w:val="16"/>
              </w:rPr>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463CDED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283EF08C"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shd w:val="clear" w:color="auto" w:fill="FDE9D9"/>
          </w:tcPr>
          <w:p w14:paraId="119EF50B"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9" w:type="dxa"/>
            <w:tcBorders>
              <w:top w:val="single" w:sz="4" w:space="0" w:color="000000"/>
              <w:left w:val="single" w:sz="4" w:space="0" w:color="000000"/>
              <w:bottom w:val="single" w:sz="4" w:space="0" w:color="000000"/>
              <w:right w:val="single" w:sz="4" w:space="0" w:color="000000"/>
            </w:tcBorders>
            <w:shd w:val="clear" w:color="auto" w:fill="FDE9D9"/>
          </w:tcPr>
          <w:p w14:paraId="1A2B53B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6F957B17" w14:textId="77777777" w:rsidTr="00835632">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7C2FB0B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
          <w:p w14:paraId="4C9B55B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
          <w:p w14:paraId="7E34236B" w14:textId="77777777" w:rsidR="00CA5547" w:rsidRPr="00B845AF" w:rsidRDefault="00CA5547" w:rsidP="00CA5547">
            <w:pPr>
              <w:spacing w:after="160" w:line="259" w:lineRule="auto"/>
              <w:rPr>
                <w:rFonts w:asciiTheme="minorHAnsi" w:hAnsiTheme="minorHAnsi" w:cstheme="minorHAnsi"/>
              </w:rPr>
            </w:pPr>
          </w:p>
        </w:tc>
        <w:tc>
          <w:tcPr>
            <w:tcW w:w="900" w:type="dxa"/>
            <w:vMerge w:val="restart"/>
            <w:tcBorders>
              <w:top w:val="single" w:sz="4" w:space="0" w:color="000000"/>
              <w:left w:val="single" w:sz="4" w:space="0" w:color="000000"/>
              <w:bottom w:val="single" w:sz="8" w:space="0" w:color="000000"/>
              <w:right w:val="single" w:sz="4" w:space="0" w:color="000000"/>
            </w:tcBorders>
          </w:tcPr>
          <w:p w14:paraId="313FCD30"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9" w:type="dxa"/>
            <w:vMerge w:val="restart"/>
            <w:tcBorders>
              <w:top w:val="single" w:sz="4" w:space="0" w:color="000000"/>
              <w:left w:val="single" w:sz="4" w:space="0" w:color="000000"/>
              <w:bottom w:val="single" w:sz="8" w:space="0" w:color="000000"/>
              <w:right w:val="single" w:sz="4" w:space="0" w:color="000000"/>
            </w:tcBorders>
          </w:tcPr>
          <w:p w14:paraId="77AF741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Key WCPFC Species.</w:t>
            </w:r>
          </w:p>
          <w:p w14:paraId="2105856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For each species taken in the set, PROVIDE the SPECIES CODE</w:t>
            </w:r>
          </w:p>
          <w:p w14:paraId="6BDB7B6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according to the FAO standard species code list, including</w:t>
            </w:r>
          </w:p>
          <w:p w14:paraId="5E195CEE"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cetaceans in accordance with CMM 2024-07, and other</w:t>
            </w:r>
          </w:p>
          <w:p w14:paraId="0E0EF9E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species as determined by the Commission.</w:t>
            </w:r>
          </w:p>
        </w:tc>
      </w:tr>
      <w:tr w:rsidR="00CA5547" w:rsidRPr="00B845AF" w14:paraId="05243F28" w14:textId="77777777" w:rsidTr="00835632">
        <w:trPr>
          <w:trHeight w:val="202"/>
        </w:trPr>
        <w:tc>
          <w:tcPr>
            <w:tcW w:w="0" w:type="auto"/>
            <w:vMerge/>
            <w:tcBorders>
              <w:top w:val="nil"/>
              <w:left w:val="single" w:sz="4" w:space="0" w:color="000000"/>
              <w:bottom w:val="nil"/>
              <w:right w:val="single" w:sz="4" w:space="0" w:color="000000"/>
            </w:tcBorders>
          </w:tcPr>
          <w:p w14:paraId="54A00456" w14:textId="77777777" w:rsidR="00CA5547" w:rsidRPr="00B845AF" w:rsidRDefault="00CA5547" w:rsidP="00CA5547">
            <w:pPr>
              <w:spacing w:after="160" w:line="259" w:lineRule="auto"/>
              <w:rPr>
                <w:rFonts w:asciiTheme="minorHAnsi" w:hAnsiTheme="minorHAnsi" w:cstheme="minorHAnsi"/>
              </w:rPr>
            </w:pPr>
          </w:p>
        </w:tc>
        <w:tc>
          <w:tcPr>
            <w:tcW w:w="279" w:type="dxa"/>
            <w:vMerge w:val="restart"/>
            <w:tcBorders>
              <w:top w:val="nil"/>
              <w:left w:val="single" w:sz="4" w:space="0" w:color="000000"/>
              <w:bottom w:val="single" w:sz="8" w:space="0" w:color="000000"/>
              <w:right w:val="single" w:sz="4" w:space="0" w:color="000000"/>
            </w:tcBorders>
            <w:vAlign w:val="bottom"/>
          </w:tcPr>
          <w:p w14:paraId="19D32F2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
          <w:p w14:paraId="55C407A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
          <w:p w14:paraId="5C66D63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FAO Code </w:t>
            </w:r>
          </w:p>
        </w:tc>
        <w:tc>
          <w:tcPr>
            <w:tcW w:w="0" w:type="auto"/>
            <w:vMerge/>
            <w:tcBorders>
              <w:top w:val="nil"/>
              <w:left w:val="single" w:sz="4" w:space="0" w:color="000000"/>
              <w:bottom w:val="nil"/>
              <w:right w:val="single" w:sz="4" w:space="0" w:color="000000"/>
            </w:tcBorders>
          </w:tcPr>
          <w:p w14:paraId="703473B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748F44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4CF05F4" w14:textId="77777777" w:rsidR="00CA5547" w:rsidRPr="00B845AF" w:rsidRDefault="00CA5547" w:rsidP="00CA5547">
            <w:pPr>
              <w:spacing w:after="160" w:line="259" w:lineRule="auto"/>
              <w:rPr>
                <w:rFonts w:asciiTheme="minorHAnsi" w:hAnsiTheme="minorHAnsi" w:cstheme="minorHAnsi"/>
              </w:rPr>
            </w:pPr>
          </w:p>
        </w:tc>
      </w:tr>
      <w:tr w:rsidR="00CA5547" w:rsidRPr="00B845AF" w14:paraId="6D131F1F" w14:textId="77777777" w:rsidTr="00835632">
        <w:trPr>
          <w:trHeight w:val="208"/>
        </w:trPr>
        <w:tc>
          <w:tcPr>
            <w:tcW w:w="0" w:type="auto"/>
            <w:vMerge/>
            <w:tcBorders>
              <w:top w:val="nil"/>
              <w:left w:val="single" w:sz="4" w:space="0" w:color="000000"/>
              <w:bottom w:val="nil"/>
              <w:right w:val="single" w:sz="4" w:space="0" w:color="000000"/>
            </w:tcBorders>
          </w:tcPr>
          <w:p w14:paraId="5A97890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2705418"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2A56D6F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albacore (</w:t>
            </w:r>
            <w:r w:rsidRPr="00B845AF">
              <w:rPr>
                <w:rFonts w:asciiTheme="minorHAnsi" w:hAnsiTheme="minorHAnsi" w:cstheme="minorHAnsi"/>
                <w:i/>
                <w:color w:val="0000FF"/>
                <w:sz w:val="16"/>
              </w:rPr>
              <w:t>Thunnus alalunga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080943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ALB </w:t>
            </w:r>
          </w:p>
        </w:tc>
        <w:tc>
          <w:tcPr>
            <w:tcW w:w="0" w:type="auto"/>
            <w:vMerge/>
            <w:tcBorders>
              <w:top w:val="nil"/>
              <w:left w:val="single" w:sz="4" w:space="0" w:color="000000"/>
              <w:bottom w:val="nil"/>
              <w:right w:val="single" w:sz="4" w:space="0" w:color="000000"/>
            </w:tcBorders>
          </w:tcPr>
          <w:p w14:paraId="3FC23F4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A03072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135192A" w14:textId="77777777" w:rsidR="00CA5547" w:rsidRPr="00B845AF" w:rsidRDefault="00CA5547" w:rsidP="00CA5547">
            <w:pPr>
              <w:spacing w:after="160" w:line="259" w:lineRule="auto"/>
              <w:rPr>
                <w:rFonts w:asciiTheme="minorHAnsi" w:hAnsiTheme="minorHAnsi" w:cstheme="minorHAnsi"/>
              </w:rPr>
            </w:pPr>
          </w:p>
        </w:tc>
      </w:tr>
      <w:tr w:rsidR="00CA5547" w:rsidRPr="00B845AF" w14:paraId="4EF56553" w14:textId="77777777" w:rsidTr="00835632">
        <w:trPr>
          <w:trHeight w:val="204"/>
        </w:trPr>
        <w:tc>
          <w:tcPr>
            <w:tcW w:w="0" w:type="auto"/>
            <w:vMerge/>
            <w:tcBorders>
              <w:top w:val="nil"/>
              <w:left w:val="single" w:sz="4" w:space="0" w:color="000000"/>
              <w:bottom w:val="nil"/>
              <w:right w:val="single" w:sz="4" w:space="0" w:color="000000"/>
            </w:tcBorders>
          </w:tcPr>
          <w:p w14:paraId="119DD151"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E73C267"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9F5C92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bigeye (</w:t>
            </w:r>
            <w:r w:rsidRPr="00B845AF">
              <w:rPr>
                <w:rFonts w:asciiTheme="minorHAnsi" w:hAnsiTheme="minorHAnsi" w:cstheme="minorHAnsi"/>
                <w:i/>
                <w:color w:val="0000FF"/>
                <w:sz w:val="16"/>
              </w:rPr>
              <w:t>Thunnus obesus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533A29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BET </w:t>
            </w:r>
          </w:p>
        </w:tc>
        <w:tc>
          <w:tcPr>
            <w:tcW w:w="0" w:type="auto"/>
            <w:vMerge/>
            <w:tcBorders>
              <w:top w:val="nil"/>
              <w:left w:val="single" w:sz="4" w:space="0" w:color="000000"/>
              <w:bottom w:val="nil"/>
              <w:right w:val="single" w:sz="4" w:space="0" w:color="000000"/>
            </w:tcBorders>
          </w:tcPr>
          <w:p w14:paraId="78F102C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1052FB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F035C36" w14:textId="77777777" w:rsidR="00CA5547" w:rsidRPr="00B845AF" w:rsidRDefault="00CA5547" w:rsidP="00CA5547">
            <w:pPr>
              <w:spacing w:after="160" w:line="259" w:lineRule="auto"/>
              <w:rPr>
                <w:rFonts w:asciiTheme="minorHAnsi" w:hAnsiTheme="minorHAnsi" w:cstheme="minorHAnsi"/>
              </w:rPr>
            </w:pPr>
          </w:p>
        </w:tc>
      </w:tr>
      <w:tr w:rsidR="00CA5547" w:rsidRPr="00B845AF" w14:paraId="43FC83C8" w14:textId="77777777" w:rsidTr="00835632">
        <w:trPr>
          <w:trHeight w:val="206"/>
        </w:trPr>
        <w:tc>
          <w:tcPr>
            <w:tcW w:w="0" w:type="auto"/>
            <w:vMerge/>
            <w:tcBorders>
              <w:top w:val="nil"/>
              <w:left w:val="single" w:sz="4" w:space="0" w:color="000000"/>
              <w:bottom w:val="nil"/>
              <w:right w:val="single" w:sz="4" w:space="0" w:color="000000"/>
            </w:tcBorders>
          </w:tcPr>
          <w:p w14:paraId="373CF59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8A6BD42"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FB75C2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skipjack (</w:t>
            </w:r>
            <w:r w:rsidRPr="00B845AF">
              <w:rPr>
                <w:rFonts w:asciiTheme="minorHAnsi" w:hAnsiTheme="minorHAnsi" w:cstheme="minorHAnsi"/>
                <w:i/>
                <w:color w:val="0000FF"/>
                <w:sz w:val="16"/>
              </w:rPr>
              <w:t>Katsuwonus pelamis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85803F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SKJ </w:t>
            </w:r>
          </w:p>
        </w:tc>
        <w:tc>
          <w:tcPr>
            <w:tcW w:w="0" w:type="auto"/>
            <w:vMerge/>
            <w:tcBorders>
              <w:top w:val="nil"/>
              <w:left w:val="single" w:sz="4" w:space="0" w:color="000000"/>
              <w:bottom w:val="nil"/>
              <w:right w:val="single" w:sz="4" w:space="0" w:color="000000"/>
            </w:tcBorders>
          </w:tcPr>
          <w:p w14:paraId="139CD78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30408E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CD5DFEE" w14:textId="77777777" w:rsidR="00CA5547" w:rsidRPr="00B845AF" w:rsidRDefault="00CA5547" w:rsidP="00CA5547">
            <w:pPr>
              <w:spacing w:after="160" w:line="259" w:lineRule="auto"/>
              <w:rPr>
                <w:rFonts w:asciiTheme="minorHAnsi" w:hAnsiTheme="minorHAnsi" w:cstheme="minorHAnsi"/>
              </w:rPr>
            </w:pPr>
          </w:p>
        </w:tc>
      </w:tr>
      <w:tr w:rsidR="00CA5547" w:rsidRPr="00B845AF" w14:paraId="298AE29E" w14:textId="77777777" w:rsidTr="00835632">
        <w:trPr>
          <w:trHeight w:val="207"/>
        </w:trPr>
        <w:tc>
          <w:tcPr>
            <w:tcW w:w="0" w:type="auto"/>
            <w:vMerge/>
            <w:tcBorders>
              <w:top w:val="nil"/>
              <w:left w:val="single" w:sz="4" w:space="0" w:color="000000"/>
              <w:bottom w:val="nil"/>
              <w:right w:val="single" w:sz="4" w:space="0" w:color="000000"/>
            </w:tcBorders>
          </w:tcPr>
          <w:p w14:paraId="495863BA"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EF6A8C4"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7B54B0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yellowfin (</w:t>
            </w:r>
            <w:r w:rsidRPr="00B845AF">
              <w:rPr>
                <w:rFonts w:asciiTheme="minorHAnsi" w:hAnsiTheme="minorHAnsi" w:cstheme="minorHAnsi"/>
                <w:i/>
                <w:color w:val="0000FF"/>
                <w:sz w:val="16"/>
              </w:rPr>
              <w:t>Thunnus albacares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10B637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YFT </w:t>
            </w:r>
          </w:p>
        </w:tc>
        <w:tc>
          <w:tcPr>
            <w:tcW w:w="0" w:type="auto"/>
            <w:vMerge/>
            <w:tcBorders>
              <w:top w:val="nil"/>
              <w:left w:val="single" w:sz="4" w:space="0" w:color="000000"/>
              <w:bottom w:val="nil"/>
              <w:right w:val="single" w:sz="4" w:space="0" w:color="000000"/>
            </w:tcBorders>
          </w:tcPr>
          <w:p w14:paraId="6CF3C0F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E3EC3C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8E9B9D5" w14:textId="77777777" w:rsidR="00CA5547" w:rsidRPr="00B845AF" w:rsidRDefault="00CA5547" w:rsidP="00CA5547">
            <w:pPr>
              <w:spacing w:after="160" w:line="259" w:lineRule="auto"/>
              <w:rPr>
                <w:rFonts w:asciiTheme="minorHAnsi" w:hAnsiTheme="minorHAnsi" w:cstheme="minorHAnsi"/>
              </w:rPr>
            </w:pPr>
          </w:p>
        </w:tc>
      </w:tr>
      <w:tr w:rsidR="00CA5547" w:rsidRPr="00B845AF" w14:paraId="0B010939" w14:textId="77777777" w:rsidTr="00835632">
        <w:trPr>
          <w:trHeight w:val="204"/>
        </w:trPr>
        <w:tc>
          <w:tcPr>
            <w:tcW w:w="0" w:type="auto"/>
            <w:vMerge/>
            <w:tcBorders>
              <w:top w:val="nil"/>
              <w:left w:val="single" w:sz="4" w:space="0" w:color="000000"/>
              <w:bottom w:val="nil"/>
              <w:right w:val="single" w:sz="4" w:space="0" w:color="000000"/>
            </w:tcBorders>
          </w:tcPr>
          <w:p w14:paraId="502490C1"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5D20F49"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06A12ED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striped marlin (</w:t>
            </w:r>
            <w:r w:rsidRPr="00B845AF">
              <w:rPr>
                <w:rFonts w:asciiTheme="minorHAnsi" w:hAnsiTheme="minorHAnsi" w:cstheme="minorHAnsi"/>
                <w:i/>
                <w:color w:val="0000FF"/>
                <w:sz w:val="16"/>
              </w:rPr>
              <w:t>Tetrapturus audax</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08E1D2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MLS </w:t>
            </w:r>
          </w:p>
        </w:tc>
        <w:tc>
          <w:tcPr>
            <w:tcW w:w="0" w:type="auto"/>
            <w:vMerge/>
            <w:tcBorders>
              <w:top w:val="nil"/>
              <w:left w:val="single" w:sz="4" w:space="0" w:color="000000"/>
              <w:bottom w:val="nil"/>
              <w:right w:val="single" w:sz="4" w:space="0" w:color="000000"/>
            </w:tcBorders>
          </w:tcPr>
          <w:p w14:paraId="1702675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242872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D471517" w14:textId="77777777" w:rsidR="00CA5547" w:rsidRPr="00B845AF" w:rsidRDefault="00CA5547" w:rsidP="00CA5547">
            <w:pPr>
              <w:spacing w:after="160" w:line="259" w:lineRule="auto"/>
              <w:rPr>
                <w:rFonts w:asciiTheme="minorHAnsi" w:hAnsiTheme="minorHAnsi" w:cstheme="minorHAnsi"/>
              </w:rPr>
            </w:pPr>
          </w:p>
        </w:tc>
      </w:tr>
      <w:tr w:rsidR="00CA5547" w:rsidRPr="00B845AF" w14:paraId="41282976" w14:textId="77777777" w:rsidTr="00835632">
        <w:trPr>
          <w:trHeight w:val="206"/>
        </w:trPr>
        <w:tc>
          <w:tcPr>
            <w:tcW w:w="0" w:type="auto"/>
            <w:vMerge/>
            <w:tcBorders>
              <w:top w:val="nil"/>
              <w:left w:val="single" w:sz="4" w:space="0" w:color="000000"/>
              <w:bottom w:val="nil"/>
              <w:right w:val="single" w:sz="4" w:space="0" w:color="000000"/>
            </w:tcBorders>
          </w:tcPr>
          <w:p w14:paraId="41CB787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5D9663E"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7034196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blue marlin (</w:t>
            </w:r>
            <w:r w:rsidRPr="00B845AF">
              <w:rPr>
                <w:rFonts w:asciiTheme="minorHAnsi" w:hAnsiTheme="minorHAnsi" w:cstheme="minorHAnsi"/>
                <w:i/>
                <w:color w:val="0000FF"/>
                <w:sz w:val="16"/>
              </w:rPr>
              <w:t>Makaira mazara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9BFB68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BUM </w:t>
            </w:r>
          </w:p>
        </w:tc>
        <w:tc>
          <w:tcPr>
            <w:tcW w:w="0" w:type="auto"/>
            <w:vMerge/>
            <w:tcBorders>
              <w:top w:val="nil"/>
              <w:left w:val="single" w:sz="4" w:space="0" w:color="000000"/>
              <w:bottom w:val="nil"/>
              <w:right w:val="single" w:sz="4" w:space="0" w:color="000000"/>
            </w:tcBorders>
          </w:tcPr>
          <w:p w14:paraId="6ACA036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2F06BC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C631BA4" w14:textId="77777777" w:rsidR="00CA5547" w:rsidRPr="00B845AF" w:rsidRDefault="00CA5547" w:rsidP="00CA5547">
            <w:pPr>
              <w:spacing w:after="160" w:line="259" w:lineRule="auto"/>
              <w:rPr>
                <w:rFonts w:asciiTheme="minorHAnsi" w:hAnsiTheme="minorHAnsi" w:cstheme="minorHAnsi"/>
              </w:rPr>
            </w:pPr>
          </w:p>
        </w:tc>
      </w:tr>
      <w:tr w:rsidR="00CA5547" w:rsidRPr="00B845AF" w14:paraId="3DB6F0DE" w14:textId="77777777" w:rsidTr="00835632">
        <w:trPr>
          <w:trHeight w:val="204"/>
        </w:trPr>
        <w:tc>
          <w:tcPr>
            <w:tcW w:w="0" w:type="auto"/>
            <w:vMerge/>
            <w:tcBorders>
              <w:top w:val="nil"/>
              <w:left w:val="single" w:sz="4" w:space="0" w:color="000000"/>
              <w:bottom w:val="nil"/>
              <w:right w:val="single" w:sz="4" w:space="0" w:color="000000"/>
            </w:tcBorders>
          </w:tcPr>
          <w:p w14:paraId="3CCB674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245558C"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18EFBE6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black marlin (</w:t>
            </w:r>
            <w:r w:rsidRPr="00B845AF">
              <w:rPr>
                <w:rFonts w:asciiTheme="minorHAnsi" w:hAnsiTheme="minorHAnsi" w:cstheme="minorHAnsi"/>
                <w:i/>
                <w:color w:val="0000FF"/>
                <w:sz w:val="16"/>
              </w:rPr>
              <w:t>Makaira indica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4067D6B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BLM </w:t>
            </w:r>
          </w:p>
        </w:tc>
        <w:tc>
          <w:tcPr>
            <w:tcW w:w="0" w:type="auto"/>
            <w:vMerge/>
            <w:tcBorders>
              <w:top w:val="nil"/>
              <w:left w:val="single" w:sz="4" w:space="0" w:color="000000"/>
              <w:bottom w:val="nil"/>
              <w:right w:val="single" w:sz="4" w:space="0" w:color="000000"/>
            </w:tcBorders>
          </w:tcPr>
          <w:p w14:paraId="6AA458B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DECF79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6E441A3" w14:textId="77777777" w:rsidR="00CA5547" w:rsidRPr="00B845AF" w:rsidRDefault="00CA5547" w:rsidP="00CA5547">
            <w:pPr>
              <w:spacing w:after="160" w:line="259" w:lineRule="auto"/>
              <w:rPr>
                <w:rFonts w:asciiTheme="minorHAnsi" w:hAnsiTheme="minorHAnsi" w:cstheme="minorHAnsi"/>
              </w:rPr>
            </w:pPr>
          </w:p>
        </w:tc>
      </w:tr>
      <w:tr w:rsidR="00CA5547" w:rsidRPr="00B845AF" w14:paraId="4F6780A8" w14:textId="77777777" w:rsidTr="00835632">
        <w:trPr>
          <w:trHeight w:val="206"/>
        </w:trPr>
        <w:tc>
          <w:tcPr>
            <w:tcW w:w="0" w:type="auto"/>
            <w:vMerge/>
            <w:tcBorders>
              <w:top w:val="nil"/>
              <w:left w:val="single" w:sz="4" w:space="0" w:color="000000"/>
              <w:bottom w:val="nil"/>
              <w:right w:val="single" w:sz="4" w:space="0" w:color="000000"/>
            </w:tcBorders>
          </w:tcPr>
          <w:p w14:paraId="2E4348A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646AD2B"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06E328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swordfish (</w:t>
            </w:r>
            <w:r w:rsidRPr="00B845AF">
              <w:rPr>
                <w:rFonts w:asciiTheme="minorHAnsi" w:hAnsiTheme="minorHAnsi" w:cstheme="minorHAnsi"/>
                <w:i/>
                <w:color w:val="0000FF"/>
                <w:sz w:val="16"/>
              </w:rPr>
              <w:t>Xiphias gladius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E95FC3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SWO </w:t>
            </w:r>
          </w:p>
        </w:tc>
        <w:tc>
          <w:tcPr>
            <w:tcW w:w="0" w:type="auto"/>
            <w:vMerge/>
            <w:tcBorders>
              <w:top w:val="nil"/>
              <w:left w:val="single" w:sz="4" w:space="0" w:color="000000"/>
              <w:bottom w:val="nil"/>
              <w:right w:val="single" w:sz="4" w:space="0" w:color="000000"/>
            </w:tcBorders>
          </w:tcPr>
          <w:p w14:paraId="3AFA0EF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61D080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2C9B668" w14:textId="77777777" w:rsidR="00CA5547" w:rsidRPr="00B845AF" w:rsidRDefault="00CA5547" w:rsidP="00CA5547">
            <w:pPr>
              <w:spacing w:after="160" w:line="259" w:lineRule="auto"/>
              <w:rPr>
                <w:rFonts w:asciiTheme="minorHAnsi" w:hAnsiTheme="minorHAnsi" w:cstheme="minorHAnsi"/>
              </w:rPr>
            </w:pPr>
          </w:p>
        </w:tc>
      </w:tr>
      <w:tr w:rsidR="00CA5547" w:rsidRPr="00B845AF" w14:paraId="4428B265" w14:textId="77777777" w:rsidTr="00835632">
        <w:trPr>
          <w:trHeight w:val="204"/>
        </w:trPr>
        <w:tc>
          <w:tcPr>
            <w:tcW w:w="0" w:type="auto"/>
            <w:vMerge/>
            <w:tcBorders>
              <w:top w:val="nil"/>
              <w:left w:val="single" w:sz="4" w:space="0" w:color="000000"/>
              <w:bottom w:val="nil"/>
              <w:right w:val="single" w:sz="4" w:space="0" w:color="000000"/>
            </w:tcBorders>
          </w:tcPr>
          <w:p w14:paraId="50BF94C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0BC92A1"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D5204A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shortbill spearfish (</w:t>
            </w:r>
            <w:r w:rsidRPr="00B845AF">
              <w:rPr>
                <w:rFonts w:asciiTheme="minorHAnsi" w:hAnsiTheme="minorHAnsi" w:cstheme="minorHAnsi"/>
                <w:i/>
                <w:color w:val="0000FF"/>
                <w:sz w:val="16"/>
              </w:rPr>
              <w:t xml:space="preserve">Tetrapturus </w:t>
            </w:r>
            <w:proofErr w:type="spellStart"/>
            <w:r w:rsidRPr="00B845AF">
              <w:rPr>
                <w:rFonts w:asciiTheme="minorHAnsi" w:hAnsiTheme="minorHAnsi" w:cstheme="minorHAnsi"/>
                <w:i/>
                <w:color w:val="0000FF"/>
                <w:sz w:val="16"/>
              </w:rPr>
              <w:t>angustirostris</w:t>
            </w:r>
            <w:proofErr w:type="spellEnd"/>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E885BA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SSP </w:t>
            </w:r>
          </w:p>
        </w:tc>
        <w:tc>
          <w:tcPr>
            <w:tcW w:w="0" w:type="auto"/>
            <w:vMerge/>
            <w:tcBorders>
              <w:top w:val="nil"/>
              <w:left w:val="single" w:sz="4" w:space="0" w:color="000000"/>
              <w:bottom w:val="nil"/>
              <w:right w:val="single" w:sz="4" w:space="0" w:color="000000"/>
            </w:tcBorders>
          </w:tcPr>
          <w:p w14:paraId="20319E6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A96320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F0B00C0" w14:textId="77777777" w:rsidR="00CA5547" w:rsidRPr="00B845AF" w:rsidRDefault="00CA5547" w:rsidP="00CA5547">
            <w:pPr>
              <w:spacing w:after="160" w:line="259" w:lineRule="auto"/>
              <w:rPr>
                <w:rFonts w:asciiTheme="minorHAnsi" w:hAnsiTheme="minorHAnsi" w:cstheme="minorHAnsi"/>
              </w:rPr>
            </w:pPr>
          </w:p>
        </w:tc>
      </w:tr>
      <w:tr w:rsidR="00CA5547" w:rsidRPr="00B845AF" w14:paraId="4073B103" w14:textId="77777777" w:rsidTr="00835632">
        <w:trPr>
          <w:trHeight w:val="206"/>
        </w:trPr>
        <w:tc>
          <w:tcPr>
            <w:tcW w:w="0" w:type="auto"/>
            <w:vMerge/>
            <w:tcBorders>
              <w:top w:val="nil"/>
              <w:left w:val="single" w:sz="4" w:space="0" w:color="000000"/>
              <w:bottom w:val="nil"/>
              <w:right w:val="single" w:sz="4" w:space="0" w:color="000000"/>
            </w:tcBorders>
          </w:tcPr>
          <w:p w14:paraId="6850B51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B3F27FC"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0EDF47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sailfish (</w:t>
            </w:r>
            <w:proofErr w:type="spellStart"/>
            <w:r w:rsidRPr="00B845AF">
              <w:rPr>
                <w:rFonts w:asciiTheme="minorHAnsi" w:hAnsiTheme="minorHAnsi" w:cstheme="minorHAnsi"/>
                <w:i/>
                <w:color w:val="0000FF"/>
                <w:sz w:val="16"/>
              </w:rPr>
              <w:t>Istiophorus</w:t>
            </w:r>
            <w:proofErr w:type="spellEnd"/>
            <w:r w:rsidRPr="00B845AF">
              <w:rPr>
                <w:rFonts w:asciiTheme="minorHAnsi" w:hAnsiTheme="minorHAnsi" w:cstheme="minorHAnsi"/>
                <w:i/>
                <w:color w:val="0000FF"/>
                <w:sz w:val="16"/>
              </w:rPr>
              <w:t xml:space="preserve"> </w:t>
            </w:r>
            <w:proofErr w:type="spellStart"/>
            <w:r w:rsidRPr="00B845AF">
              <w:rPr>
                <w:rFonts w:asciiTheme="minorHAnsi" w:hAnsiTheme="minorHAnsi" w:cstheme="minorHAnsi"/>
                <w:i/>
                <w:color w:val="0000FF"/>
                <w:sz w:val="16"/>
              </w:rPr>
              <w:t>platypterus</w:t>
            </w:r>
            <w:proofErr w:type="spellEnd"/>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03C783A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SFA </w:t>
            </w:r>
          </w:p>
        </w:tc>
        <w:tc>
          <w:tcPr>
            <w:tcW w:w="0" w:type="auto"/>
            <w:vMerge/>
            <w:tcBorders>
              <w:top w:val="nil"/>
              <w:left w:val="single" w:sz="4" w:space="0" w:color="000000"/>
              <w:bottom w:val="nil"/>
              <w:right w:val="single" w:sz="4" w:space="0" w:color="000000"/>
            </w:tcBorders>
          </w:tcPr>
          <w:p w14:paraId="1813113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E871EA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0AFB9B3" w14:textId="77777777" w:rsidR="00CA5547" w:rsidRPr="00B845AF" w:rsidRDefault="00CA5547" w:rsidP="00CA5547">
            <w:pPr>
              <w:spacing w:after="160" w:line="259" w:lineRule="auto"/>
              <w:rPr>
                <w:rFonts w:asciiTheme="minorHAnsi" w:hAnsiTheme="minorHAnsi" w:cstheme="minorHAnsi"/>
              </w:rPr>
            </w:pPr>
          </w:p>
        </w:tc>
      </w:tr>
      <w:tr w:rsidR="00CA5547" w:rsidRPr="00B845AF" w14:paraId="75A0B0A3" w14:textId="77777777" w:rsidTr="00835632">
        <w:trPr>
          <w:trHeight w:val="204"/>
        </w:trPr>
        <w:tc>
          <w:tcPr>
            <w:tcW w:w="0" w:type="auto"/>
            <w:vMerge/>
            <w:tcBorders>
              <w:top w:val="nil"/>
              <w:left w:val="single" w:sz="4" w:space="0" w:color="000000"/>
              <w:bottom w:val="nil"/>
              <w:right w:val="single" w:sz="4" w:space="0" w:color="000000"/>
            </w:tcBorders>
          </w:tcPr>
          <w:p w14:paraId="315AA7A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DDE1976"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C83D0B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
          <w:p w14:paraId="77EB825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BSH </w:t>
            </w:r>
          </w:p>
        </w:tc>
        <w:tc>
          <w:tcPr>
            <w:tcW w:w="0" w:type="auto"/>
            <w:vMerge/>
            <w:tcBorders>
              <w:top w:val="nil"/>
              <w:left w:val="single" w:sz="4" w:space="0" w:color="000000"/>
              <w:bottom w:val="nil"/>
              <w:right w:val="single" w:sz="4" w:space="0" w:color="000000"/>
            </w:tcBorders>
          </w:tcPr>
          <w:p w14:paraId="20F4B08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625125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73E8C7F" w14:textId="77777777" w:rsidR="00CA5547" w:rsidRPr="00B845AF" w:rsidRDefault="00CA5547" w:rsidP="00CA5547">
            <w:pPr>
              <w:spacing w:after="160" w:line="259" w:lineRule="auto"/>
              <w:rPr>
                <w:rFonts w:asciiTheme="minorHAnsi" w:hAnsiTheme="minorHAnsi" w:cstheme="minorHAnsi"/>
              </w:rPr>
            </w:pPr>
          </w:p>
        </w:tc>
      </w:tr>
      <w:tr w:rsidR="00CA5547" w:rsidRPr="00B845AF" w14:paraId="69BF66A3" w14:textId="77777777" w:rsidTr="00835632">
        <w:trPr>
          <w:trHeight w:val="206"/>
        </w:trPr>
        <w:tc>
          <w:tcPr>
            <w:tcW w:w="0" w:type="auto"/>
            <w:vMerge/>
            <w:tcBorders>
              <w:top w:val="nil"/>
              <w:left w:val="single" w:sz="4" w:space="0" w:color="000000"/>
              <w:bottom w:val="nil"/>
              <w:right w:val="single" w:sz="4" w:space="0" w:color="000000"/>
            </w:tcBorders>
          </w:tcPr>
          <w:p w14:paraId="30A5488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FDBA7A0"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8BA7D6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
          <w:p w14:paraId="65693E1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FAL </w:t>
            </w:r>
          </w:p>
        </w:tc>
        <w:tc>
          <w:tcPr>
            <w:tcW w:w="0" w:type="auto"/>
            <w:vMerge/>
            <w:tcBorders>
              <w:top w:val="nil"/>
              <w:left w:val="single" w:sz="4" w:space="0" w:color="000000"/>
              <w:bottom w:val="nil"/>
              <w:right w:val="single" w:sz="4" w:space="0" w:color="000000"/>
            </w:tcBorders>
          </w:tcPr>
          <w:p w14:paraId="1180E81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9551A2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0D9AC99" w14:textId="77777777" w:rsidR="00CA5547" w:rsidRPr="00B845AF" w:rsidRDefault="00CA5547" w:rsidP="00CA5547">
            <w:pPr>
              <w:spacing w:after="160" w:line="259" w:lineRule="auto"/>
              <w:rPr>
                <w:rFonts w:asciiTheme="minorHAnsi" w:hAnsiTheme="minorHAnsi" w:cstheme="minorHAnsi"/>
              </w:rPr>
            </w:pPr>
          </w:p>
        </w:tc>
      </w:tr>
      <w:tr w:rsidR="00CA5547" w:rsidRPr="00B845AF" w14:paraId="644E04D2" w14:textId="77777777" w:rsidTr="00835632">
        <w:trPr>
          <w:trHeight w:val="204"/>
        </w:trPr>
        <w:tc>
          <w:tcPr>
            <w:tcW w:w="0" w:type="auto"/>
            <w:vMerge/>
            <w:tcBorders>
              <w:top w:val="nil"/>
              <w:left w:val="single" w:sz="4" w:space="0" w:color="000000"/>
              <w:bottom w:val="nil"/>
              <w:right w:val="single" w:sz="4" w:space="0" w:color="000000"/>
            </w:tcBorders>
          </w:tcPr>
          <w:p w14:paraId="6ED15B3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0A48127"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71FB95E6"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
          <w:p w14:paraId="5BB2859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OCS </w:t>
            </w:r>
          </w:p>
        </w:tc>
        <w:tc>
          <w:tcPr>
            <w:tcW w:w="0" w:type="auto"/>
            <w:vMerge/>
            <w:tcBorders>
              <w:top w:val="nil"/>
              <w:left w:val="single" w:sz="4" w:space="0" w:color="000000"/>
              <w:bottom w:val="nil"/>
              <w:right w:val="single" w:sz="4" w:space="0" w:color="000000"/>
            </w:tcBorders>
          </w:tcPr>
          <w:p w14:paraId="6ABB3D5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C2CB30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9DDFD5F" w14:textId="77777777" w:rsidR="00CA5547" w:rsidRPr="00B845AF" w:rsidRDefault="00CA5547" w:rsidP="00CA5547">
            <w:pPr>
              <w:spacing w:after="160" w:line="259" w:lineRule="auto"/>
              <w:rPr>
                <w:rFonts w:asciiTheme="minorHAnsi" w:hAnsiTheme="minorHAnsi" w:cstheme="minorHAnsi"/>
              </w:rPr>
            </w:pPr>
          </w:p>
        </w:tc>
      </w:tr>
      <w:tr w:rsidR="00CA5547" w:rsidRPr="00B845AF" w14:paraId="7153D344" w14:textId="77777777" w:rsidTr="00835632">
        <w:trPr>
          <w:trHeight w:val="206"/>
        </w:trPr>
        <w:tc>
          <w:tcPr>
            <w:tcW w:w="0" w:type="auto"/>
            <w:vMerge/>
            <w:tcBorders>
              <w:top w:val="nil"/>
              <w:left w:val="single" w:sz="4" w:space="0" w:color="000000"/>
              <w:bottom w:val="nil"/>
              <w:right w:val="single" w:sz="4" w:space="0" w:color="000000"/>
            </w:tcBorders>
          </w:tcPr>
          <w:p w14:paraId="201BC7E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4D1AE8E"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5B22672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
          <w:p w14:paraId="51DC671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MAK, SMA, LMA </w:t>
            </w:r>
          </w:p>
        </w:tc>
        <w:tc>
          <w:tcPr>
            <w:tcW w:w="0" w:type="auto"/>
            <w:vMerge/>
            <w:tcBorders>
              <w:top w:val="nil"/>
              <w:left w:val="single" w:sz="4" w:space="0" w:color="000000"/>
              <w:bottom w:val="nil"/>
              <w:right w:val="single" w:sz="4" w:space="0" w:color="000000"/>
            </w:tcBorders>
          </w:tcPr>
          <w:p w14:paraId="0F6C878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196E34F"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49B352D" w14:textId="77777777" w:rsidR="00CA5547" w:rsidRPr="00B845AF" w:rsidRDefault="00CA5547" w:rsidP="00CA5547">
            <w:pPr>
              <w:spacing w:after="160" w:line="259" w:lineRule="auto"/>
              <w:rPr>
                <w:rFonts w:asciiTheme="minorHAnsi" w:hAnsiTheme="minorHAnsi" w:cstheme="minorHAnsi"/>
              </w:rPr>
            </w:pPr>
          </w:p>
        </w:tc>
      </w:tr>
      <w:tr w:rsidR="00CA5547" w:rsidRPr="00B845AF" w14:paraId="3E932A1C" w14:textId="77777777" w:rsidTr="00835632">
        <w:trPr>
          <w:trHeight w:val="206"/>
        </w:trPr>
        <w:tc>
          <w:tcPr>
            <w:tcW w:w="0" w:type="auto"/>
            <w:vMerge/>
            <w:tcBorders>
              <w:top w:val="nil"/>
              <w:left w:val="single" w:sz="4" w:space="0" w:color="000000"/>
              <w:bottom w:val="nil"/>
              <w:right w:val="single" w:sz="4" w:space="0" w:color="000000"/>
            </w:tcBorders>
          </w:tcPr>
          <w:p w14:paraId="37DCC25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B17D647"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C84196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
          <w:p w14:paraId="02CEE2A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THR, ALV, PTH, BTH </w:t>
            </w:r>
          </w:p>
        </w:tc>
        <w:tc>
          <w:tcPr>
            <w:tcW w:w="0" w:type="auto"/>
            <w:vMerge/>
            <w:tcBorders>
              <w:top w:val="nil"/>
              <w:left w:val="single" w:sz="4" w:space="0" w:color="000000"/>
              <w:bottom w:val="nil"/>
              <w:right w:val="single" w:sz="4" w:space="0" w:color="000000"/>
            </w:tcBorders>
          </w:tcPr>
          <w:p w14:paraId="55D8F10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EA3C91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C66CB53" w14:textId="77777777" w:rsidR="00CA5547" w:rsidRPr="00B845AF" w:rsidRDefault="00CA5547" w:rsidP="00CA5547">
            <w:pPr>
              <w:spacing w:after="160" w:line="259" w:lineRule="auto"/>
              <w:rPr>
                <w:rFonts w:asciiTheme="minorHAnsi" w:hAnsiTheme="minorHAnsi" w:cstheme="minorHAnsi"/>
              </w:rPr>
            </w:pPr>
          </w:p>
        </w:tc>
      </w:tr>
      <w:tr w:rsidR="00CA5547" w:rsidRPr="00B845AF" w14:paraId="15DC2BBC" w14:textId="77777777" w:rsidTr="00835632">
        <w:trPr>
          <w:trHeight w:val="204"/>
        </w:trPr>
        <w:tc>
          <w:tcPr>
            <w:tcW w:w="0" w:type="auto"/>
            <w:vMerge/>
            <w:tcBorders>
              <w:top w:val="nil"/>
              <w:left w:val="single" w:sz="4" w:space="0" w:color="000000"/>
              <w:bottom w:val="nil"/>
              <w:right w:val="single" w:sz="4" w:space="0" w:color="000000"/>
            </w:tcBorders>
          </w:tcPr>
          <w:p w14:paraId="2EC350D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601D5DA"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5F75BC1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
          <w:p w14:paraId="42BD015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POR </w:t>
            </w:r>
          </w:p>
        </w:tc>
        <w:tc>
          <w:tcPr>
            <w:tcW w:w="0" w:type="auto"/>
            <w:vMerge/>
            <w:tcBorders>
              <w:top w:val="nil"/>
              <w:left w:val="single" w:sz="4" w:space="0" w:color="000000"/>
              <w:bottom w:val="nil"/>
              <w:right w:val="single" w:sz="4" w:space="0" w:color="000000"/>
            </w:tcBorders>
          </w:tcPr>
          <w:p w14:paraId="67EA2C2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DAD503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CEB9C69" w14:textId="77777777" w:rsidR="00CA5547" w:rsidRPr="00B845AF" w:rsidRDefault="00CA5547" w:rsidP="00CA5547">
            <w:pPr>
              <w:spacing w:after="160" w:line="259" w:lineRule="auto"/>
              <w:rPr>
                <w:rFonts w:asciiTheme="minorHAnsi" w:hAnsiTheme="minorHAnsi" w:cstheme="minorHAnsi"/>
              </w:rPr>
            </w:pPr>
          </w:p>
        </w:tc>
      </w:tr>
      <w:tr w:rsidR="00CA5547" w:rsidRPr="00B845AF" w14:paraId="361249F4" w14:textId="77777777" w:rsidTr="00835632">
        <w:trPr>
          <w:trHeight w:val="401"/>
        </w:trPr>
        <w:tc>
          <w:tcPr>
            <w:tcW w:w="0" w:type="auto"/>
            <w:vMerge/>
            <w:tcBorders>
              <w:top w:val="nil"/>
              <w:left w:val="single" w:sz="4" w:space="0" w:color="000000"/>
              <w:bottom w:val="nil"/>
              <w:right w:val="single" w:sz="4" w:space="0" w:color="000000"/>
            </w:tcBorders>
          </w:tcPr>
          <w:p w14:paraId="3A8678A1"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3CE8E35"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632594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
          <w:p w14:paraId="4498B4D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SPN, SPK, SPL, SPZ, SPQ, EUB  </w:t>
            </w:r>
          </w:p>
        </w:tc>
        <w:tc>
          <w:tcPr>
            <w:tcW w:w="0" w:type="auto"/>
            <w:vMerge/>
            <w:tcBorders>
              <w:top w:val="nil"/>
              <w:left w:val="single" w:sz="4" w:space="0" w:color="000000"/>
              <w:bottom w:val="nil"/>
              <w:right w:val="single" w:sz="4" w:space="0" w:color="000000"/>
            </w:tcBorders>
          </w:tcPr>
          <w:p w14:paraId="315E7C1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0CB4BF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22EBCEA" w14:textId="77777777" w:rsidR="00CA5547" w:rsidRPr="00B845AF" w:rsidRDefault="00CA5547" w:rsidP="00CA5547">
            <w:pPr>
              <w:spacing w:after="160" w:line="259" w:lineRule="auto"/>
              <w:rPr>
                <w:rFonts w:asciiTheme="minorHAnsi" w:hAnsiTheme="minorHAnsi" w:cstheme="minorHAnsi"/>
              </w:rPr>
            </w:pPr>
          </w:p>
        </w:tc>
      </w:tr>
      <w:tr w:rsidR="00CA5547" w:rsidRPr="00B845AF" w14:paraId="6AC04157" w14:textId="77777777" w:rsidTr="00835632">
        <w:trPr>
          <w:trHeight w:val="206"/>
        </w:trPr>
        <w:tc>
          <w:tcPr>
            <w:tcW w:w="0" w:type="auto"/>
            <w:vMerge/>
            <w:tcBorders>
              <w:top w:val="nil"/>
              <w:left w:val="single" w:sz="4" w:space="0" w:color="000000"/>
              <w:bottom w:val="nil"/>
              <w:right w:val="single" w:sz="4" w:space="0" w:color="000000"/>
            </w:tcBorders>
          </w:tcPr>
          <w:p w14:paraId="76ABF386"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DAA4C5F"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940B98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
          <w:p w14:paraId="531AEBF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RHN </w:t>
            </w:r>
          </w:p>
        </w:tc>
        <w:tc>
          <w:tcPr>
            <w:tcW w:w="0" w:type="auto"/>
            <w:vMerge/>
            <w:tcBorders>
              <w:top w:val="nil"/>
              <w:left w:val="single" w:sz="4" w:space="0" w:color="000000"/>
              <w:bottom w:val="nil"/>
              <w:right w:val="single" w:sz="4" w:space="0" w:color="000000"/>
            </w:tcBorders>
          </w:tcPr>
          <w:p w14:paraId="4ADABD0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4931AD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A78E399" w14:textId="77777777" w:rsidR="00CA5547" w:rsidRPr="00B845AF" w:rsidRDefault="00CA5547" w:rsidP="00CA5547">
            <w:pPr>
              <w:spacing w:after="160" w:line="259" w:lineRule="auto"/>
              <w:rPr>
                <w:rFonts w:asciiTheme="minorHAnsi" w:hAnsiTheme="minorHAnsi" w:cstheme="minorHAnsi"/>
              </w:rPr>
            </w:pPr>
          </w:p>
        </w:tc>
      </w:tr>
      <w:tr w:rsidR="00CA5547" w:rsidRPr="00B845AF" w14:paraId="43502876" w14:textId="77777777" w:rsidTr="00835632">
        <w:trPr>
          <w:trHeight w:val="209"/>
        </w:trPr>
        <w:tc>
          <w:tcPr>
            <w:tcW w:w="0" w:type="auto"/>
            <w:vMerge/>
            <w:tcBorders>
              <w:top w:val="nil"/>
              <w:left w:val="single" w:sz="4" w:space="0" w:color="000000"/>
              <w:bottom w:val="nil"/>
              <w:right w:val="single" w:sz="4" w:space="0" w:color="000000"/>
            </w:tcBorders>
          </w:tcPr>
          <w:p w14:paraId="6C97A1D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10296D69"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8" w:space="0" w:color="000000"/>
              <w:right w:val="single" w:sz="4" w:space="0" w:color="000000"/>
            </w:tcBorders>
          </w:tcPr>
          <w:p w14:paraId="20570B9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other species as determined by the Commission</w:t>
            </w:r>
            <w:r w:rsidRPr="00B845AF">
              <w:rPr>
                <w:rFonts w:asciiTheme="minorHAnsi" w:hAnsiTheme="minorHAnsi" w:cstheme="minorHAnsi"/>
                <w:color w:val="0000FF"/>
                <w:sz w:val="16"/>
                <w:vertAlign w:val="superscript"/>
              </w:rPr>
              <w:footnoteReference w:id="9"/>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8" w:space="0" w:color="000000"/>
              <w:right w:val="single" w:sz="4" w:space="0" w:color="000000"/>
            </w:tcBorders>
          </w:tcPr>
          <w:p w14:paraId="4665884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c>
          <w:tcPr>
            <w:tcW w:w="0" w:type="auto"/>
            <w:vMerge/>
            <w:tcBorders>
              <w:top w:val="nil"/>
              <w:left w:val="single" w:sz="4" w:space="0" w:color="000000"/>
              <w:bottom w:val="single" w:sz="8" w:space="0" w:color="000000"/>
              <w:right w:val="single" w:sz="4" w:space="0" w:color="000000"/>
            </w:tcBorders>
          </w:tcPr>
          <w:p w14:paraId="4029405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099626D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605BF844" w14:textId="77777777" w:rsidR="00CA5547" w:rsidRPr="00B845AF" w:rsidRDefault="00CA5547" w:rsidP="00CA5547">
            <w:pPr>
              <w:spacing w:after="160" w:line="259" w:lineRule="auto"/>
              <w:rPr>
                <w:rFonts w:asciiTheme="minorHAnsi" w:hAnsiTheme="minorHAnsi" w:cstheme="minorHAnsi"/>
              </w:rPr>
            </w:pPr>
          </w:p>
        </w:tc>
      </w:tr>
      <w:tr w:rsidR="00CA5547" w:rsidRPr="00B845AF" w14:paraId="0C55A41A" w14:textId="77777777" w:rsidTr="00835632">
        <w:trPr>
          <w:trHeight w:val="259"/>
        </w:trPr>
        <w:tc>
          <w:tcPr>
            <w:tcW w:w="0" w:type="auto"/>
            <w:vMerge/>
            <w:tcBorders>
              <w:top w:val="nil"/>
              <w:left w:val="single" w:sz="4" w:space="0" w:color="000000"/>
              <w:bottom w:val="single" w:sz="4" w:space="0" w:color="000000"/>
              <w:right w:val="single" w:sz="4" w:space="0" w:color="000000"/>
            </w:tcBorders>
          </w:tcPr>
          <w:p w14:paraId="752D15F3" w14:textId="77777777" w:rsidR="00CA5547" w:rsidRPr="00B845AF" w:rsidRDefault="00CA5547" w:rsidP="00CA5547">
            <w:pPr>
              <w:spacing w:after="160" w:line="259" w:lineRule="auto"/>
              <w:rPr>
                <w:rFonts w:asciiTheme="minorHAnsi" w:hAnsiTheme="minorHAnsi" w:cstheme="minorHAnsi"/>
              </w:rPr>
            </w:pPr>
          </w:p>
        </w:tc>
        <w:tc>
          <w:tcPr>
            <w:tcW w:w="6682" w:type="dxa"/>
            <w:gridSpan w:val="3"/>
            <w:tcBorders>
              <w:top w:val="single" w:sz="8" w:space="0" w:color="000000"/>
              <w:left w:val="single" w:sz="4" w:space="0" w:color="000000"/>
              <w:bottom w:val="single" w:sz="4" w:space="0" w:color="000000"/>
              <w:right w:val="nil"/>
            </w:tcBorders>
          </w:tcPr>
          <w:p w14:paraId="5DAFF85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42D84055"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8" w:space="0" w:color="000000"/>
              <w:left w:val="single" w:sz="4" w:space="0" w:color="000000"/>
              <w:bottom w:val="single" w:sz="4" w:space="0" w:color="000000"/>
              <w:right w:val="single" w:sz="4" w:space="0" w:color="000000"/>
            </w:tcBorders>
          </w:tcPr>
          <w:p w14:paraId="7D28E553"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 xml:space="preserve">NO </w:t>
            </w:r>
          </w:p>
        </w:tc>
        <w:tc>
          <w:tcPr>
            <w:tcW w:w="4229" w:type="dxa"/>
            <w:tcBorders>
              <w:top w:val="single" w:sz="8" w:space="0" w:color="000000"/>
              <w:left w:val="single" w:sz="4" w:space="0" w:color="000000"/>
              <w:bottom w:val="single" w:sz="4" w:space="0" w:color="000000"/>
              <w:right w:val="single" w:sz="4" w:space="0" w:color="000000"/>
            </w:tcBorders>
          </w:tcPr>
          <w:p w14:paraId="24F2A94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Other species </w:t>
            </w:r>
            <w:proofErr w:type="gramStart"/>
            <w:r w:rsidRPr="00B845AF">
              <w:rPr>
                <w:rFonts w:asciiTheme="minorHAnsi" w:hAnsiTheme="minorHAnsi" w:cstheme="minorHAnsi"/>
                <w:sz w:val="16"/>
              </w:rPr>
              <w:t>not</w:t>
            </w:r>
            <w:proofErr w:type="gramEnd"/>
            <w:r w:rsidRPr="00B845AF">
              <w:rPr>
                <w:rFonts w:asciiTheme="minorHAnsi" w:hAnsiTheme="minorHAnsi" w:cstheme="minorHAnsi"/>
                <w:sz w:val="16"/>
              </w:rPr>
              <w:t xml:space="preserve"> included in list of Key WCPFC species. </w:t>
            </w:r>
          </w:p>
        </w:tc>
      </w:tr>
      <w:tr w:rsidR="00CA5547" w:rsidRPr="00B845AF" w14:paraId="11B4D8E1" w14:textId="77777777" w:rsidTr="00835632">
        <w:trPr>
          <w:trHeight w:val="986"/>
        </w:trPr>
        <w:tc>
          <w:tcPr>
            <w:tcW w:w="1539" w:type="dxa"/>
            <w:tcBorders>
              <w:top w:val="single" w:sz="4" w:space="0" w:color="000000"/>
              <w:left w:val="single" w:sz="4" w:space="0" w:color="000000"/>
              <w:bottom w:val="single" w:sz="4" w:space="0" w:color="000000"/>
              <w:right w:val="single" w:sz="4" w:space="0" w:color="000000"/>
            </w:tcBorders>
          </w:tcPr>
          <w:p w14:paraId="4C85249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CATCH WEIGHT </w:t>
            </w:r>
          </w:p>
        </w:tc>
        <w:tc>
          <w:tcPr>
            <w:tcW w:w="6682" w:type="dxa"/>
            <w:gridSpan w:val="3"/>
            <w:tcBorders>
              <w:top w:val="single" w:sz="4" w:space="0" w:color="000000"/>
              <w:left w:val="single" w:sz="4" w:space="0" w:color="000000"/>
              <w:bottom w:val="single" w:sz="4" w:space="0" w:color="000000"/>
              <w:right w:val="nil"/>
            </w:tcBorders>
          </w:tcPr>
          <w:p w14:paraId="2ADA19C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Weight of fish caught per set (mt), for the key species to be reported to the </w:t>
            </w:r>
            <w:proofErr w:type="gramStart"/>
            <w:r w:rsidRPr="00B845AF">
              <w:rPr>
                <w:rFonts w:asciiTheme="minorHAnsi" w:hAnsiTheme="minorHAnsi" w:cstheme="minorHAnsi"/>
                <w:color w:val="0000FF"/>
                <w:sz w:val="16"/>
              </w:rPr>
              <w:t>WCPFC  and</w:t>
            </w:r>
            <w:proofErr w:type="gramEnd"/>
            <w:r w:rsidRPr="00B845AF">
              <w:rPr>
                <w:rFonts w:asciiTheme="minorHAnsi" w:hAnsiTheme="minorHAnsi" w:cstheme="minorHAnsi"/>
                <w:color w:val="0000FF"/>
                <w:sz w:val="16"/>
              </w:rPr>
              <w:t xml:space="preserve"> other species as determined by the Commission.</w:t>
            </w: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tcPr>
          <w:p w14:paraId="0C1B2450"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tcPr>
          <w:p w14:paraId="084CB5B5"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9" w:type="dxa"/>
            <w:tcBorders>
              <w:top w:val="single" w:sz="4" w:space="0" w:color="000000"/>
              <w:left w:val="single" w:sz="4" w:space="0" w:color="000000"/>
              <w:bottom w:val="single" w:sz="4" w:space="0" w:color="000000"/>
              <w:right w:val="single" w:sz="4" w:space="0" w:color="000000"/>
            </w:tcBorders>
          </w:tcPr>
          <w:p w14:paraId="01E38D6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For each of the key WCPFC species. Reporting of non-key species, when encountered, is encouraged. A -1 should be used for discards if a weight cannot be obtained.</w:t>
            </w:r>
          </w:p>
        </w:tc>
      </w:tr>
      <w:tr w:rsidR="00CA5547" w:rsidRPr="00B845AF" w14:paraId="7F6FC390" w14:textId="77777777" w:rsidTr="00835632">
        <w:trPr>
          <w:trHeight w:val="986"/>
        </w:trPr>
        <w:tc>
          <w:tcPr>
            <w:tcW w:w="1539" w:type="dxa"/>
            <w:tcBorders>
              <w:top w:val="single" w:sz="4" w:space="0" w:color="000000"/>
              <w:left w:val="single" w:sz="4" w:space="0" w:color="000000"/>
              <w:bottom w:val="single" w:sz="4" w:space="0" w:color="000000"/>
              <w:right w:val="single" w:sz="4" w:space="0" w:color="000000"/>
            </w:tcBorders>
          </w:tcPr>
          <w:p w14:paraId="61F0DA26"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CATCH NUMBER</w:t>
            </w:r>
          </w:p>
        </w:tc>
        <w:tc>
          <w:tcPr>
            <w:tcW w:w="6682" w:type="dxa"/>
            <w:gridSpan w:val="3"/>
            <w:tcBorders>
              <w:top w:val="single" w:sz="4" w:space="0" w:color="000000"/>
              <w:left w:val="single" w:sz="4" w:space="0" w:color="000000"/>
              <w:bottom w:val="single" w:sz="4" w:space="0" w:color="000000"/>
              <w:right w:val="nil"/>
            </w:tcBorders>
          </w:tcPr>
          <w:p w14:paraId="6FEDCD4D" w14:textId="39B46874"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 xml:space="preserve">Number of fish/animals caught per set for the key species to be reported to the </w:t>
            </w:r>
            <w:r w:rsidR="00F806A5" w:rsidRPr="00B845AF">
              <w:rPr>
                <w:rFonts w:asciiTheme="minorHAnsi" w:hAnsiTheme="minorHAnsi" w:cstheme="minorHAnsi"/>
                <w:color w:val="0000FF"/>
                <w:sz w:val="16"/>
              </w:rPr>
              <w:t>WCPFC,</w:t>
            </w:r>
            <w:r w:rsidRPr="00B845AF">
              <w:rPr>
                <w:rFonts w:asciiTheme="minorHAnsi" w:hAnsiTheme="minorHAnsi" w:cstheme="minorHAnsi"/>
                <w:color w:val="0000FF"/>
                <w:sz w:val="16"/>
              </w:rPr>
              <w:t xml:space="preserve"> and other species as determined by the Commission.</w:t>
            </w:r>
          </w:p>
        </w:tc>
        <w:tc>
          <w:tcPr>
            <w:tcW w:w="200" w:type="dxa"/>
            <w:tcBorders>
              <w:top w:val="single" w:sz="4" w:space="0" w:color="000000"/>
              <w:left w:val="nil"/>
              <w:bottom w:val="single" w:sz="4" w:space="0" w:color="000000"/>
              <w:right w:val="single" w:sz="4" w:space="0" w:color="000000"/>
            </w:tcBorders>
          </w:tcPr>
          <w:p w14:paraId="10E9F996"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vAlign w:val="center"/>
          </w:tcPr>
          <w:p w14:paraId="7B18B7A5" w14:textId="77777777" w:rsidR="00CA5547" w:rsidRPr="00B845AF" w:rsidRDefault="00CA5547" w:rsidP="00CA5547">
            <w:pPr>
              <w:spacing w:line="259" w:lineRule="auto"/>
              <w:ind w:right="21"/>
              <w:jc w:val="center"/>
              <w:rPr>
                <w:rFonts w:asciiTheme="minorHAnsi" w:hAnsiTheme="minorHAnsi" w:cstheme="minorHAnsi"/>
                <w:b/>
                <w:sz w:val="20"/>
              </w:rPr>
            </w:pPr>
            <w:r w:rsidRPr="00B845AF">
              <w:rPr>
                <w:rFonts w:asciiTheme="minorHAnsi" w:hAnsiTheme="minorHAnsi" w:cstheme="minorHAnsi"/>
                <w:b/>
                <w:sz w:val="20"/>
              </w:rPr>
              <w:t>NO</w:t>
            </w:r>
          </w:p>
        </w:tc>
        <w:tc>
          <w:tcPr>
            <w:tcW w:w="4229" w:type="dxa"/>
            <w:tcBorders>
              <w:top w:val="single" w:sz="4" w:space="0" w:color="000000"/>
              <w:left w:val="single" w:sz="4" w:space="0" w:color="000000"/>
              <w:bottom w:val="single" w:sz="4" w:space="0" w:color="000000"/>
              <w:right w:val="single" w:sz="4" w:space="0" w:color="000000"/>
            </w:tcBorders>
          </w:tcPr>
          <w:p w14:paraId="7E4A3211"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sz w:val="16"/>
              </w:rPr>
              <w:t>For each of the key WCPFC species, and other species as determined by the Commission. Catch in number is intended to capture discarded individuals that cannot be weighted. All retained catch and catch that can be brought onboard and weight should also have an associated weight estimate.</w:t>
            </w:r>
          </w:p>
        </w:tc>
      </w:tr>
      <w:tr w:rsidR="00CA5547" w:rsidRPr="00B845AF" w14:paraId="5EE72D61" w14:textId="77777777" w:rsidTr="00835632">
        <w:trPr>
          <w:trHeight w:val="598"/>
        </w:trPr>
        <w:tc>
          <w:tcPr>
            <w:tcW w:w="1539" w:type="dxa"/>
            <w:tcBorders>
              <w:top w:val="single" w:sz="4" w:space="0" w:color="000000"/>
              <w:left w:val="single" w:sz="4" w:space="0" w:color="000000"/>
              <w:bottom w:val="single" w:sz="4" w:space="0" w:color="000000"/>
              <w:right w:val="single" w:sz="4" w:space="0" w:color="000000"/>
            </w:tcBorders>
          </w:tcPr>
          <w:p w14:paraId="7DAE623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IS DISCARDED </w:t>
            </w:r>
          </w:p>
        </w:tc>
        <w:tc>
          <w:tcPr>
            <w:tcW w:w="6682" w:type="dxa"/>
            <w:gridSpan w:val="3"/>
            <w:tcBorders>
              <w:top w:val="single" w:sz="4" w:space="0" w:color="000000"/>
              <w:left w:val="single" w:sz="4" w:space="0" w:color="000000"/>
              <w:bottom w:val="single" w:sz="4" w:space="0" w:color="000000"/>
              <w:right w:val="nil"/>
            </w:tcBorders>
          </w:tcPr>
          <w:p w14:paraId="25FB08B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Cs/>
                <w:color w:val="0000FF"/>
                <w:sz w:val="16"/>
                <w:u w:val="single" w:color="0000FF"/>
              </w:rPr>
              <w:t>A binary flag (0/1) to indicate whether the catch record (weight and/or number) was retained (0) or discarded (1)</w:t>
            </w:r>
            <w:r w:rsidRPr="00B845AF">
              <w:rPr>
                <w:rFonts w:asciiTheme="minorHAnsi" w:hAnsiTheme="minorHAnsi" w:cstheme="minorHAnsi"/>
                <w:b/>
                <w:color w:val="0000FF"/>
                <w:sz w:val="16"/>
                <w:u w:val="single" w:color="0000FF"/>
              </w:rPr>
              <w:t xml:space="preserve"> </w:t>
            </w:r>
          </w:p>
        </w:tc>
        <w:tc>
          <w:tcPr>
            <w:tcW w:w="200" w:type="dxa"/>
            <w:tcBorders>
              <w:top w:val="single" w:sz="4" w:space="0" w:color="000000"/>
              <w:left w:val="nil"/>
              <w:bottom w:val="single" w:sz="4" w:space="0" w:color="000000"/>
              <w:right w:val="single" w:sz="4" w:space="0" w:color="000000"/>
            </w:tcBorders>
          </w:tcPr>
          <w:p w14:paraId="2A8B0105" w14:textId="77777777" w:rsidR="00CA5547" w:rsidRPr="00B845AF" w:rsidRDefault="00CA5547" w:rsidP="00CA5547">
            <w:pPr>
              <w:spacing w:after="160" w:line="259" w:lineRule="auto"/>
              <w:rPr>
                <w:rFonts w:asciiTheme="minorHAnsi" w:hAnsiTheme="minorHAnsi" w:cstheme="minorHAnsi"/>
              </w:rPr>
            </w:pPr>
          </w:p>
        </w:tc>
        <w:tc>
          <w:tcPr>
            <w:tcW w:w="900" w:type="dxa"/>
            <w:tcBorders>
              <w:top w:val="single" w:sz="4" w:space="0" w:color="000000"/>
              <w:left w:val="single" w:sz="4" w:space="0" w:color="000000"/>
              <w:bottom w:val="single" w:sz="4" w:space="0" w:color="000000"/>
              <w:right w:val="single" w:sz="4" w:space="0" w:color="000000"/>
            </w:tcBorders>
          </w:tcPr>
          <w:p w14:paraId="31B2E5CC"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p>
        </w:tc>
        <w:tc>
          <w:tcPr>
            <w:tcW w:w="4229" w:type="dxa"/>
            <w:tcBorders>
              <w:top w:val="single" w:sz="4" w:space="0" w:color="000000"/>
              <w:left w:val="single" w:sz="4" w:space="0" w:color="000000"/>
              <w:bottom w:val="single" w:sz="4" w:space="0" w:color="000000"/>
              <w:right w:val="single" w:sz="4" w:space="0" w:color="000000"/>
            </w:tcBorders>
          </w:tcPr>
          <w:p w14:paraId="372699CD"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Discard information is required through other CMMs for certain key WCPFC species, including cetaceans and sea turtles, consistent with CMMs 2024-07 and 2018-04, with information on fate and life status.</w:t>
            </w:r>
          </w:p>
        </w:tc>
      </w:tr>
    </w:tbl>
    <w:p w14:paraId="65C4CF4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365F91"/>
          <w:sz w:val="26"/>
        </w:rPr>
        <w:t xml:space="preserve"> </w:t>
      </w:r>
    </w:p>
    <w:p w14:paraId="4A4FFBD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20"/>
        </w:rPr>
        <w:t xml:space="preserve"> </w:t>
      </w:r>
      <w:r w:rsidRPr="00B845AF">
        <w:rPr>
          <w:rFonts w:asciiTheme="minorHAnsi" w:hAnsiTheme="minorHAnsi" w:cstheme="minorHAnsi"/>
          <w:sz w:val="20"/>
        </w:rPr>
        <w:tab/>
      </w:r>
      <w:r w:rsidRPr="00B845AF">
        <w:rPr>
          <w:rFonts w:asciiTheme="minorHAnsi" w:hAnsiTheme="minorHAnsi" w:cstheme="minorHAnsi"/>
          <w:b/>
          <w:i/>
          <w:sz w:val="24"/>
        </w:rPr>
        <w:t xml:space="preserve"> </w:t>
      </w:r>
    </w:p>
    <w:p w14:paraId="797CE095" w14:textId="77777777" w:rsidR="00CA5547" w:rsidRPr="00B845AF" w:rsidRDefault="00CA5547" w:rsidP="00CA5547">
      <w:pPr>
        <w:rPr>
          <w:rFonts w:asciiTheme="minorHAnsi" w:hAnsiTheme="minorHAnsi" w:cstheme="minorHAnsi"/>
        </w:rPr>
        <w:sectPr w:rsidR="00CA5547" w:rsidRPr="00B845AF" w:rsidSect="00922BCB">
          <w:headerReference w:type="even" r:id="rId132"/>
          <w:headerReference w:type="default" r:id="rId133"/>
          <w:footerReference w:type="even" r:id="rId134"/>
          <w:footerReference w:type="default" r:id="rId135"/>
          <w:headerReference w:type="first" r:id="rId136"/>
          <w:footerReference w:type="first" r:id="rId137"/>
          <w:pgSz w:w="15840" w:h="12240" w:orient="landscape" w:code="1"/>
          <w:pgMar w:top="864" w:right="1152" w:bottom="864" w:left="1152" w:header="720" w:footer="720" w:gutter="0"/>
          <w:cols w:space="720"/>
        </w:sectPr>
      </w:pPr>
    </w:p>
    <w:p w14:paraId="46C0BBE6" w14:textId="77777777" w:rsidR="00CA5547" w:rsidRPr="00B845AF" w:rsidRDefault="00CA5547" w:rsidP="00CA5547">
      <w:pPr>
        <w:keepNext/>
        <w:keepLines/>
        <w:tabs>
          <w:tab w:val="center" w:pos="4639"/>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lastRenderedPageBreak/>
        <w:t xml:space="preserve">A2.3.1 </w:t>
      </w:r>
      <w:r w:rsidRPr="00B845AF">
        <w:rPr>
          <w:rFonts w:asciiTheme="minorHAnsi" w:eastAsiaTheme="majorEastAsia" w:hAnsiTheme="minorHAnsi" w:cstheme="minorHAnsi"/>
          <w:b/>
          <w:bCs/>
          <w:i/>
          <w:iCs/>
          <w:color w:val="365F91"/>
          <w:szCs w:val="22"/>
        </w:rPr>
        <w:t>Pole-and-line operational data</w:t>
      </w:r>
      <w:r w:rsidRPr="00B845AF">
        <w:rPr>
          <w:rFonts w:asciiTheme="minorHAnsi" w:eastAsiaTheme="majorEastAsia" w:hAnsiTheme="minorHAnsi" w:cstheme="minorHAnsi"/>
          <w:b/>
          <w:bCs/>
          <w:color w:val="365F91"/>
          <w:szCs w:val="22"/>
        </w:rPr>
        <w:t xml:space="preserve"> – TRIP INFORMATION </w:t>
      </w:r>
    </w:p>
    <w:tbl>
      <w:tblPr>
        <w:tblStyle w:val="TableGrid0"/>
        <w:tblW w:w="13550" w:type="dxa"/>
        <w:tblInd w:w="6" w:type="dxa"/>
        <w:tblCellMar>
          <w:top w:w="34" w:type="dxa"/>
          <w:left w:w="107" w:type="dxa"/>
          <w:right w:w="94" w:type="dxa"/>
        </w:tblCellMar>
        <w:tblLook w:val="04A0" w:firstRow="1" w:lastRow="0" w:firstColumn="1" w:lastColumn="0" w:noHBand="0" w:noVBand="1"/>
      </w:tblPr>
      <w:tblGrid>
        <w:gridCol w:w="1520"/>
        <w:gridCol w:w="6223"/>
        <w:gridCol w:w="1032"/>
        <w:gridCol w:w="4775"/>
      </w:tblGrid>
      <w:tr w:rsidR="00CA5547" w:rsidRPr="00B845AF" w14:paraId="75DC8D06" w14:textId="77777777" w:rsidTr="00835632">
        <w:trPr>
          <w:trHeight w:val="204"/>
        </w:trPr>
        <w:tc>
          <w:tcPr>
            <w:tcW w:w="1520" w:type="dxa"/>
            <w:tcBorders>
              <w:top w:val="single" w:sz="4" w:space="0" w:color="000000"/>
              <w:left w:val="single" w:sz="4" w:space="0" w:color="000000"/>
              <w:bottom w:val="single" w:sz="4" w:space="0" w:color="000000"/>
              <w:right w:val="single" w:sz="4" w:space="0" w:color="000000"/>
            </w:tcBorders>
            <w:shd w:val="clear" w:color="auto" w:fill="D9D9D9"/>
          </w:tcPr>
          <w:p w14:paraId="6AF5457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223" w:type="dxa"/>
            <w:tcBorders>
              <w:top w:val="single" w:sz="4" w:space="0" w:color="000000"/>
              <w:left w:val="single" w:sz="4" w:space="0" w:color="000000"/>
              <w:bottom w:val="single" w:sz="4" w:space="0" w:color="000000"/>
              <w:right w:val="single" w:sz="4" w:space="0" w:color="000000"/>
            </w:tcBorders>
            <w:shd w:val="clear" w:color="auto" w:fill="D9D9D9"/>
          </w:tcPr>
          <w:p w14:paraId="5E77AB9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D9D9D9"/>
          </w:tcPr>
          <w:p w14:paraId="2FFDCDE4" w14:textId="77777777" w:rsidR="00CA5547" w:rsidRPr="00B845AF" w:rsidRDefault="00CA5547" w:rsidP="00CA5547">
            <w:pPr>
              <w:spacing w:line="259" w:lineRule="auto"/>
              <w:ind w:right="14"/>
              <w:jc w:val="center"/>
              <w:rPr>
                <w:rFonts w:asciiTheme="minorHAnsi" w:hAnsiTheme="minorHAnsi" w:cstheme="minorHAnsi"/>
              </w:rPr>
            </w:pPr>
            <w:r w:rsidRPr="00B845AF">
              <w:rPr>
                <w:rFonts w:asciiTheme="minorHAnsi" w:hAnsiTheme="minorHAnsi" w:cstheme="minorHAnsi"/>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D9D9D9"/>
          </w:tcPr>
          <w:p w14:paraId="36D0731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2FB3682B"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291B248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11561B5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2F641547"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2D91068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39F2F455"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10B00347"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FLAG</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4B7A837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code of the flag-state the vessel is flying while operating on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36129A24"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02B0211D"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47478CDA" w14:textId="77777777" w:rsidTr="00835632">
        <w:trPr>
          <w:trHeight w:val="629"/>
        </w:trPr>
        <w:tc>
          <w:tcPr>
            <w:tcW w:w="1520" w:type="dxa"/>
            <w:tcBorders>
              <w:top w:val="single" w:sz="4" w:space="0" w:color="000000"/>
              <w:left w:val="single" w:sz="4" w:space="0" w:color="000000"/>
              <w:bottom w:val="single" w:sz="4" w:space="0" w:color="000000"/>
              <w:right w:val="single" w:sz="4" w:space="0" w:color="000000"/>
            </w:tcBorders>
            <w:shd w:val="clear" w:color="auto" w:fill="FDE9D9"/>
          </w:tcPr>
          <w:p w14:paraId="38942D75"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VESSEL FLEET</w:t>
            </w:r>
          </w:p>
        </w:tc>
        <w:tc>
          <w:tcPr>
            <w:tcW w:w="6223" w:type="dxa"/>
            <w:tcBorders>
              <w:top w:val="single" w:sz="4" w:space="0" w:color="000000"/>
              <w:left w:val="single" w:sz="4" w:space="0" w:color="000000"/>
              <w:bottom w:val="single" w:sz="4" w:space="0" w:color="000000"/>
              <w:right w:val="single" w:sz="4" w:space="0" w:color="000000"/>
            </w:tcBorders>
            <w:shd w:val="clear" w:color="auto" w:fill="FDE9D9"/>
          </w:tcPr>
          <w:p w14:paraId="27A0C46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2-letter fleet code the vessel is associated with for a given trip</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5D9BC0FE" w14:textId="77777777" w:rsidR="00CA5547" w:rsidRPr="00B845AF" w:rsidRDefault="00CA5547" w:rsidP="00CA5547">
            <w:pPr>
              <w:spacing w:line="259" w:lineRule="auto"/>
              <w:ind w:right="15"/>
              <w:jc w:val="center"/>
              <w:rPr>
                <w:rFonts w:asciiTheme="minorHAnsi" w:hAnsiTheme="minorHAnsi" w:cstheme="minorHAnsi"/>
                <w:b/>
                <w:sz w:val="20"/>
              </w:rPr>
            </w:pPr>
            <w:r w:rsidRPr="00B845AF">
              <w:rPr>
                <w:rFonts w:asciiTheme="minorHAnsi" w:hAnsiTheme="minorHAnsi" w:cstheme="minorHAnsi"/>
                <w:b/>
                <w:sz w:val="20"/>
              </w:rPr>
              <w:t>NO</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3B47A9BD"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4323C0A9" w14:textId="77777777" w:rsidTr="00835632">
        <w:trPr>
          <w:trHeight w:val="1619"/>
        </w:trPr>
        <w:tc>
          <w:tcPr>
            <w:tcW w:w="1520" w:type="dxa"/>
            <w:tcBorders>
              <w:top w:val="single" w:sz="4" w:space="0" w:color="000000"/>
              <w:left w:val="single" w:sz="4" w:space="0" w:color="000000"/>
              <w:bottom w:val="single" w:sz="4" w:space="0" w:color="000000"/>
              <w:right w:val="single" w:sz="4" w:space="0" w:color="000000"/>
            </w:tcBorders>
          </w:tcPr>
          <w:p w14:paraId="1EF3753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VESSEL IDENTIFIER </w:t>
            </w:r>
          </w:p>
        </w:tc>
        <w:tc>
          <w:tcPr>
            <w:tcW w:w="6223" w:type="dxa"/>
            <w:tcBorders>
              <w:top w:val="single" w:sz="4" w:space="0" w:color="000000"/>
              <w:left w:val="single" w:sz="4" w:space="0" w:color="000000"/>
              <w:bottom w:val="single" w:sz="4" w:space="0" w:color="000000"/>
              <w:right w:val="single" w:sz="4" w:space="0" w:color="000000"/>
            </w:tcBorders>
          </w:tcPr>
          <w:p w14:paraId="7CE3A526" w14:textId="77777777" w:rsidR="00CA5547" w:rsidRPr="00B845AF" w:rsidRDefault="00CA5547" w:rsidP="00CA5547">
            <w:pPr>
              <w:spacing w:after="79" w:line="241" w:lineRule="auto"/>
              <w:rPr>
                <w:rFonts w:asciiTheme="minorHAnsi" w:hAnsiTheme="minorHAnsi" w:cstheme="minorHAnsi"/>
              </w:rPr>
            </w:pPr>
            <w:r w:rsidRPr="00B845AF">
              <w:rPr>
                <w:rFonts w:asciiTheme="minorHAnsi" w:hAnsiTheme="minorHAnsi" w:cstheme="minorHAnsi"/>
                <w:color w:val="0000FF"/>
                <w:sz w:val="16"/>
              </w:rPr>
              <w:t xml:space="preserve">Name of the </w:t>
            </w:r>
            <w:r w:rsidRPr="00B845AF">
              <w:rPr>
                <w:rFonts w:asciiTheme="minorHAnsi" w:hAnsiTheme="minorHAnsi" w:cstheme="minorHAnsi"/>
                <w:b/>
                <w:color w:val="0000FF"/>
                <w:sz w:val="16"/>
                <w:u w:val="single" w:color="0000FF"/>
              </w:rPr>
              <w:t>vessel</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country of registration</w:t>
            </w:r>
            <w:r w:rsidRPr="00B845AF">
              <w:rPr>
                <w:rFonts w:asciiTheme="minorHAnsi" w:hAnsiTheme="minorHAnsi" w:cstheme="minorHAnsi"/>
                <w:color w:val="0000FF"/>
                <w:sz w:val="16"/>
              </w:rPr>
              <w:t xml:space="preserve">, </w:t>
            </w:r>
            <w:r w:rsidRPr="00B845AF">
              <w:rPr>
                <w:rFonts w:asciiTheme="minorHAnsi" w:hAnsiTheme="minorHAnsi" w:cstheme="minorHAnsi"/>
                <w:b/>
                <w:color w:val="0000FF"/>
                <w:sz w:val="16"/>
                <w:u w:val="single" w:color="0000FF"/>
              </w:rPr>
              <w:t>registration number</w:t>
            </w:r>
            <w:r w:rsidRPr="00B845AF">
              <w:rPr>
                <w:rFonts w:asciiTheme="minorHAnsi" w:hAnsiTheme="minorHAnsi" w:cstheme="minorHAnsi"/>
                <w:color w:val="0000FF"/>
                <w:sz w:val="16"/>
              </w:rPr>
              <w:t xml:space="preserve">, and </w:t>
            </w:r>
            <w:r w:rsidRPr="00B845AF">
              <w:rPr>
                <w:rFonts w:asciiTheme="minorHAnsi" w:hAnsiTheme="minorHAnsi" w:cstheme="minorHAnsi"/>
                <w:b/>
                <w:color w:val="0000FF"/>
                <w:sz w:val="16"/>
                <w:u w:val="single" w:color="0000FF"/>
              </w:rPr>
              <w:t>international radio</w:t>
            </w:r>
            <w:r w:rsidRPr="00B845AF">
              <w:rPr>
                <w:rFonts w:asciiTheme="minorHAnsi" w:hAnsiTheme="minorHAnsi" w:cstheme="minorHAnsi"/>
                <w:b/>
                <w:color w:val="0000FF"/>
                <w:sz w:val="16"/>
              </w:rPr>
              <w:t xml:space="preserve"> </w:t>
            </w:r>
            <w:r w:rsidRPr="00B845AF">
              <w:rPr>
                <w:rFonts w:asciiTheme="minorHAnsi" w:hAnsiTheme="minorHAnsi" w:cstheme="minorHAnsi"/>
                <w:b/>
                <w:color w:val="0000FF"/>
                <w:sz w:val="16"/>
                <w:u w:val="single" w:color="0000FF"/>
              </w:rPr>
              <w:t>call sign</w:t>
            </w:r>
            <w:r w:rsidRPr="00B845AF">
              <w:rPr>
                <w:rFonts w:asciiTheme="minorHAnsi" w:hAnsiTheme="minorHAnsi" w:cstheme="minorHAnsi"/>
                <w:color w:val="0000FF"/>
                <w:sz w:val="16"/>
              </w:rPr>
              <w:t xml:space="preserve">:  </w:t>
            </w:r>
          </w:p>
          <w:p w14:paraId="4443A687"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72586F7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The registration number is the number assigned to the vessel by the state that has flagged the vessel. A code may be used as a vessel identifier instead of the name of the vessel, registration number and call sign for vessels that have fished and that intend to fish only in the waters of national jurisdiction of the State that has flagged the vessel. </w:t>
            </w:r>
          </w:p>
        </w:tc>
        <w:tc>
          <w:tcPr>
            <w:tcW w:w="1032" w:type="dxa"/>
            <w:tcBorders>
              <w:top w:val="single" w:sz="4" w:space="0" w:color="000000"/>
              <w:left w:val="single" w:sz="4" w:space="0" w:color="000000"/>
              <w:bottom w:val="single" w:sz="4" w:space="0" w:color="000000"/>
              <w:right w:val="single" w:sz="4" w:space="0" w:color="000000"/>
            </w:tcBorders>
          </w:tcPr>
          <w:p w14:paraId="45B9340C"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6D0E8819" w14:textId="77777777" w:rsidR="00CA5547" w:rsidRPr="00B845AF" w:rsidRDefault="00CA5547" w:rsidP="00CA5547">
            <w:pPr>
              <w:spacing w:after="80"/>
              <w:ind w:left="1"/>
              <w:rPr>
                <w:rFonts w:asciiTheme="minorHAnsi" w:hAnsiTheme="minorHAnsi" w:cstheme="minorHAnsi"/>
              </w:rPr>
            </w:pPr>
            <w:r w:rsidRPr="00B845AF">
              <w:rPr>
                <w:rFonts w:asciiTheme="minorHAnsi" w:hAnsiTheme="minorHAnsi" w:cstheme="minorHAnsi"/>
                <w:sz w:val="16"/>
              </w:rPr>
              <w:t xml:space="preserve">Using a vessel identifier field (ideally the WCPFC VID) removes the redundancy of including all vessel attributes with each trip record and ensures standardisation and consistency through referencing the WCPFC Vessel Registry database.  </w:t>
            </w:r>
          </w:p>
          <w:p w14:paraId="61881BD2"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rPr>
              <w:t xml:space="preserve"> </w:t>
            </w:r>
          </w:p>
          <w:p w14:paraId="3DA0212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Please provide a separate list of Vessel attributes linked to the Vessel identifier field.</w:t>
            </w:r>
            <w:r w:rsidRPr="00B845AF">
              <w:rPr>
                <w:rFonts w:asciiTheme="minorHAnsi" w:hAnsiTheme="minorHAnsi" w:cstheme="minorHAnsi"/>
                <w:color w:val="0000FF"/>
                <w:sz w:val="16"/>
              </w:rPr>
              <w:t xml:space="preserve"> </w:t>
            </w:r>
          </w:p>
        </w:tc>
      </w:tr>
      <w:tr w:rsidR="00CA5547" w:rsidRPr="00B845AF" w14:paraId="2DC17748" w14:textId="77777777" w:rsidTr="00835632">
        <w:trPr>
          <w:trHeight w:val="2007"/>
        </w:trPr>
        <w:tc>
          <w:tcPr>
            <w:tcW w:w="1520" w:type="dxa"/>
            <w:tcBorders>
              <w:top w:val="single" w:sz="4" w:space="0" w:color="000000"/>
              <w:left w:val="single" w:sz="4" w:space="0" w:color="000000"/>
              <w:bottom w:val="single" w:sz="4" w:space="0" w:color="000000"/>
              <w:right w:val="single" w:sz="4" w:space="0" w:color="000000"/>
            </w:tcBorders>
          </w:tcPr>
          <w:p w14:paraId="4DA2ECC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PORT/PLACE OF DEPARTURE </w:t>
            </w:r>
          </w:p>
        </w:tc>
        <w:tc>
          <w:tcPr>
            <w:tcW w:w="6223" w:type="dxa"/>
            <w:tcBorders>
              <w:top w:val="single" w:sz="4" w:space="0" w:color="000000"/>
              <w:left w:val="single" w:sz="4" w:space="0" w:color="000000"/>
              <w:bottom w:val="single" w:sz="4" w:space="0" w:color="000000"/>
              <w:right w:val="single" w:sz="4" w:space="0" w:color="000000"/>
            </w:tcBorders>
          </w:tcPr>
          <w:p w14:paraId="7E62A93E" w14:textId="77777777" w:rsidR="00CA5547" w:rsidRPr="00B845AF" w:rsidRDefault="00CA5547" w:rsidP="00CA5547">
            <w:pPr>
              <w:spacing w:after="80" w:line="239" w:lineRule="auto"/>
              <w:ind w:right="11"/>
              <w:rPr>
                <w:rFonts w:asciiTheme="minorHAnsi" w:hAnsiTheme="minorHAnsi" w:cstheme="minorHAnsi"/>
              </w:rPr>
            </w:pPr>
            <w:r w:rsidRPr="00B845AF">
              <w:rPr>
                <w:rFonts w:asciiTheme="minorHAnsi" w:hAnsiTheme="minorHAnsi" w:cstheme="minorHAnsi"/>
                <w:color w:val="0000FF"/>
                <w:sz w:val="16"/>
              </w:rPr>
              <w:t xml:space="preserve">The start of a trip is defined to occur when a vessel (a) leaves port after unloading part or all of the catch to transit to a fishing area or (b) recommences fishing operations or transits to a fishing area after transshipping part or all of the catch at sea (when this occurs in accordance with the terms and conditions of article 4 of Annex III of the Convention, subject to specific exemptions as per article 29 of the Convention). </w:t>
            </w:r>
          </w:p>
          <w:p w14:paraId="2A03A1A4" w14:textId="77777777" w:rsidR="00CA5547" w:rsidRPr="00B845AF" w:rsidRDefault="00CA5547" w:rsidP="00CA5547">
            <w:pPr>
              <w:spacing w:after="62" w:line="259" w:lineRule="auto"/>
              <w:rPr>
                <w:rFonts w:asciiTheme="minorHAnsi" w:hAnsiTheme="minorHAnsi" w:cstheme="minorHAnsi"/>
              </w:rPr>
            </w:pPr>
            <w:r w:rsidRPr="00B845AF">
              <w:rPr>
                <w:rFonts w:asciiTheme="minorHAnsi" w:hAnsiTheme="minorHAnsi" w:cstheme="minorHAnsi"/>
                <w:color w:val="0000FF"/>
                <w:sz w:val="16"/>
              </w:rPr>
              <w:t xml:space="preserve"> </w:t>
            </w:r>
          </w:p>
          <w:p w14:paraId="685CDCA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If the start of a trip coincides with recommencing fishing operations or transiting to a fishing area after transshipping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“Transshipment at sea” shall be reported in lieu of the port of departure. </w:t>
            </w:r>
          </w:p>
        </w:tc>
        <w:tc>
          <w:tcPr>
            <w:tcW w:w="1032" w:type="dxa"/>
            <w:tcBorders>
              <w:top w:val="single" w:sz="4" w:space="0" w:color="000000"/>
              <w:left w:val="single" w:sz="4" w:space="0" w:color="000000"/>
              <w:bottom w:val="single" w:sz="4" w:space="0" w:color="000000"/>
              <w:right w:val="single" w:sz="4" w:space="0" w:color="000000"/>
            </w:tcBorders>
          </w:tcPr>
          <w:p w14:paraId="4D88F457"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A127E02" w14:textId="77777777" w:rsidR="00CA5547" w:rsidRPr="00B845AF" w:rsidRDefault="00CA5547" w:rsidP="00CA5547">
            <w:pPr>
              <w:spacing w:after="53" w:line="272"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38"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39"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Alternatively, provide a standardised Port location code through the following facility</w:t>
            </w:r>
            <w:r w:rsidRPr="00B845AF">
              <w:rPr>
                <w:rFonts w:asciiTheme="minorHAnsi" w:hAnsiTheme="minorHAnsi" w:cstheme="minorHAnsi"/>
              </w:rPr>
              <w:t xml:space="preserve"> </w:t>
            </w:r>
            <w:hyperlink r:id="rId140" w:history="1">
              <w:r w:rsidRPr="00B845AF">
                <w:rPr>
                  <w:rFonts w:asciiTheme="minorHAnsi" w:eastAsiaTheme="majorEastAsia" w:hAnsiTheme="minorHAnsi" w:cstheme="minorHAnsi"/>
                  <w:color w:val="0000FF"/>
                  <w:sz w:val="16"/>
                  <w:u w:val="single"/>
                </w:rPr>
                <w:t>https://unece.org/trade/cefact/unlocode-code-list-country-and-territory</w:t>
              </w:r>
            </w:hyperlink>
            <w:r w:rsidRPr="00B845AF">
              <w:rPr>
                <w:rFonts w:asciiTheme="minorHAnsi" w:hAnsiTheme="minorHAnsi" w:cstheme="minorHAnsi"/>
                <w:sz w:val="16"/>
              </w:rPr>
              <w:t xml:space="preserve">  </w:t>
            </w:r>
          </w:p>
          <w:p w14:paraId="5278C261" w14:textId="77777777" w:rsidR="00CA5547" w:rsidRPr="00B845AF" w:rsidRDefault="00CA5547" w:rsidP="00CA5547">
            <w:pPr>
              <w:spacing w:after="79" w:line="241" w:lineRule="auto"/>
              <w:ind w:left="1"/>
              <w:rPr>
                <w:rFonts w:asciiTheme="minorHAnsi" w:hAnsiTheme="minorHAnsi" w:cstheme="minorHAnsi"/>
              </w:rPr>
            </w:pPr>
            <w:r w:rsidRPr="00B845AF">
              <w:rPr>
                <w:rFonts w:asciiTheme="minorHAnsi" w:hAnsiTheme="minorHAnsi" w:cstheme="minorHAnsi"/>
                <w:sz w:val="16"/>
              </w:rPr>
              <w:t xml:space="preserve">The WCPFC will consider the establishment of WCPFC LOCATION CODEs in the future.  </w:t>
            </w:r>
          </w:p>
          <w:p w14:paraId="7DC5F12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r>
      <w:tr w:rsidR="00CA5547" w:rsidRPr="00B845AF" w14:paraId="4C8FB07F" w14:textId="77777777" w:rsidTr="00835632">
        <w:trPr>
          <w:trHeight w:val="1700"/>
        </w:trPr>
        <w:tc>
          <w:tcPr>
            <w:tcW w:w="1520" w:type="dxa"/>
            <w:tcBorders>
              <w:top w:val="single" w:sz="4" w:space="0" w:color="000000"/>
              <w:left w:val="single" w:sz="4" w:space="0" w:color="000000"/>
              <w:bottom w:val="single" w:sz="4" w:space="0" w:color="000000"/>
              <w:right w:val="single" w:sz="4" w:space="0" w:color="000000"/>
            </w:tcBorders>
          </w:tcPr>
          <w:p w14:paraId="7209C06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PORT/PLACE OF UNLOADING </w:t>
            </w:r>
          </w:p>
        </w:tc>
        <w:tc>
          <w:tcPr>
            <w:tcW w:w="6223" w:type="dxa"/>
            <w:tcBorders>
              <w:top w:val="single" w:sz="4" w:space="0" w:color="000000"/>
              <w:left w:val="single" w:sz="4" w:space="0" w:color="000000"/>
              <w:bottom w:val="single" w:sz="4" w:space="0" w:color="000000"/>
              <w:right w:val="single" w:sz="4" w:space="0" w:color="000000"/>
            </w:tcBorders>
          </w:tcPr>
          <w:p w14:paraId="7B27E312" w14:textId="77777777" w:rsidR="00CA5547" w:rsidRPr="00B845AF" w:rsidRDefault="00CA5547" w:rsidP="00CA5547">
            <w:pPr>
              <w:spacing w:after="79" w:line="241" w:lineRule="auto"/>
              <w:rPr>
                <w:rFonts w:asciiTheme="minorHAnsi" w:hAnsiTheme="minorHAnsi" w:cstheme="minorHAnsi"/>
              </w:rPr>
            </w:pPr>
            <w:r w:rsidRPr="00B845AF">
              <w:rPr>
                <w:rFonts w:asciiTheme="minorHAnsi" w:hAnsiTheme="minorHAnsi" w:cstheme="minorHAnsi"/>
                <w:color w:val="0000FF"/>
                <w:sz w:val="16"/>
              </w:rPr>
              <w:t xml:space="preserve">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“ATSEA” code shall be reported in lieu of the port of unloading. </w:t>
            </w:r>
          </w:p>
          <w:p w14:paraId="443F22D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4528BBAB"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46B46AFC" w14:textId="77777777" w:rsidR="00CA5547" w:rsidRPr="00B845AF" w:rsidRDefault="00CA5547" w:rsidP="00CA5547">
            <w:pPr>
              <w:spacing w:after="53" w:line="272" w:lineRule="auto"/>
              <w:ind w:left="1"/>
              <w:rPr>
                <w:rFonts w:asciiTheme="minorHAnsi" w:hAnsiTheme="minorHAnsi" w:cstheme="minorHAnsi"/>
              </w:rPr>
            </w:pPr>
            <w:r w:rsidRPr="00B845AF">
              <w:rPr>
                <w:rFonts w:asciiTheme="minorHAnsi" w:hAnsiTheme="minorHAnsi" w:cstheme="minorHAnsi"/>
                <w:sz w:val="16"/>
              </w:rPr>
              <w:t>Where possible, please provide the exact port code (</w:t>
            </w:r>
            <w:proofErr w:type="spellStart"/>
            <w:r w:rsidRPr="00B845AF">
              <w:rPr>
                <w:rFonts w:asciiTheme="minorHAnsi" w:hAnsiTheme="minorHAnsi" w:cstheme="minorHAnsi"/>
                <w:sz w:val="16"/>
              </w:rPr>
              <w:t>POR_code</w:t>
            </w:r>
            <w:proofErr w:type="spellEnd"/>
            <w:r w:rsidRPr="00B845AF">
              <w:rPr>
                <w:rFonts w:asciiTheme="minorHAnsi" w:hAnsiTheme="minorHAnsi" w:cstheme="minorHAnsi"/>
                <w:sz w:val="16"/>
              </w:rPr>
              <w:t>) from the WCPFC reference list (</w:t>
            </w:r>
            <w:hyperlink r:id="rId141" w:history="1">
              <w:r w:rsidRPr="00B845AF">
                <w:rPr>
                  <w:rFonts w:asciiTheme="minorHAnsi" w:eastAsiaTheme="majorEastAsia" w:hAnsiTheme="minorHAnsi" w:cstheme="minorHAnsi"/>
                  <w:color w:val="0000FF"/>
                  <w:sz w:val="16"/>
                  <w:u w:val="single"/>
                </w:rPr>
                <w:t>https://data.wcpfc.int/reference-list/port). The addition of new ports into this reference, can request</w:t>
              </w:r>
            </w:hyperlink>
            <w:r w:rsidRPr="00B845AF">
              <w:rPr>
                <w:rFonts w:asciiTheme="minorHAnsi" w:hAnsiTheme="minorHAnsi" w:cstheme="minorHAnsi"/>
                <w:sz w:val="16"/>
              </w:rPr>
              <w:t xml:space="preserve">s by email to: </w:t>
            </w:r>
            <w:hyperlink r:id="rId142" w:history="1">
              <w:r w:rsidRPr="00B845AF">
                <w:rPr>
                  <w:rFonts w:asciiTheme="minorHAnsi" w:eastAsiaTheme="majorEastAsia" w:hAnsiTheme="minorHAnsi" w:cstheme="minorHAnsi"/>
                  <w:color w:val="0000FF"/>
                  <w:sz w:val="16"/>
                  <w:u w:val="single"/>
                </w:rPr>
                <w:t>support@wcpfc.freshdesk.com</w:t>
              </w:r>
            </w:hyperlink>
            <w:r w:rsidRPr="00B845AF">
              <w:rPr>
                <w:rFonts w:asciiTheme="minorHAnsi" w:hAnsiTheme="minorHAnsi" w:cstheme="minorHAnsi"/>
                <w:sz w:val="16"/>
              </w:rPr>
              <w:t>. Alternatively, provide a standardised Port location code through the following facility</w:t>
            </w:r>
            <w:r w:rsidRPr="00B845AF">
              <w:rPr>
                <w:rFonts w:asciiTheme="minorHAnsi" w:hAnsiTheme="minorHAnsi" w:cstheme="minorHAnsi"/>
              </w:rPr>
              <w:t xml:space="preserve"> </w:t>
            </w:r>
            <w:hyperlink r:id="rId143" w:history="1">
              <w:r w:rsidRPr="00B845AF">
                <w:rPr>
                  <w:rFonts w:asciiTheme="minorHAnsi" w:eastAsiaTheme="majorEastAsia" w:hAnsiTheme="minorHAnsi" w:cstheme="minorHAnsi"/>
                  <w:color w:val="0000FF"/>
                  <w:sz w:val="16"/>
                  <w:u w:val="single"/>
                </w:rPr>
                <w:t>https://unece.org/trade/cefact/unlocode-code-list-country-and-territory</w:t>
              </w:r>
            </w:hyperlink>
            <w:r w:rsidRPr="00B845AF">
              <w:rPr>
                <w:rFonts w:asciiTheme="minorHAnsi" w:hAnsiTheme="minorHAnsi" w:cstheme="minorHAnsi"/>
                <w:sz w:val="16"/>
              </w:rPr>
              <w:t xml:space="preserve">   </w:t>
            </w:r>
          </w:p>
          <w:p w14:paraId="1279138D"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szCs w:val="16"/>
              </w:rPr>
              <w:t>Use 'ongoing' to flag trips that have not yet been completed</w:t>
            </w:r>
            <w:r w:rsidRPr="00B845AF">
              <w:rPr>
                <w:rFonts w:asciiTheme="minorHAnsi" w:hAnsiTheme="minorHAnsi" w:cstheme="minorHAnsi"/>
                <w:sz w:val="16"/>
              </w:rPr>
              <w:t xml:space="preserve"> </w:t>
            </w:r>
          </w:p>
          <w:p w14:paraId="49EFBF12" w14:textId="77777777" w:rsidR="00CA5547" w:rsidRPr="00B845AF" w:rsidRDefault="00CA5547" w:rsidP="00CA5547">
            <w:pPr>
              <w:spacing w:after="59" w:line="259" w:lineRule="auto"/>
              <w:ind w:left="1"/>
              <w:rPr>
                <w:rFonts w:asciiTheme="minorHAnsi" w:hAnsiTheme="minorHAnsi" w:cstheme="minorHAnsi"/>
              </w:rPr>
            </w:pPr>
          </w:p>
          <w:p w14:paraId="0D81EDE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lastRenderedPageBreak/>
              <w:t xml:space="preserve">The WCPFC will consider the establishment of WCPFC LOCATION CODEs in the future. </w:t>
            </w:r>
          </w:p>
        </w:tc>
      </w:tr>
      <w:tr w:rsidR="00CA5547" w:rsidRPr="00B845AF" w14:paraId="1F361458" w14:textId="77777777" w:rsidTr="00835632">
        <w:trPr>
          <w:trHeight w:val="674"/>
        </w:trPr>
        <w:tc>
          <w:tcPr>
            <w:tcW w:w="1520" w:type="dxa"/>
            <w:tcBorders>
              <w:top w:val="single" w:sz="4" w:space="0" w:color="000000"/>
              <w:left w:val="single" w:sz="4" w:space="0" w:color="000000"/>
              <w:bottom w:val="single" w:sz="4" w:space="0" w:color="000000"/>
              <w:right w:val="single" w:sz="4" w:space="0" w:color="000000"/>
            </w:tcBorders>
          </w:tcPr>
          <w:p w14:paraId="3F72D73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lastRenderedPageBreak/>
              <w:t xml:space="preserve">DATE OF </w:t>
            </w:r>
          </w:p>
          <w:p w14:paraId="33B76C71"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DEPARTURE </w:t>
            </w:r>
          </w:p>
        </w:tc>
        <w:tc>
          <w:tcPr>
            <w:tcW w:w="6223" w:type="dxa"/>
            <w:tcBorders>
              <w:top w:val="single" w:sz="4" w:space="0" w:color="000000"/>
              <w:left w:val="single" w:sz="4" w:space="0" w:color="000000"/>
              <w:bottom w:val="single" w:sz="4" w:space="0" w:color="000000"/>
              <w:right w:val="single" w:sz="4" w:space="0" w:color="000000"/>
            </w:tcBorders>
          </w:tcPr>
          <w:p w14:paraId="1EC7F08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departure from Port</w:t>
            </w:r>
            <w:r w:rsidRPr="00B845AF">
              <w:rPr>
                <w:rFonts w:asciiTheme="minorHAnsi" w:hAnsiTheme="minorHAnsi" w:cstheme="minorHAnsi"/>
                <w:color w:val="0000FF"/>
                <w:sz w:val="16"/>
              </w:rPr>
              <w:t xml:space="preserve">. If the start of a trip coincides with recommencing fishing operations or transiting to a fishing area after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departure should be GMT/UTC.</w:t>
            </w:r>
          </w:p>
        </w:tc>
        <w:tc>
          <w:tcPr>
            <w:tcW w:w="1032" w:type="dxa"/>
            <w:tcBorders>
              <w:top w:val="single" w:sz="4" w:space="0" w:color="000000"/>
              <w:left w:val="single" w:sz="4" w:space="0" w:color="000000"/>
              <w:bottom w:val="single" w:sz="4" w:space="0" w:color="000000"/>
              <w:right w:val="single" w:sz="4" w:space="0" w:color="000000"/>
            </w:tcBorders>
          </w:tcPr>
          <w:p w14:paraId="776293AC"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 xml:space="preserve">YES </w:t>
            </w:r>
          </w:p>
        </w:tc>
        <w:tc>
          <w:tcPr>
            <w:tcW w:w="4775" w:type="dxa"/>
            <w:tcBorders>
              <w:top w:val="single" w:sz="4" w:space="0" w:color="000000"/>
              <w:left w:val="single" w:sz="4" w:space="0" w:color="000000"/>
              <w:bottom w:val="single" w:sz="4" w:space="0" w:color="000000"/>
              <w:right w:val="single" w:sz="4" w:space="0" w:color="000000"/>
            </w:tcBorders>
          </w:tcPr>
          <w:p w14:paraId="1BC835A2" w14:textId="77777777" w:rsidR="00CA5547" w:rsidRPr="00B845AF" w:rsidRDefault="00CA5547" w:rsidP="00CA5547">
            <w:pPr>
              <w:spacing w:after="62" w:line="259" w:lineRule="auto"/>
              <w:ind w:left="1"/>
              <w:rPr>
                <w:rFonts w:asciiTheme="minorHAnsi" w:hAnsiTheme="minorHAnsi" w:cstheme="minorHAnsi"/>
              </w:rPr>
            </w:pPr>
            <w:r w:rsidRPr="00B845AF">
              <w:rPr>
                <w:rFonts w:asciiTheme="minorHAnsi" w:hAnsiTheme="minorHAnsi" w:cstheme="minorHAnsi"/>
                <w:sz w:val="16"/>
              </w:rPr>
              <w:t>Recommend using ISO 8601 – Date only format</w:t>
            </w:r>
            <w:r w:rsidRPr="00B845AF">
              <w:rPr>
                <w:rFonts w:asciiTheme="minorHAnsi" w:hAnsiTheme="minorHAnsi" w:cstheme="minorHAnsi"/>
                <w:color w:val="0000FF"/>
                <w:sz w:val="16"/>
              </w:rPr>
              <w:t xml:space="preserve"> </w:t>
            </w:r>
          </w:p>
          <w:p w14:paraId="6ABE3CF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516D82BC" w14:textId="77777777" w:rsidTr="00835632">
        <w:trPr>
          <w:trHeight w:val="799"/>
        </w:trPr>
        <w:tc>
          <w:tcPr>
            <w:tcW w:w="1520" w:type="dxa"/>
            <w:tcBorders>
              <w:top w:val="single" w:sz="4" w:space="0" w:color="000000"/>
              <w:left w:val="single" w:sz="4" w:space="0" w:color="000000"/>
              <w:bottom w:val="single" w:sz="4" w:space="0" w:color="000000"/>
              <w:right w:val="single" w:sz="4" w:space="0" w:color="000000"/>
            </w:tcBorders>
          </w:tcPr>
          <w:p w14:paraId="78B73F6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 OF </w:t>
            </w:r>
          </w:p>
          <w:p w14:paraId="2908E8B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UNLOADING / </w:t>
            </w:r>
          </w:p>
          <w:p w14:paraId="55D40C8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TRANSHIPMENT </w:t>
            </w:r>
          </w:p>
        </w:tc>
        <w:tc>
          <w:tcPr>
            <w:tcW w:w="6223" w:type="dxa"/>
            <w:tcBorders>
              <w:top w:val="single" w:sz="4" w:space="0" w:color="000000"/>
              <w:left w:val="single" w:sz="4" w:space="0" w:color="000000"/>
              <w:bottom w:val="single" w:sz="4" w:space="0" w:color="000000"/>
              <w:right w:val="single" w:sz="4" w:space="0" w:color="000000"/>
            </w:tcBorders>
          </w:tcPr>
          <w:p w14:paraId="42F2117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color w:val="0000FF"/>
                <w:sz w:val="16"/>
                <w:u w:val="single" w:color="0000FF"/>
              </w:rPr>
              <w:t>Date of return to Port</w:t>
            </w:r>
            <w:r w:rsidRPr="00B845AF">
              <w:rPr>
                <w:rFonts w:asciiTheme="minorHAnsi" w:hAnsiTheme="minorHAnsi" w:cstheme="minorHAnsi"/>
                <w:color w:val="0000FF"/>
                <w:sz w:val="16"/>
              </w:rPr>
              <w:t xml:space="preserve"> If the end of a trip coincides with </w:t>
            </w:r>
            <w:proofErr w:type="spellStart"/>
            <w:r w:rsidRPr="00B845AF">
              <w:rPr>
                <w:rFonts w:asciiTheme="minorHAnsi" w:hAnsiTheme="minorHAnsi" w:cstheme="minorHAnsi"/>
                <w:color w:val="0000FF"/>
                <w:sz w:val="16"/>
              </w:rPr>
              <w:t>transhipping</w:t>
            </w:r>
            <w:proofErr w:type="spellEnd"/>
            <w:r w:rsidRPr="00B845AF">
              <w:rPr>
                <w:rFonts w:asciiTheme="minorHAnsi" w:hAnsiTheme="minorHAnsi" w:cstheme="minorHAnsi"/>
                <w:color w:val="0000FF"/>
                <w:sz w:val="16"/>
              </w:rPr>
              <w:t xml:space="preserve"> part or </w:t>
            </w:r>
            <w:proofErr w:type="gramStart"/>
            <w:r w:rsidRPr="00B845AF">
              <w:rPr>
                <w:rFonts w:asciiTheme="minorHAnsi" w:hAnsiTheme="minorHAnsi" w:cstheme="minorHAnsi"/>
                <w:color w:val="0000FF"/>
                <w:sz w:val="16"/>
              </w:rPr>
              <w:t>all of</w:t>
            </w:r>
            <w:proofErr w:type="gramEnd"/>
            <w:r w:rsidRPr="00B845AF">
              <w:rPr>
                <w:rFonts w:asciiTheme="minorHAnsi" w:hAnsiTheme="minorHAnsi" w:cstheme="minorHAnsi"/>
                <w:color w:val="0000FF"/>
                <w:sz w:val="16"/>
              </w:rPr>
              <w:t xml:space="preserve"> the catch at sea, then date for the transhipment at sea shall be indicated. The date of unloading/transhipment should be GMT/UTC.</w:t>
            </w:r>
          </w:p>
        </w:tc>
        <w:tc>
          <w:tcPr>
            <w:tcW w:w="1032" w:type="dxa"/>
            <w:tcBorders>
              <w:top w:val="single" w:sz="4" w:space="0" w:color="000000"/>
              <w:left w:val="single" w:sz="4" w:space="0" w:color="000000"/>
              <w:bottom w:val="single" w:sz="4" w:space="0" w:color="000000"/>
              <w:right w:val="single" w:sz="4" w:space="0" w:color="000000"/>
            </w:tcBorders>
          </w:tcPr>
          <w:p w14:paraId="5B946AA0" w14:textId="77777777" w:rsidR="00CA5547" w:rsidRPr="00B845AF" w:rsidRDefault="00CA5547" w:rsidP="00CA5547">
            <w:pPr>
              <w:spacing w:line="259" w:lineRule="auto"/>
              <w:ind w:right="15"/>
              <w:jc w:val="center"/>
              <w:rPr>
                <w:rFonts w:asciiTheme="minorHAnsi" w:hAnsiTheme="minorHAnsi" w:cstheme="minorHAnsi"/>
              </w:rPr>
            </w:pPr>
            <w:r w:rsidRPr="00B845AF">
              <w:rPr>
                <w:rFonts w:asciiTheme="minorHAnsi" w:hAnsiTheme="minorHAnsi" w:cstheme="minorHAnsi"/>
                <w:b/>
                <w:sz w:val="20"/>
              </w:rPr>
              <w:t>NO</w:t>
            </w:r>
          </w:p>
        </w:tc>
        <w:tc>
          <w:tcPr>
            <w:tcW w:w="4775" w:type="dxa"/>
            <w:tcBorders>
              <w:top w:val="single" w:sz="4" w:space="0" w:color="000000"/>
              <w:left w:val="single" w:sz="4" w:space="0" w:color="000000"/>
              <w:bottom w:val="single" w:sz="4" w:space="0" w:color="000000"/>
              <w:right w:val="single" w:sz="4" w:space="0" w:color="000000"/>
            </w:tcBorders>
          </w:tcPr>
          <w:p w14:paraId="67CB7402" w14:textId="77777777" w:rsidR="00CA5547" w:rsidRPr="00B845AF" w:rsidRDefault="00CA5547" w:rsidP="00CA5547">
            <w:pPr>
              <w:spacing w:after="64" w:line="259" w:lineRule="auto"/>
              <w:ind w:left="1"/>
              <w:rPr>
                <w:rFonts w:asciiTheme="minorHAnsi" w:hAnsiTheme="minorHAnsi" w:cstheme="minorHAnsi"/>
              </w:rPr>
            </w:pPr>
            <w:r w:rsidRPr="00B845AF">
              <w:rPr>
                <w:rFonts w:asciiTheme="minorHAnsi" w:hAnsiTheme="minorHAnsi" w:cstheme="minorHAnsi"/>
                <w:sz w:val="16"/>
              </w:rPr>
              <w:t>Recommend using ISO 8601 – Date only format</w:t>
            </w:r>
            <w:r w:rsidRPr="00B845AF">
              <w:rPr>
                <w:rFonts w:asciiTheme="minorHAnsi" w:hAnsiTheme="minorHAnsi" w:cstheme="minorHAnsi"/>
                <w:color w:val="0000FF"/>
                <w:sz w:val="16"/>
              </w:rPr>
              <w:t xml:space="preserve"> </w:t>
            </w:r>
          </w:p>
          <w:p w14:paraId="032E628C" w14:textId="77777777" w:rsidR="00CA5547" w:rsidRPr="00B845AF" w:rsidRDefault="00CA5547" w:rsidP="00CA5547">
            <w:pPr>
              <w:spacing w:after="62" w:line="259" w:lineRule="auto"/>
              <w:ind w:left="1"/>
              <w:rPr>
                <w:rFonts w:asciiTheme="minorHAnsi" w:hAnsiTheme="minorHAnsi" w:cstheme="minorHAnsi"/>
                <w:sz w:val="16"/>
              </w:rPr>
            </w:pPr>
            <w:r w:rsidRPr="00B845AF">
              <w:rPr>
                <w:rFonts w:asciiTheme="minorHAnsi" w:hAnsiTheme="minorHAnsi" w:cstheme="minorHAnsi"/>
                <w:sz w:val="16"/>
              </w:rPr>
              <w:t>Date of unloading IS MANDATORY if a trip has concluded. If a trip is ONGOING at the time of submission, this field may be left blank.</w:t>
            </w:r>
          </w:p>
          <w:p w14:paraId="258744F7" w14:textId="77777777" w:rsidR="00CA5547" w:rsidRPr="00B845AF" w:rsidRDefault="00CA5547" w:rsidP="00CA5547">
            <w:pPr>
              <w:spacing w:line="259" w:lineRule="auto"/>
              <w:ind w:left="1"/>
              <w:rPr>
                <w:rFonts w:asciiTheme="minorHAnsi" w:hAnsiTheme="minorHAnsi" w:cstheme="minorHAnsi"/>
              </w:rPr>
            </w:pPr>
          </w:p>
        </w:tc>
      </w:tr>
    </w:tbl>
    <w:p w14:paraId="713D5051" w14:textId="77777777" w:rsidR="00CA5547" w:rsidRPr="00B845AF" w:rsidRDefault="00CA5547" w:rsidP="00CA5547">
      <w:pPr>
        <w:spacing w:after="33" w:line="259" w:lineRule="auto"/>
        <w:rPr>
          <w:rFonts w:asciiTheme="minorHAnsi" w:hAnsiTheme="minorHAnsi" w:cstheme="minorHAnsi"/>
        </w:rPr>
      </w:pPr>
      <w:r w:rsidRPr="00B845AF">
        <w:rPr>
          <w:rFonts w:asciiTheme="minorHAnsi" w:hAnsiTheme="minorHAnsi" w:cstheme="minorHAnsi"/>
          <w:sz w:val="20"/>
        </w:rPr>
        <w:t xml:space="preserve"> </w:t>
      </w:r>
    </w:p>
    <w:p w14:paraId="583F347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20"/>
        </w:rPr>
        <w:t xml:space="preserve"> </w:t>
      </w:r>
      <w:r w:rsidRPr="00B845AF">
        <w:rPr>
          <w:rFonts w:asciiTheme="minorHAnsi" w:hAnsiTheme="minorHAnsi" w:cstheme="minorHAnsi"/>
          <w:sz w:val="20"/>
        </w:rPr>
        <w:tab/>
      </w:r>
      <w:r w:rsidRPr="00B845AF">
        <w:rPr>
          <w:rFonts w:asciiTheme="minorHAnsi" w:hAnsiTheme="minorHAnsi" w:cstheme="minorHAnsi"/>
          <w:b/>
          <w:i/>
          <w:sz w:val="24"/>
        </w:rPr>
        <w:t xml:space="preserve"> </w:t>
      </w:r>
    </w:p>
    <w:p w14:paraId="0BCC17E4" w14:textId="77777777" w:rsidR="00CA5547" w:rsidRPr="00B845AF" w:rsidRDefault="00CA5547" w:rsidP="00CA5547">
      <w:pPr>
        <w:keepNext/>
        <w:keepLines/>
        <w:tabs>
          <w:tab w:val="right" w:pos="5751"/>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A2.3.2 </w:t>
      </w:r>
      <w:r w:rsidRPr="00B845AF">
        <w:rPr>
          <w:rFonts w:asciiTheme="minorHAnsi" w:eastAsiaTheme="majorEastAsia" w:hAnsiTheme="minorHAnsi" w:cstheme="minorHAnsi"/>
          <w:b/>
          <w:bCs/>
          <w:i/>
          <w:iCs/>
          <w:color w:val="365F91"/>
          <w:szCs w:val="22"/>
        </w:rPr>
        <w:t>Pole-and-line operational data</w:t>
      </w:r>
      <w:r w:rsidRPr="00B845AF">
        <w:rPr>
          <w:rFonts w:asciiTheme="minorHAnsi" w:eastAsiaTheme="majorEastAsia" w:hAnsiTheme="minorHAnsi" w:cstheme="minorHAnsi"/>
          <w:b/>
          <w:bCs/>
          <w:color w:val="365F91"/>
          <w:szCs w:val="22"/>
        </w:rPr>
        <w:t xml:space="preserve"> – DAILY INFORMATION </w:t>
      </w:r>
    </w:p>
    <w:tbl>
      <w:tblPr>
        <w:tblStyle w:val="TableGrid0"/>
        <w:tblW w:w="13550" w:type="dxa"/>
        <w:tblInd w:w="6" w:type="dxa"/>
        <w:tblCellMar>
          <w:top w:w="34" w:type="dxa"/>
          <w:left w:w="107" w:type="dxa"/>
          <w:right w:w="115" w:type="dxa"/>
        </w:tblCellMar>
        <w:tblLook w:val="04A0" w:firstRow="1" w:lastRow="0" w:firstColumn="1" w:lastColumn="0" w:noHBand="0" w:noVBand="1"/>
      </w:tblPr>
      <w:tblGrid>
        <w:gridCol w:w="1417"/>
        <w:gridCol w:w="6326"/>
        <w:gridCol w:w="1032"/>
        <w:gridCol w:w="4775"/>
      </w:tblGrid>
      <w:tr w:rsidR="00CA5547" w:rsidRPr="00B845AF" w14:paraId="1D47AA7C" w14:textId="77777777" w:rsidTr="00835632">
        <w:trPr>
          <w:trHeight w:val="204"/>
        </w:trPr>
        <w:tc>
          <w:tcPr>
            <w:tcW w:w="1417" w:type="dxa"/>
            <w:tcBorders>
              <w:top w:val="single" w:sz="4" w:space="0" w:color="000000"/>
              <w:left w:val="single" w:sz="4" w:space="0" w:color="000000"/>
              <w:bottom w:val="single" w:sz="4" w:space="0" w:color="000000"/>
              <w:right w:val="single" w:sz="4" w:space="0" w:color="000000"/>
            </w:tcBorders>
            <w:shd w:val="clear" w:color="auto" w:fill="A6A6A6"/>
          </w:tcPr>
          <w:p w14:paraId="2FBD3FD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326" w:type="dxa"/>
            <w:tcBorders>
              <w:top w:val="single" w:sz="4" w:space="0" w:color="000000"/>
              <w:left w:val="single" w:sz="4" w:space="0" w:color="000000"/>
              <w:bottom w:val="single" w:sz="4" w:space="0" w:color="000000"/>
              <w:right w:val="single" w:sz="4" w:space="0" w:color="000000"/>
            </w:tcBorders>
            <w:shd w:val="clear" w:color="auto" w:fill="A6A6A6"/>
          </w:tcPr>
          <w:p w14:paraId="0A464BC3"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sz w:val="16"/>
              </w:rPr>
              <w:t xml:space="preserve">Reference text in Annex 1. </w:t>
            </w:r>
          </w:p>
        </w:tc>
        <w:tc>
          <w:tcPr>
            <w:tcW w:w="1032" w:type="dxa"/>
            <w:tcBorders>
              <w:top w:val="single" w:sz="4" w:space="0" w:color="000000"/>
              <w:left w:val="single" w:sz="4" w:space="0" w:color="000000"/>
              <w:bottom w:val="single" w:sz="4" w:space="0" w:color="000000"/>
              <w:right w:val="single" w:sz="4" w:space="0" w:color="000000"/>
            </w:tcBorders>
            <w:shd w:val="clear" w:color="auto" w:fill="A6A6A6"/>
          </w:tcPr>
          <w:p w14:paraId="45D51D9B" w14:textId="77777777" w:rsidR="00CA5547" w:rsidRPr="00B845AF" w:rsidRDefault="00CA5547" w:rsidP="00CA5547">
            <w:pPr>
              <w:spacing w:line="259" w:lineRule="auto"/>
              <w:ind w:left="8"/>
              <w:jc w:val="center"/>
              <w:rPr>
                <w:rFonts w:asciiTheme="minorHAnsi" w:hAnsiTheme="minorHAnsi" w:cstheme="minorHAnsi"/>
              </w:rPr>
            </w:pPr>
            <w:r w:rsidRPr="00B845AF">
              <w:rPr>
                <w:rFonts w:asciiTheme="minorHAnsi" w:hAnsiTheme="minorHAnsi" w:cstheme="minorHAnsi"/>
                <w:b/>
                <w:sz w:val="16"/>
              </w:rPr>
              <w:t xml:space="preserve">Binding </w:t>
            </w:r>
          </w:p>
        </w:tc>
        <w:tc>
          <w:tcPr>
            <w:tcW w:w="4775" w:type="dxa"/>
            <w:tcBorders>
              <w:top w:val="single" w:sz="4" w:space="0" w:color="000000"/>
              <w:left w:val="single" w:sz="4" w:space="0" w:color="000000"/>
              <w:bottom w:val="single" w:sz="4" w:space="0" w:color="000000"/>
              <w:right w:val="single" w:sz="4" w:space="0" w:color="000000"/>
            </w:tcBorders>
            <w:shd w:val="clear" w:color="auto" w:fill="A6A6A6"/>
          </w:tcPr>
          <w:p w14:paraId="1BDD8BC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56161D1F" w14:textId="77777777" w:rsidTr="00835632">
        <w:trPr>
          <w:trHeight w:val="401"/>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6164071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55704E4D"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5078B71D" w14:textId="77777777" w:rsidR="00CA5547" w:rsidRPr="00B845AF" w:rsidRDefault="00CA5547" w:rsidP="00CA5547">
            <w:pPr>
              <w:spacing w:line="259" w:lineRule="auto"/>
              <w:ind w:left="6"/>
              <w:jc w:val="center"/>
              <w:rPr>
                <w:rFonts w:asciiTheme="minorHAnsi" w:hAnsiTheme="minorHAnsi" w:cstheme="minorHAnsi"/>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4215B6E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5EFA4A4F" w14:textId="77777777" w:rsidTr="00835632">
        <w:trPr>
          <w:trHeight w:val="398"/>
        </w:trPr>
        <w:tc>
          <w:tcPr>
            <w:tcW w:w="1417" w:type="dxa"/>
            <w:tcBorders>
              <w:top w:val="single" w:sz="4" w:space="0" w:color="000000"/>
              <w:left w:val="single" w:sz="4" w:space="0" w:color="000000"/>
              <w:bottom w:val="single" w:sz="4" w:space="0" w:color="000000"/>
              <w:right w:val="single" w:sz="4" w:space="0" w:color="000000"/>
            </w:tcBorders>
            <w:shd w:val="clear" w:color="auto" w:fill="FDE9D9"/>
          </w:tcPr>
          <w:p w14:paraId="2968155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IDENTIFIER </w:t>
            </w:r>
          </w:p>
        </w:tc>
        <w:tc>
          <w:tcPr>
            <w:tcW w:w="6326" w:type="dxa"/>
            <w:tcBorders>
              <w:top w:val="single" w:sz="4" w:space="0" w:color="000000"/>
              <w:left w:val="single" w:sz="4" w:space="0" w:color="000000"/>
              <w:bottom w:val="single" w:sz="4" w:space="0" w:color="000000"/>
              <w:right w:val="single" w:sz="4" w:space="0" w:color="000000"/>
            </w:tcBorders>
            <w:shd w:val="clear" w:color="auto" w:fill="FDE9D9"/>
          </w:tcPr>
          <w:p w14:paraId="1908683B"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shd w:val="clear" w:color="auto" w:fill="FDE9D9"/>
          </w:tcPr>
          <w:p w14:paraId="729351EF" w14:textId="77777777" w:rsidR="00CA5547" w:rsidRPr="00B845AF" w:rsidRDefault="00CA5547" w:rsidP="00CA5547">
            <w:pPr>
              <w:spacing w:line="259" w:lineRule="auto"/>
              <w:ind w:left="6"/>
              <w:jc w:val="center"/>
              <w:rPr>
                <w:rFonts w:asciiTheme="minorHAnsi" w:hAnsiTheme="minorHAnsi" w:cstheme="minorHAnsi"/>
              </w:rPr>
            </w:pPr>
            <w:r w:rsidRPr="00B845AF">
              <w:rPr>
                <w:rFonts w:asciiTheme="minorHAnsi" w:hAnsiTheme="minorHAnsi" w:cstheme="minorHAnsi"/>
                <w:b/>
                <w:sz w:val="20"/>
              </w:rPr>
              <w:t>YES</w:t>
            </w:r>
          </w:p>
        </w:tc>
        <w:tc>
          <w:tcPr>
            <w:tcW w:w="4775" w:type="dxa"/>
            <w:tcBorders>
              <w:top w:val="single" w:sz="4" w:space="0" w:color="000000"/>
              <w:left w:val="single" w:sz="4" w:space="0" w:color="000000"/>
              <w:bottom w:val="single" w:sz="4" w:space="0" w:color="000000"/>
              <w:right w:val="single" w:sz="4" w:space="0" w:color="000000"/>
            </w:tcBorders>
            <w:shd w:val="clear" w:color="auto" w:fill="FDE9D9"/>
          </w:tcPr>
          <w:p w14:paraId="18BB2800"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271EA833" w14:textId="77777777" w:rsidTr="00835632">
        <w:trPr>
          <w:trHeight w:val="1576"/>
        </w:trPr>
        <w:tc>
          <w:tcPr>
            <w:tcW w:w="1417" w:type="dxa"/>
            <w:tcBorders>
              <w:top w:val="single" w:sz="4" w:space="0" w:color="000000"/>
              <w:left w:val="single" w:sz="4" w:space="0" w:color="000000"/>
              <w:bottom w:val="single" w:sz="4" w:space="0" w:color="000000"/>
              <w:right w:val="single" w:sz="4" w:space="0" w:color="000000"/>
            </w:tcBorders>
          </w:tcPr>
          <w:p w14:paraId="4301AF6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ACTIVITY </w:t>
            </w:r>
          </w:p>
        </w:tc>
        <w:tc>
          <w:tcPr>
            <w:tcW w:w="6326" w:type="dxa"/>
            <w:tcBorders>
              <w:top w:val="single" w:sz="4" w:space="0" w:color="000000"/>
              <w:left w:val="single" w:sz="4" w:space="0" w:color="000000"/>
              <w:bottom w:val="single" w:sz="4" w:space="0" w:color="000000"/>
              <w:right w:val="single" w:sz="4" w:space="0" w:color="000000"/>
            </w:tcBorders>
          </w:tcPr>
          <w:p w14:paraId="32B23804" w14:textId="77777777" w:rsidR="00CA5547" w:rsidRPr="00B845AF" w:rsidRDefault="00CA5547" w:rsidP="00CA5547">
            <w:pPr>
              <w:spacing w:line="241" w:lineRule="auto"/>
              <w:ind w:left="2"/>
              <w:rPr>
                <w:rFonts w:asciiTheme="minorHAnsi" w:hAnsiTheme="minorHAnsi" w:cstheme="minorHAnsi"/>
              </w:rPr>
            </w:pPr>
            <w:r w:rsidRPr="00B845AF">
              <w:rPr>
                <w:rFonts w:asciiTheme="minorHAnsi" w:hAnsiTheme="minorHAnsi" w:cstheme="minorHAnsi"/>
                <w:b/>
                <w:color w:val="0000FF"/>
                <w:sz w:val="16"/>
                <w:u w:val="single" w:color="0000FF"/>
              </w:rPr>
              <w:t>Activity</w:t>
            </w:r>
            <w:r w:rsidRPr="00B845AF">
              <w:rPr>
                <w:rFonts w:asciiTheme="minorHAnsi" w:hAnsiTheme="minorHAnsi" w:cstheme="minorHAnsi"/>
                <w:color w:val="0000FF"/>
                <w:sz w:val="16"/>
              </w:rPr>
              <w:t xml:space="preserve">: This item shall be reported for each day, from the start of the trip to the end of the trip. </w:t>
            </w:r>
          </w:p>
          <w:p w14:paraId="7A1BBD21"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 </w:t>
            </w:r>
          </w:p>
          <w:p w14:paraId="1533865D"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color w:val="0000FF"/>
                <w:sz w:val="16"/>
              </w:rPr>
              <w:t xml:space="preserve">Activities should include “a day fishing or searching with bait onboard”; “no fishing — collecting bait”; “no fishing — in transit”; “no fishing — gear breakdown”; “no fishing — bad weather”; and “no fishing — in port”. </w:t>
            </w:r>
          </w:p>
        </w:tc>
        <w:tc>
          <w:tcPr>
            <w:tcW w:w="1032" w:type="dxa"/>
            <w:tcBorders>
              <w:top w:val="single" w:sz="4" w:space="0" w:color="000000"/>
              <w:left w:val="single" w:sz="4" w:space="0" w:color="000000"/>
              <w:bottom w:val="single" w:sz="4" w:space="0" w:color="000000"/>
              <w:right w:val="single" w:sz="4" w:space="0" w:color="000000"/>
            </w:tcBorders>
          </w:tcPr>
          <w:p w14:paraId="74B65C7F" w14:textId="77777777" w:rsidR="00CA5547" w:rsidRPr="00B845AF" w:rsidRDefault="00CA5547" w:rsidP="00CA5547">
            <w:pPr>
              <w:spacing w:line="259" w:lineRule="auto"/>
              <w:ind w:left="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1307759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Suggest using a standardised numeric code for each activity. </w:t>
            </w:r>
          </w:p>
          <w:p w14:paraId="2037DD1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p w14:paraId="1A292854"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“a day fishing or searching with bait onboard”;</w:t>
            </w:r>
          </w:p>
          <w:p w14:paraId="37FCCCB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2 – “a day searching” </w:t>
            </w:r>
          </w:p>
          <w:p w14:paraId="784797F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3– “no fishing — collecting bait”;  </w:t>
            </w:r>
          </w:p>
          <w:p w14:paraId="6D9EFEF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4– “no fishing — in transit”;  </w:t>
            </w:r>
          </w:p>
          <w:p w14:paraId="07A7D77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 xml:space="preserve">5– “no fishing — gear breakdown”; </w:t>
            </w:r>
          </w:p>
          <w:p w14:paraId="4D00ED2E"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 xml:space="preserve">6 – “no fishing — bad weather”;  </w:t>
            </w:r>
          </w:p>
          <w:p w14:paraId="3797E377"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7 – “no fishing — in port”;</w:t>
            </w:r>
          </w:p>
          <w:p w14:paraId="58FE195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8 – “no fishing — other”.</w:t>
            </w:r>
          </w:p>
        </w:tc>
      </w:tr>
      <w:tr w:rsidR="00CA5547" w:rsidRPr="00B845AF" w14:paraId="3F25C5BF" w14:textId="77777777" w:rsidTr="00835632">
        <w:trPr>
          <w:trHeight w:val="286"/>
        </w:trPr>
        <w:tc>
          <w:tcPr>
            <w:tcW w:w="1417" w:type="dxa"/>
            <w:tcBorders>
              <w:top w:val="single" w:sz="4" w:space="0" w:color="000000"/>
              <w:left w:val="single" w:sz="4" w:space="0" w:color="000000"/>
              <w:bottom w:val="single" w:sz="4" w:space="0" w:color="000000"/>
              <w:right w:val="single" w:sz="4" w:space="0" w:color="000000"/>
            </w:tcBorders>
          </w:tcPr>
          <w:p w14:paraId="5E27699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DATE </w:t>
            </w:r>
          </w:p>
        </w:tc>
        <w:tc>
          <w:tcPr>
            <w:tcW w:w="6326" w:type="dxa"/>
            <w:tcBorders>
              <w:top w:val="single" w:sz="4" w:space="0" w:color="000000"/>
              <w:left w:val="single" w:sz="4" w:space="0" w:color="000000"/>
              <w:bottom w:val="single" w:sz="4" w:space="0" w:color="000000"/>
              <w:right w:val="single" w:sz="4" w:space="0" w:color="000000"/>
            </w:tcBorders>
          </w:tcPr>
          <w:p w14:paraId="290AC77C"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Date (at sea)</w:t>
            </w:r>
            <w:r w:rsidRPr="00B845AF">
              <w:rPr>
                <w:rFonts w:asciiTheme="minorHAnsi" w:hAnsiTheme="minorHAnsi" w:cstheme="minorHAnsi"/>
                <w:color w:val="0000FF"/>
                <w:sz w:val="16"/>
              </w:rPr>
              <w:t>.  The date should be GMT/UTC.  Please provide the NOON DATE/TIME for each day that the vessel is at sea when a set was not made on that day.</w:t>
            </w:r>
          </w:p>
        </w:tc>
        <w:tc>
          <w:tcPr>
            <w:tcW w:w="1032" w:type="dxa"/>
            <w:tcBorders>
              <w:top w:val="single" w:sz="4" w:space="0" w:color="000000"/>
              <w:left w:val="single" w:sz="4" w:space="0" w:color="000000"/>
              <w:bottom w:val="single" w:sz="4" w:space="0" w:color="000000"/>
              <w:right w:val="single" w:sz="4" w:space="0" w:color="000000"/>
            </w:tcBorders>
          </w:tcPr>
          <w:p w14:paraId="1D939CAB" w14:textId="77777777" w:rsidR="00CA5547" w:rsidRPr="00B845AF" w:rsidRDefault="00CA5547" w:rsidP="00CA5547">
            <w:pPr>
              <w:spacing w:line="259" w:lineRule="auto"/>
              <w:ind w:left="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42EDFD9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r>
      <w:tr w:rsidR="00CA5547" w:rsidRPr="00B845AF" w14:paraId="2C31FEE8" w14:textId="77777777" w:rsidTr="00835632">
        <w:trPr>
          <w:trHeight w:val="252"/>
        </w:trPr>
        <w:tc>
          <w:tcPr>
            <w:tcW w:w="1417" w:type="dxa"/>
            <w:tcBorders>
              <w:top w:val="single" w:sz="4" w:space="0" w:color="000000"/>
              <w:left w:val="single" w:sz="4" w:space="0" w:color="000000"/>
              <w:bottom w:val="single" w:sz="4" w:space="0" w:color="000000"/>
              <w:right w:val="single" w:sz="4" w:space="0" w:color="000000"/>
            </w:tcBorders>
          </w:tcPr>
          <w:p w14:paraId="272005F5" w14:textId="77777777" w:rsidR="00CA5547" w:rsidRPr="00B845AF" w:rsidRDefault="00CA5547" w:rsidP="00CA5547">
            <w:pPr>
              <w:spacing w:line="259" w:lineRule="auto"/>
              <w:rPr>
                <w:rFonts w:asciiTheme="minorHAnsi" w:hAnsiTheme="minorHAnsi" w:cstheme="minorHAnsi"/>
              </w:rPr>
            </w:pPr>
            <w:proofErr w:type="gramStart"/>
            <w:r w:rsidRPr="00B845AF">
              <w:rPr>
                <w:rFonts w:asciiTheme="minorHAnsi" w:hAnsiTheme="minorHAnsi" w:cstheme="minorHAnsi"/>
                <w:sz w:val="16"/>
              </w:rPr>
              <w:t>NOON</w:t>
            </w:r>
            <w:proofErr w:type="gramEnd"/>
            <w:r w:rsidRPr="00B845AF">
              <w:rPr>
                <w:rFonts w:asciiTheme="minorHAnsi" w:hAnsiTheme="minorHAnsi" w:cstheme="minorHAnsi"/>
                <w:sz w:val="16"/>
              </w:rPr>
              <w:t xml:space="preserve"> POSITION   </w:t>
            </w:r>
          </w:p>
          <w:p w14:paraId="12914C1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 </w:t>
            </w:r>
          </w:p>
        </w:tc>
        <w:tc>
          <w:tcPr>
            <w:tcW w:w="6326" w:type="dxa"/>
            <w:tcBorders>
              <w:top w:val="single" w:sz="4" w:space="0" w:color="000000"/>
              <w:left w:val="single" w:sz="4" w:space="0" w:color="000000"/>
              <w:bottom w:val="single" w:sz="4" w:space="0" w:color="000000"/>
              <w:right w:val="single" w:sz="4" w:space="0" w:color="000000"/>
            </w:tcBorders>
          </w:tcPr>
          <w:p w14:paraId="6B21D2A5" w14:textId="77777777" w:rsidR="00CA5547" w:rsidRPr="00B845AF" w:rsidRDefault="00CA5547" w:rsidP="00CA5547">
            <w:pPr>
              <w:spacing w:line="259" w:lineRule="auto"/>
              <w:ind w:left="2"/>
              <w:rPr>
                <w:rFonts w:asciiTheme="minorHAnsi" w:hAnsiTheme="minorHAnsi" w:cstheme="minorHAnsi"/>
              </w:rPr>
            </w:pPr>
            <w:r w:rsidRPr="00B845AF">
              <w:rPr>
                <w:rFonts w:asciiTheme="minorHAnsi" w:hAnsiTheme="minorHAnsi" w:cstheme="minorHAnsi"/>
                <w:b/>
                <w:color w:val="0000FF"/>
                <w:sz w:val="16"/>
                <w:u w:val="single" w:color="0000FF"/>
              </w:rPr>
              <w:t>Noon position:</w:t>
            </w:r>
            <w:r w:rsidRPr="00B845AF">
              <w:rPr>
                <w:rFonts w:asciiTheme="minorHAnsi" w:hAnsiTheme="minorHAnsi" w:cstheme="minorHAnsi"/>
                <w:b/>
                <w:sz w:val="16"/>
              </w:rPr>
              <w:t xml:space="preserve"> </w:t>
            </w:r>
            <w:r w:rsidRPr="00B845AF">
              <w:rPr>
                <w:rFonts w:asciiTheme="minorHAnsi" w:hAnsiTheme="minorHAnsi" w:cstheme="minorHAnsi"/>
                <w:color w:val="0000FF"/>
                <w:sz w:val="16"/>
              </w:rPr>
              <w:t xml:space="preserve">The noon position should be reported in units of at least minutes of latitude and longitude. </w:t>
            </w:r>
            <w:r w:rsidRPr="00B845AF">
              <w:rPr>
                <w:rFonts w:asciiTheme="minorHAnsi" w:hAnsiTheme="minorHAnsi" w:cstheme="minorHAnsi"/>
                <w:sz w:val="16"/>
              </w:rPr>
              <w:t xml:space="preserve"> </w:t>
            </w:r>
          </w:p>
        </w:tc>
        <w:tc>
          <w:tcPr>
            <w:tcW w:w="1032" w:type="dxa"/>
            <w:tcBorders>
              <w:top w:val="single" w:sz="4" w:space="0" w:color="000000"/>
              <w:left w:val="single" w:sz="4" w:space="0" w:color="000000"/>
              <w:bottom w:val="single" w:sz="4" w:space="0" w:color="000000"/>
              <w:right w:val="single" w:sz="4" w:space="0" w:color="000000"/>
            </w:tcBorders>
          </w:tcPr>
          <w:p w14:paraId="0B9AE32E" w14:textId="77777777" w:rsidR="00CA5547" w:rsidRPr="00B845AF" w:rsidRDefault="00CA5547" w:rsidP="00CA5547">
            <w:pPr>
              <w:spacing w:line="259" w:lineRule="auto"/>
              <w:ind w:left="6"/>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20"/>
              </w:rPr>
              <w:t xml:space="preserve"> </w:t>
            </w:r>
          </w:p>
        </w:tc>
        <w:tc>
          <w:tcPr>
            <w:tcW w:w="4775" w:type="dxa"/>
            <w:tcBorders>
              <w:top w:val="single" w:sz="4" w:space="0" w:color="000000"/>
              <w:left w:val="single" w:sz="4" w:space="0" w:color="000000"/>
              <w:bottom w:val="single" w:sz="4" w:space="0" w:color="000000"/>
              <w:right w:val="single" w:sz="4" w:space="0" w:color="000000"/>
            </w:tcBorders>
          </w:tcPr>
          <w:p w14:paraId="500A0A1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Please provide position according to ISO 6709 – Positions in degrees and minutes (to 3 decimal places where relevant). </w:t>
            </w:r>
          </w:p>
        </w:tc>
      </w:tr>
    </w:tbl>
    <w:p w14:paraId="150CC900" w14:textId="77777777" w:rsidR="00CA5547" w:rsidRPr="00B845AF" w:rsidRDefault="00CA5547" w:rsidP="00CA5547">
      <w:pPr>
        <w:spacing w:after="175" w:line="259" w:lineRule="auto"/>
        <w:rPr>
          <w:rFonts w:asciiTheme="minorHAnsi" w:hAnsiTheme="minorHAnsi" w:cstheme="minorHAnsi"/>
          <w:sz w:val="20"/>
        </w:rPr>
      </w:pPr>
    </w:p>
    <w:p w14:paraId="2687B9C0" w14:textId="77777777" w:rsidR="00CA5547" w:rsidRPr="00B845AF" w:rsidRDefault="00CA5547" w:rsidP="00CA5547">
      <w:pPr>
        <w:keepNext/>
        <w:keepLines/>
        <w:tabs>
          <w:tab w:val="right" w:pos="5751"/>
        </w:tabs>
        <w:spacing w:line="259" w:lineRule="auto"/>
        <w:ind w:left="-15"/>
        <w:outlineLvl w:val="0"/>
        <w:rPr>
          <w:rFonts w:asciiTheme="minorHAnsi" w:eastAsiaTheme="majorEastAsia" w:hAnsiTheme="minorHAnsi" w:cstheme="minorHAnsi"/>
          <w:b/>
          <w:bCs/>
          <w:color w:val="365F91"/>
          <w:szCs w:val="22"/>
        </w:rPr>
      </w:pPr>
    </w:p>
    <w:p w14:paraId="3FEDCFCB" w14:textId="77777777" w:rsidR="00CA5547" w:rsidRPr="00B845AF" w:rsidRDefault="00CA5547" w:rsidP="00CA5547">
      <w:pPr>
        <w:keepNext/>
        <w:keepLines/>
        <w:tabs>
          <w:tab w:val="right" w:pos="5751"/>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65F91"/>
          <w:szCs w:val="22"/>
        </w:rPr>
        <w:t xml:space="preserve">A2.3.3 </w:t>
      </w:r>
      <w:r w:rsidRPr="00B845AF">
        <w:rPr>
          <w:rFonts w:asciiTheme="minorHAnsi" w:eastAsiaTheme="majorEastAsia" w:hAnsiTheme="minorHAnsi" w:cstheme="minorHAnsi"/>
          <w:b/>
          <w:bCs/>
          <w:i/>
          <w:iCs/>
          <w:color w:val="365F91"/>
          <w:szCs w:val="22"/>
        </w:rPr>
        <w:t xml:space="preserve">Pole-and-line operational data </w:t>
      </w:r>
      <w:r w:rsidRPr="00B845AF">
        <w:rPr>
          <w:rFonts w:asciiTheme="minorHAnsi" w:eastAsiaTheme="majorEastAsia" w:hAnsiTheme="minorHAnsi" w:cstheme="minorHAnsi"/>
          <w:b/>
          <w:bCs/>
          <w:color w:val="365F91"/>
          <w:szCs w:val="22"/>
        </w:rPr>
        <w:t xml:space="preserve">– CATCH INFORMATION </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279"/>
        <w:gridCol w:w="4559"/>
        <w:gridCol w:w="1844"/>
        <w:gridCol w:w="200"/>
        <w:gridCol w:w="901"/>
        <w:gridCol w:w="4228"/>
      </w:tblGrid>
      <w:tr w:rsidR="00CA5547" w:rsidRPr="00B845AF" w14:paraId="280A711C" w14:textId="77777777" w:rsidTr="00835632">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1497EC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682" w:type="dxa"/>
            <w:gridSpan w:val="3"/>
            <w:tcBorders>
              <w:top w:val="single" w:sz="4" w:space="0" w:color="000000"/>
              <w:left w:val="single" w:sz="4" w:space="0" w:color="000000"/>
              <w:bottom w:val="single" w:sz="4" w:space="0" w:color="000000"/>
              <w:right w:val="nil"/>
            </w:tcBorders>
            <w:shd w:val="clear" w:color="auto" w:fill="A6A6A6"/>
          </w:tcPr>
          <w:p w14:paraId="1B92796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5D494D92"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6031C75C" w14:textId="77777777" w:rsidR="00CA5547" w:rsidRPr="00B845AF" w:rsidRDefault="00CA5547" w:rsidP="00CA5547">
            <w:pPr>
              <w:spacing w:line="259" w:lineRule="auto"/>
              <w:ind w:right="20"/>
              <w:jc w:val="center"/>
              <w:rPr>
                <w:rFonts w:asciiTheme="minorHAnsi" w:hAnsiTheme="minorHAnsi" w:cstheme="minorHAnsi"/>
              </w:rPr>
            </w:pPr>
            <w:r w:rsidRPr="00B845AF">
              <w:rPr>
                <w:rFonts w:asciiTheme="minorHAnsi" w:hAnsiTheme="minorHAnsi" w:cstheme="minorHAnsi"/>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70B9EEC8"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2C0B6346"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33A1FBC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TRIP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68454C3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458915DF"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718E195"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5092D53D"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VESSEL + DEPARTURE DATE </w:t>
            </w:r>
          </w:p>
        </w:tc>
      </w:tr>
      <w:tr w:rsidR="00CA5547" w:rsidRPr="00B845AF" w14:paraId="78BE180C" w14:textId="77777777" w:rsidTr="00835632">
        <w:trPr>
          <w:trHeight w:val="400"/>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4BEC2D4D" w14:textId="77777777" w:rsidR="00CA5547" w:rsidRPr="00B845AF" w:rsidRDefault="00CA5547" w:rsidP="00CA5547">
            <w:pPr>
              <w:spacing w:line="259" w:lineRule="auto"/>
              <w:ind w:right="9"/>
              <w:rPr>
                <w:rFonts w:asciiTheme="minorHAnsi" w:hAnsiTheme="minorHAnsi" w:cstheme="minorHAnsi"/>
              </w:rPr>
            </w:pPr>
            <w:r w:rsidRPr="00B845AF">
              <w:rPr>
                <w:rFonts w:asciiTheme="minorHAnsi" w:hAnsiTheme="minorHAnsi" w:cstheme="minorHAnsi"/>
                <w:sz w:val="16"/>
              </w:rPr>
              <w:t xml:space="preserve">ACTIVITY IDENTIFIER </w:t>
            </w:r>
          </w:p>
        </w:tc>
        <w:tc>
          <w:tcPr>
            <w:tcW w:w="6682" w:type="dxa"/>
            <w:gridSpan w:val="3"/>
            <w:tcBorders>
              <w:top w:val="single" w:sz="4" w:space="0" w:color="000000"/>
              <w:left w:val="single" w:sz="4" w:space="0" w:color="000000"/>
              <w:bottom w:val="single" w:sz="4" w:space="0" w:color="000000"/>
              <w:right w:val="nil"/>
            </w:tcBorders>
            <w:shd w:val="clear" w:color="auto" w:fill="FDE9D9"/>
          </w:tcPr>
          <w:p w14:paraId="3E92B7A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shd w:val="clear" w:color="auto" w:fill="FDE9D9"/>
          </w:tcPr>
          <w:p w14:paraId="1D9BF229"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02A5D1BC"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E6BCDA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Internally generated. Can be NATURAL KEY or unique integer.  NATURAL KEY would be DATE + START TIME OF ACTIVITY </w:t>
            </w:r>
          </w:p>
        </w:tc>
      </w:tr>
      <w:tr w:rsidR="00CA5547" w:rsidRPr="00B845AF" w14:paraId="6BF73BD4" w14:textId="77777777" w:rsidTr="00835632">
        <w:trPr>
          <w:trHeight w:val="209"/>
        </w:trPr>
        <w:tc>
          <w:tcPr>
            <w:tcW w:w="1539" w:type="dxa"/>
            <w:vMerge w:val="restart"/>
            <w:tcBorders>
              <w:top w:val="single" w:sz="4" w:space="0" w:color="000000"/>
              <w:left w:val="single" w:sz="4" w:space="0" w:color="000000"/>
              <w:bottom w:val="single" w:sz="4" w:space="0" w:color="000000"/>
              <w:right w:val="single" w:sz="4" w:space="0" w:color="000000"/>
            </w:tcBorders>
          </w:tcPr>
          <w:p w14:paraId="2FAD9007"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SPECIES CODE </w:t>
            </w:r>
          </w:p>
        </w:tc>
        <w:tc>
          <w:tcPr>
            <w:tcW w:w="6682" w:type="dxa"/>
            <w:gridSpan w:val="3"/>
            <w:tcBorders>
              <w:top w:val="single" w:sz="4" w:space="0" w:color="000000"/>
              <w:left w:val="single" w:sz="4" w:space="0" w:color="000000"/>
              <w:bottom w:val="single" w:sz="4" w:space="0" w:color="000000"/>
              <w:right w:val="nil"/>
            </w:tcBorders>
          </w:tcPr>
          <w:p w14:paraId="307B263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The following species:  </w:t>
            </w:r>
          </w:p>
        </w:tc>
        <w:tc>
          <w:tcPr>
            <w:tcW w:w="200" w:type="dxa"/>
            <w:vMerge w:val="restart"/>
            <w:tcBorders>
              <w:top w:val="single" w:sz="4" w:space="0" w:color="000000"/>
              <w:left w:val="single" w:sz="4" w:space="0" w:color="000000"/>
              <w:bottom w:val="single" w:sz="8" w:space="0" w:color="000000"/>
              <w:right w:val="single" w:sz="4" w:space="0" w:color="000000"/>
            </w:tcBorders>
          </w:tcPr>
          <w:p w14:paraId="7F753B34" w14:textId="77777777" w:rsidR="00CA5547" w:rsidRPr="00B845AF" w:rsidRDefault="00CA5547" w:rsidP="00CA5547">
            <w:pPr>
              <w:spacing w:after="160" w:line="259" w:lineRule="auto"/>
              <w:rPr>
                <w:rFonts w:asciiTheme="minorHAnsi" w:hAnsiTheme="minorHAnsi" w:cstheme="minorHAnsi"/>
              </w:rPr>
            </w:pPr>
          </w:p>
        </w:tc>
        <w:tc>
          <w:tcPr>
            <w:tcW w:w="901" w:type="dxa"/>
            <w:vMerge w:val="restart"/>
            <w:tcBorders>
              <w:top w:val="single" w:sz="4" w:space="0" w:color="000000"/>
              <w:left w:val="single" w:sz="4" w:space="0" w:color="000000"/>
              <w:bottom w:val="single" w:sz="8" w:space="0" w:color="000000"/>
              <w:right w:val="single" w:sz="4" w:space="0" w:color="000000"/>
            </w:tcBorders>
          </w:tcPr>
          <w:p w14:paraId="4F6D416F"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8" w:type="dxa"/>
            <w:vMerge w:val="restart"/>
            <w:tcBorders>
              <w:top w:val="single" w:sz="4" w:space="0" w:color="000000"/>
              <w:left w:val="single" w:sz="4" w:space="0" w:color="000000"/>
              <w:bottom w:val="single" w:sz="8" w:space="0" w:color="000000"/>
              <w:right w:val="single" w:sz="4" w:space="0" w:color="000000"/>
            </w:tcBorders>
          </w:tcPr>
          <w:p w14:paraId="2D742FC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Key WCPFC Species. </w:t>
            </w:r>
          </w:p>
          <w:p w14:paraId="5D5A4AD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For each species taken in the set, PROVIDE the SPECIES CODE according to the FAO standard species code list. </w:t>
            </w:r>
          </w:p>
        </w:tc>
      </w:tr>
      <w:tr w:rsidR="00CA5547" w:rsidRPr="00B845AF" w14:paraId="6E12A9F6" w14:textId="77777777" w:rsidTr="00835632">
        <w:trPr>
          <w:trHeight w:val="202"/>
        </w:trPr>
        <w:tc>
          <w:tcPr>
            <w:tcW w:w="0" w:type="auto"/>
            <w:vMerge/>
            <w:tcBorders>
              <w:top w:val="nil"/>
              <w:left w:val="single" w:sz="4" w:space="0" w:color="000000"/>
              <w:bottom w:val="nil"/>
              <w:right w:val="single" w:sz="4" w:space="0" w:color="000000"/>
            </w:tcBorders>
          </w:tcPr>
          <w:p w14:paraId="06BF26A9" w14:textId="77777777" w:rsidR="00CA5547" w:rsidRPr="00B845AF" w:rsidRDefault="00CA5547" w:rsidP="00CA5547">
            <w:pPr>
              <w:spacing w:after="160" w:line="259" w:lineRule="auto"/>
              <w:rPr>
                <w:rFonts w:asciiTheme="minorHAnsi" w:hAnsiTheme="minorHAnsi" w:cstheme="minorHAnsi"/>
              </w:rPr>
            </w:pPr>
          </w:p>
        </w:tc>
        <w:tc>
          <w:tcPr>
            <w:tcW w:w="279" w:type="dxa"/>
            <w:vMerge w:val="restart"/>
            <w:tcBorders>
              <w:top w:val="nil"/>
              <w:left w:val="single" w:sz="4" w:space="0" w:color="000000"/>
              <w:bottom w:val="single" w:sz="8" w:space="0" w:color="000000"/>
              <w:right w:val="single" w:sz="4" w:space="0" w:color="000000"/>
            </w:tcBorders>
            <w:vAlign w:val="bottom"/>
          </w:tcPr>
          <w:p w14:paraId="6E3AD19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2"/>
              </w:rPr>
              <w:t xml:space="preserve"> </w:t>
            </w:r>
          </w:p>
        </w:tc>
        <w:tc>
          <w:tcPr>
            <w:tcW w:w="4559" w:type="dxa"/>
            <w:tcBorders>
              <w:top w:val="single" w:sz="4" w:space="0" w:color="000000"/>
              <w:left w:val="single" w:sz="4" w:space="0" w:color="000000"/>
              <w:bottom w:val="single" w:sz="4" w:space="0" w:color="000000"/>
              <w:right w:val="single" w:sz="4" w:space="0" w:color="000000"/>
            </w:tcBorders>
            <w:shd w:val="clear" w:color="auto" w:fill="CCC0D9"/>
          </w:tcPr>
          <w:p w14:paraId="6186C65F"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Species name </w:t>
            </w:r>
          </w:p>
        </w:tc>
        <w:tc>
          <w:tcPr>
            <w:tcW w:w="1844" w:type="dxa"/>
            <w:tcBorders>
              <w:top w:val="single" w:sz="4" w:space="0" w:color="000000"/>
              <w:left w:val="single" w:sz="4" w:space="0" w:color="000000"/>
              <w:bottom w:val="single" w:sz="4" w:space="0" w:color="000000"/>
              <w:right w:val="single" w:sz="4" w:space="0" w:color="000000"/>
            </w:tcBorders>
            <w:shd w:val="clear" w:color="auto" w:fill="CCC0D9"/>
          </w:tcPr>
          <w:p w14:paraId="0A751FEE"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FAO Code </w:t>
            </w:r>
          </w:p>
        </w:tc>
        <w:tc>
          <w:tcPr>
            <w:tcW w:w="0" w:type="auto"/>
            <w:vMerge/>
            <w:tcBorders>
              <w:top w:val="nil"/>
              <w:left w:val="single" w:sz="4" w:space="0" w:color="000000"/>
              <w:bottom w:val="nil"/>
              <w:right w:val="single" w:sz="4" w:space="0" w:color="000000"/>
            </w:tcBorders>
          </w:tcPr>
          <w:p w14:paraId="4A5692C6"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649A14D"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1BDEBFB" w14:textId="77777777" w:rsidR="00CA5547" w:rsidRPr="00B845AF" w:rsidRDefault="00CA5547" w:rsidP="00CA5547">
            <w:pPr>
              <w:spacing w:after="160" w:line="259" w:lineRule="auto"/>
              <w:rPr>
                <w:rFonts w:asciiTheme="minorHAnsi" w:hAnsiTheme="minorHAnsi" w:cstheme="minorHAnsi"/>
              </w:rPr>
            </w:pPr>
          </w:p>
        </w:tc>
      </w:tr>
      <w:tr w:rsidR="00CA5547" w:rsidRPr="00B845AF" w14:paraId="4E25CCA6" w14:textId="77777777" w:rsidTr="00835632">
        <w:trPr>
          <w:trHeight w:val="208"/>
        </w:trPr>
        <w:tc>
          <w:tcPr>
            <w:tcW w:w="0" w:type="auto"/>
            <w:vMerge/>
            <w:tcBorders>
              <w:top w:val="nil"/>
              <w:left w:val="single" w:sz="4" w:space="0" w:color="000000"/>
              <w:bottom w:val="nil"/>
              <w:right w:val="single" w:sz="4" w:space="0" w:color="000000"/>
            </w:tcBorders>
          </w:tcPr>
          <w:p w14:paraId="5D0F41E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D5FE4F4"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52DF3AA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albacore (</w:t>
            </w:r>
            <w:r w:rsidRPr="00B845AF">
              <w:rPr>
                <w:rFonts w:asciiTheme="minorHAnsi" w:hAnsiTheme="minorHAnsi" w:cstheme="minorHAnsi"/>
                <w:i/>
                <w:color w:val="0000FF"/>
                <w:sz w:val="16"/>
              </w:rPr>
              <w:t>Thunnus alalunga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8DA2CF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ALB </w:t>
            </w:r>
          </w:p>
        </w:tc>
        <w:tc>
          <w:tcPr>
            <w:tcW w:w="0" w:type="auto"/>
            <w:vMerge/>
            <w:tcBorders>
              <w:top w:val="nil"/>
              <w:left w:val="single" w:sz="4" w:space="0" w:color="000000"/>
              <w:bottom w:val="nil"/>
              <w:right w:val="single" w:sz="4" w:space="0" w:color="000000"/>
            </w:tcBorders>
          </w:tcPr>
          <w:p w14:paraId="44FB5206"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88691A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D8EE64C" w14:textId="77777777" w:rsidR="00CA5547" w:rsidRPr="00B845AF" w:rsidRDefault="00CA5547" w:rsidP="00CA5547">
            <w:pPr>
              <w:spacing w:after="160" w:line="259" w:lineRule="auto"/>
              <w:rPr>
                <w:rFonts w:asciiTheme="minorHAnsi" w:hAnsiTheme="minorHAnsi" w:cstheme="minorHAnsi"/>
              </w:rPr>
            </w:pPr>
          </w:p>
        </w:tc>
      </w:tr>
      <w:tr w:rsidR="00CA5547" w:rsidRPr="00B845AF" w14:paraId="01D1D02B" w14:textId="77777777" w:rsidTr="00835632">
        <w:trPr>
          <w:trHeight w:val="204"/>
        </w:trPr>
        <w:tc>
          <w:tcPr>
            <w:tcW w:w="0" w:type="auto"/>
            <w:vMerge/>
            <w:tcBorders>
              <w:top w:val="nil"/>
              <w:left w:val="single" w:sz="4" w:space="0" w:color="000000"/>
              <w:bottom w:val="nil"/>
              <w:right w:val="single" w:sz="4" w:space="0" w:color="000000"/>
            </w:tcBorders>
          </w:tcPr>
          <w:p w14:paraId="1B28CA6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6E8CF6C"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2C6A101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bigeye (</w:t>
            </w:r>
            <w:r w:rsidRPr="00B845AF">
              <w:rPr>
                <w:rFonts w:asciiTheme="minorHAnsi" w:hAnsiTheme="minorHAnsi" w:cstheme="minorHAnsi"/>
                <w:i/>
                <w:color w:val="0000FF"/>
                <w:sz w:val="16"/>
              </w:rPr>
              <w:t>Thunnus obesus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BF8227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BET </w:t>
            </w:r>
          </w:p>
        </w:tc>
        <w:tc>
          <w:tcPr>
            <w:tcW w:w="0" w:type="auto"/>
            <w:vMerge/>
            <w:tcBorders>
              <w:top w:val="nil"/>
              <w:left w:val="single" w:sz="4" w:space="0" w:color="000000"/>
              <w:bottom w:val="nil"/>
              <w:right w:val="single" w:sz="4" w:space="0" w:color="000000"/>
            </w:tcBorders>
          </w:tcPr>
          <w:p w14:paraId="794FF0F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ADC591A"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252E96D" w14:textId="77777777" w:rsidR="00CA5547" w:rsidRPr="00B845AF" w:rsidRDefault="00CA5547" w:rsidP="00CA5547">
            <w:pPr>
              <w:spacing w:after="160" w:line="259" w:lineRule="auto"/>
              <w:rPr>
                <w:rFonts w:asciiTheme="minorHAnsi" w:hAnsiTheme="minorHAnsi" w:cstheme="minorHAnsi"/>
              </w:rPr>
            </w:pPr>
          </w:p>
        </w:tc>
      </w:tr>
      <w:tr w:rsidR="00CA5547" w:rsidRPr="00B845AF" w14:paraId="6F22F0A9" w14:textId="77777777" w:rsidTr="00835632">
        <w:trPr>
          <w:trHeight w:val="206"/>
        </w:trPr>
        <w:tc>
          <w:tcPr>
            <w:tcW w:w="0" w:type="auto"/>
            <w:vMerge/>
            <w:tcBorders>
              <w:top w:val="nil"/>
              <w:left w:val="single" w:sz="4" w:space="0" w:color="000000"/>
              <w:bottom w:val="nil"/>
              <w:right w:val="single" w:sz="4" w:space="0" w:color="000000"/>
            </w:tcBorders>
          </w:tcPr>
          <w:p w14:paraId="692BC5B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F4D750C"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9901D3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skipjack (</w:t>
            </w:r>
            <w:r w:rsidRPr="00B845AF">
              <w:rPr>
                <w:rFonts w:asciiTheme="minorHAnsi" w:hAnsiTheme="minorHAnsi" w:cstheme="minorHAnsi"/>
                <w:i/>
                <w:color w:val="0000FF"/>
                <w:sz w:val="16"/>
              </w:rPr>
              <w:t>Katsuwonus pelamis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8BE5266"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SKJ </w:t>
            </w:r>
          </w:p>
        </w:tc>
        <w:tc>
          <w:tcPr>
            <w:tcW w:w="0" w:type="auto"/>
            <w:vMerge/>
            <w:tcBorders>
              <w:top w:val="nil"/>
              <w:left w:val="single" w:sz="4" w:space="0" w:color="000000"/>
              <w:bottom w:val="nil"/>
              <w:right w:val="single" w:sz="4" w:space="0" w:color="000000"/>
            </w:tcBorders>
          </w:tcPr>
          <w:p w14:paraId="186BF776"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1012CA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519F043" w14:textId="77777777" w:rsidR="00CA5547" w:rsidRPr="00B845AF" w:rsidRDefault="00CA5547" w:rsidP="00CA5547">
            <w:pPr>
              <w:spacing w:after="160" w:line="259" w:lineRule="auto"/>
              <w:rPr>
                <w:rFonts w:asciiTheme="minorHAnsi" w:hAnsiTheme="minorHAnsi" w:cstheme="minorHAnsi"/>
              </w:rPr>
            </w:pPr>
          </w:p>
        </w:tc>
      </w:tr>
      <w:tr w:rsidR="00CA5547" w:rsidRPr="00B845AF" w14:paraId="658E58F4" w14:textId="77777777" w:rsidTr="00835632">
        <w:trPr>
          <w:trHeight w:val="207"/>
        </w:trPr>
        <w:tc>
          <w:tcPr>
            <w:tcW w:w="0" w:type="auto"/>
            <w:vMerge/>
            <w:tcBorders>
              <w:top w:val="nil"/>
              <w:left w:val="single" w:sz="4" w:space="0" w:color="000000"/>
              <w:bottom w:val="nil"/>
              <w:right w:val="single" w:sz="4" w:space="0" w:color="000000"/>
            </w:tcBorders>
          </w:tcPr>
          <w:p w14:paraId="2A77833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5F08701"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777FE8A"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yellowfin (</w:t>
            </w:r>
            <w:r w:rsidRPr="00B845AF">
              <w:rPr>
                <w:rFonts w:asciiTheme="minorHAnsi" w:hAnsiTheme="minorHAnsi" w:cstheme="minorHAnsi"/>
                <w:i/>
                <w:color w:val="0000FF"/>
                <w:sz w:val="16"/>
              </w:rPr>
              <w:t>Thunnus albacares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16CD16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YFT </w:t>
            </w:r>
          </w:p>
        </w:tc>
        <w:tc>
          <w:tcPr>
            <w:tcW w:w="0" w:type="auto"/>
            <w:vMerge/>
            <w:tcBorders>
              <w:top w:val="nil"/>
              <w:left w:val="single" w:sz="4" w:space="0" w:color="000000"/>
              <w:bottom w:val="nil"/>
              <w:right w:val="single" w:sz="4" w:space="0" w:color="000000"/>
            </w:tcBorders>
          </w:tcPr>
          <w:p w14:paraId="16AAD52F"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2C1215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62932CB" w14:textId="77777777" w:rsidR="00CA5547" w:rsidRPr="00B845AF" w:rsidRDefault="00CA5547" w:rsidP="00CA5547">
            <w:pPr>
              <w:spacing w:after="160" w:line="259" w:lineRule="auto"/>
              <w:rPr>
                <w:rFonts w:asciiTheme="minorHAnsi" w:hAnsiTheme="minorHAnsi" w:cstheme="minorHAnsi"/>
              </w:rPr>
            </w:pPr>
          </w:p>
        </w:tc>
      </w:tr>
      <w:tr w:rsidR="00CA5547" w:rsidRPr="00B845AF" w14:paraId="32547652" w14:textId="77777777" w:rsidTr="00835632">
        <w:trPr>
          <w:trHeight w:val="204"/>
        </w:trPr>
        <w:tc>
          <w:tcPr>
            <w:tcW w:w="0" w:type="auto"/>
            <w:vMerge/>
            <w:tcBorders>
              <w:top w:val="nil"/>
              <w:left w:val="single" w:sz="4" w:space="0" w:color="000000"/>
              <w:bottom w:val="nil"/>
              <w:right w:val="single" w:sz="4" w:space="0" w:color="000000"/>
            </w:tcBorders>
          </w:tcPr>
          <w:p w14:paraId="20F7863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2E4FCAB"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35BDFC4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striped marlin (</w:t>
            </w:r>
            <w:r w:rsidRPr="00B845AF">
              <w:rPr>
                <w:rFonts w:asciiTheme="minorHAnsi" w:hAnsiTheme="minorHAnsi" w:cstheme="minorHAnsi"/>
                <w:i/>
                <w:color w:val="0000FF"/>
                <w:sz w:val="16"/>
              </w:rPr>
              <w:t>Tetrapturus audax</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484B0B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MLS </w:t>
            </w:r>
          </w:p>
        </w:tc>
        <w:tc>
          <w:tcPr>
            <w:tcW w:w="0" w:type="auto"/>
            <w:vMerge/>
            <w:tcBorders>
              <w:top w:val="nil"/>
              <w:left w:val="single" w:sz="4" w:space="0" w:color="000000"/>
              <w:bottom w:val="nil"/>
              <w:right w:val="single" w:sz="4" w:space="0" w:color="000000"/>
            </w:tcBorders>
          </w:tcPr>
          <w:p w14:paraId="017C7D22"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FD91F4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7909FEF" w14:textId="77777777" w:rsidR="00CA5547" w:rsidRPr="00B845AF" w:rsidRDefault="00CA5547" w:rsidP="00CA5547">
            <w:pPr>
              <w:spacing w:after="160" w:line="259" w:lineRule="auto"/>
              <w:rPr>
                <w:rFonts w:asciiTheme="minorHAnsi" w:hAnsiTheme="minorHAnsi" w:cstheme="minorHAnsi"/>
              </w:rPr>
            </w:pPr>
          </w:p>
        </w:tc>
      </w:tr>
      <w:tr w:rsidR="00CA5547" w:rsidRPr="00B845AF" w14:paraId="339CF35B" w14:textId="77777777" w:rsidTr="00835632">
        <w:trPr>
          <w:trHeight w:val="206"/>
        </w:trPr>
        <w:tc>
          <w:tcPr>
            <w:tcW w:w="0" w:type="auto"/>
            <w:vMerge/>
            <w:tcBorders>
              <w:top w:val="nil"/>
              <w:left w:val="single" w:sz="4" w:space="0" w:color="000000"/>
              <w:bottom w:val="nil"/>
              <w:right w:val="single" w:sz="4" w:space="0" w:color="000000"/>
            </w:tcBorders>
          </w:tcPr>
          <w:p w14:paraId="6D4BE58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3B15FA9"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16AF945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blue marlin (</w:t>
            </w:r>
            <w:r w:rsidRPr="00B845AF">
              <w:rPr>
                <w:rFonts w:asciiTheme="minorHAnsi" w:hAnsiTheme="minorHAnsi" w:cstheme="minorHAnsi"/>
                <w:i/>
                <w:color w:val="0000FF"/>
                <w:sz w:val="16"/>
              </w:rPr>
              <w:t>Makaira mazara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68DB6F93"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BUM </w:t>
            </w:r>
          </w:p>
        </w:tc>
        <w:tc>
          <w:tcPr>
            <w:tcW w:w="0" w:type="auto"/>
            <w:vMerge/>
            <w:tcBorders>
              <w:top w:val="nil"/>
              <w:left w:val="single" w:sz="4" w:space="0" w:color="000000"/>
              <w:bottom w:val="nil"/>
              <w:right w:val="single" w:sz="4" w:space="0" w:color="000000"/>
            </w:tcBorders>
          </w:tcPr>
          <w:p w14:paraId="455458A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FDA015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9725E6A" w14:textId="77777777" w:rsidR="00CA5547" w:rsidRPr="00B845AF" w:rsidRDefault="00CA5547" w:rsidP="00CA5547">
            <w:pPr>
              <w:spacing w:after="160" w:line="259" w:lineRule="auto"/>
              <w:rPr>
                <w:rFonts w:asciiTheme="minorHAnsi" w:hAnsiTheme="minorHAnsi" w:cstheme="minorHAnsi"/>
              </w:rPr>
            </w:pPr>
          </w:p>
        </w:tc>
      </w:tr>
      <w:tr w:rsidR="00CA5547" w:rsidRPr="00B845AF" w14:paraId="6B205459" w14:textId="77777777" w:rsidTr="00835632">
        <w:trPr>
          <w:trHeight w:val="204"/>
        </w:trPr>
        <w:tc>
          <w:tcPr>
            <w:tcW w:w="0" w:type="auto"/>
            <w:vMerge/>
            <w:tcBorders>
              <w:top w:val="nil"/>
              <w:left w:val="single" w:sz="4" w:space="0" w:color="000000"/>
              <w:bottom w:val="nil"/>
              <w:right w:val="single" w:sz="4" w:space="0" w:color="000000"/>
            </w:tcBorders>
          </w:tcPr>
          <w:p w14:paraId="2730C4C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4FA9EAD"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DA6212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black marlin (</w:t>
            </w:r>
            <w:r w:rsidRPr="00B845AF">
              <w:rPr>
                <w:rFonts w:asciiTheme="minorHAnsi" w:hAnsiTheme="minorHAnsi" w:cstheme="minorHAnsi"/>
                <w:i/>
                <w:color w:val="0000FF"/>
                <w:sz w:val="16"/>
              </w:rPr>
              <w:t>Makaira indica</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19528187"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BLM </w:t>
            </w:r>
          </w:p>
        </w:tc>
        <w:tc>
          <w:tcPr>
            <w:tcW w:w="0" w:type="auto"/>
            <w:vMerge/>
            <w:tcBorders>
              <w:top w:val="nil"/>
              <w:left w:val="single" w:sz="4" w:space="0" w:color="000000"/>
              <w:bottom w:val="nil"/>
              <w:right w:val="single" w:sz="4" w:space="0" w:color="000000"/>
            </w:tcBorders>
          </w:tcPr>
          <w:p w14:paraId="0D3FDFE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67D5BCF"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2380B8F" w14:textId="77777777" w:rsidR="00CA5547" w:rsidRPr="00B845AF" w:rsidRDefault="00CA5547" w:rsidP="00CA5547">
            <w:pPr>
              <w:spacing w:after="160" w:line="259" w:lineRule="auto"/>
              <w:rPr>
                <w:rFonts w:asciiTheme="minorHAnsi" w:hAnsiTheme="minorHAnsi" w:cstheme="minorHAnsi"/>
              </w:rPr>
            </w:pPr>
          </w:p>
        </w:tc>
      </w:tr>
      <w:tr w:rsidR="00CA5547" w:rsidRPr="00B845AF" w14:paraId="48AAE20C" w14:textId="77777777" w:rsidTr="00835632">
        <w:trPr>
          <w:trHeight w:val="206"/>
        </w:trPr>
        <w:tc>
          <w:tcPr>
            <w:tcW w:w="0" w:type="auto"/>
            <w:vMerge/>
            <w:tcBorders>
              <w:top w:val="nil"/>
              <w:left w:val="single" w:sz="4" w:space="0" w:color="000000"/>
              <w:bottom w:val="nil"/>
              <w:right w:val="single" w:sz="4" w:space="0" w:color="000000"/>
            </w:tcBorders>
          </w:tcPr>
          <w:p w14:paraId="5250CDA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0EE21C4"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A92021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swordfish (</w:t>
            </w:r>
            <w:r w:rsidRPr="00B845AF">
              <w:rPr>
                <w:rFonts w:asciiTheme="minorHAnsi" w:hAnsiTheme="minorHAnsi" w:cstheme="minorHAnsi"/>
                <w:i/>
                <w:color w:val="0000FF"/>
                <w:sz w:val="16"/>
              </w:rPr>
              <w:t>Xiphias gladius</w:t>
            </w:r>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E680F4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SWO </w:t>
            </w:r>
          </w:p>
        </w:tc>
        <w:tc>
          <w:tcPr>
            <w:tcW w:w="0" w:type="auto"/>
            <w:vMerge/>
            <w:tcBorders>
              <w:top w:val="nil"/>
              <w:left w:val="single" w:sz="4" w:space="0" w:color="000000"/>
              <w:bottom w:val="nil"/>
              <w:right w:val="single" w:sz="4" w:space="0" w:color="000000"/>
            </w:tcBorders>
          </w:tcPr>
          <w:p w14:paraId="591F7FB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874918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AFF213D" w14:textId="77777777" w:rsidR="00CA5547" w:rsidRPr="00B845AF" w:rsidRDefault="00CA5547" w:rsidP="00CA5547">
            <w:pPr>
              <w:spacing w:after="160" w:line="259" w:lineRule="auto"/>
              <w:rPr>
                <w:rFonts w:asciiTheme="minorHAnsi" w:hAnsiTheme="minorHAnsi" w:cstheme="minorHAnsi"/>
              </w:rPr>
            </w:pPr>
          </w:p>
        </w:tc>
      </w:tr>
      <w:tr w:rsidR="00CA5547" w:rsidRPr="00B845AF" w14:paraId="6FB7465B" w14:textId="77777777" w:rsidTr="00835632">
        <w:trPr>
          <w:trHeight w:val="204"/>
        </w:trPr>
        <w:tc>
          <w:tcPr>
            <w:tcW w:w="0" w:type="auto"/>
            <w:vMerge/>
            <w:tcBorders>
              <w:top w:val="nil"/>
              <w:left w:val="single" w:sz="4" w:space="0" w:color="000000"/>
              <w:bottom w:val="nil"/>
              <w:right w:val="single" w:sz="4" w:space="0" w:color="000000"/>
            </w:tcBorders>
          </w:tcPr>
          <w:p w14:paraId="5EAECBB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2CAE248"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C57CF14"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shortbill spearfish (</w:t>
            </w:r>
            <w:r w:rsidRPr="00B845AF">
              <w:rPr>
                <w:rFonts w:asciiTheme="minorHAnsi" w:hAnsiTheme="minorHAnsi" w:cstheme="minorHAnsi"/>
                <w:i/>
                <w:color w:val="0000FF"/>
                <w:sz w:val="16"/>
              </w:rPr>
              <w:t xml:space="preserve">Tetrapturus </w:t>
            </w:r>
            <w:proofErr w:type="spellStart"/>
            <w:r w:rsidRPr="00B845AF">
              <w:rPr>
                <w:rFonts w:asciiTheme="minorHAnsi" w:hAnsiTheme="minorHAnsi" w:cstheme="minorHAnsi"/>
                <w:i/>
                <w:color w:val="0000FF"/>
                <w:sz w:val="16"/>
              </w:rPr>
              <w:t>angustirostris</w:t>
            </w:r>
            <w:proofErr w:type="spellEnd"/>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7FB013E5"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SSP </w:t>
            </w:r>
          </w:p>
        </w:tc>
        <w:tc>
          <w:tcPr>
            <w:tcW w:w="0" w:type="auto"/>
            <w:vMerge/>
            <w:tcBorders>
              <w:top w:val="nil"/>
              <w:left w:val="single" w:sz="4" w:space="0" w:color="000000"/>
              <w:bottom w:val="nil"/>
              <w:right w:val="single" w:sz="4" w:space="0" w:color="000000"/>
            </w:tcBorders>
          </w:tcPr>
          <w:p w14:paraId="20F82C1C"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BC0E1A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19D6EFA" w14:textId="77777777" w:rsidR="00CA5547" w:rsidRPr="00B845AF" w:rsidRDefault="00CA5547" w:rsidP="00CA5547">
            <w:pPr>
              <w:spacing w:after="160" w:line="259" w:lineRule="auto"/>
              <w:rPr>
                <w:rFonts w:asciiTheme="minorHAnsi" w:hAnsiTheme="minorHAnsi" w:cstheme="minorHAnsi"/>
              </w:rPr>
            </w:pPr>
          </w:p>
        </w:tc>
      </w:tr>
      <w:tr w:rsidR="00CA5547" w:rsidRPr="00B845AF" w14:paraId="7063B5D3" w14:textId="77777777" w:rsidTr="00835632">
        <w:trPr>
          <w:trHeight w:val="206"/>
        </w:trPr>
        <w:tc>
          <w:tcPr>
            <w:tcW w:w="0" w:type="auto"/>
            <w:vMerge/>
            <w:tcBorders>
              <w:top w:val="nil"/>
              <w:left w:val="single" w:sz="4" w:space="0" w:color="000000"/>
              <w:bottom w:val="nil"/>
              <w:right w:val="single" w:sz="4" w:space="0" w:color="000000"/>
            </w:tcBorders>
          </w:tcPr>
          <w:p w14:paraId="6513139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7E32527"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501523D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sailfish (</w:t>
            </w:r>
            <w:proofErr w:type="spellStart"/>
            <w:r w:rsidRPr="00B845AF">
              <w:rPr>
                <w:rFonts w:asciiTheme="minorHAnsi" w:hAnsiTheme="minorHAnsi" w:cstheme="minorHAnsi"/>
                <w:i/>
                <w:color w:val="0000FF"/>
                <w:sz w:val="16"/>
              </w:rPr>
              <w:t>Istiophorus</w:t>
            </w:r>
            <w:proofErr w:type="spellEnd"/>
            <w:r w:rsidRPr="00B845AF">
              <w:rPr>
                <w:rFonts w:asciiTheme="minorHAnsi" w:hAnsiTheme="minorHAnsi" w:cstheme="minorHAnsi"/>
                <w:i/>
                <w:color w:val="0000FF"/>
                <w:sz w:val="16"/>
              </w:rPr>
              <w:t xml:space="preserve"> </w:t>
            </w:r>
            <w:proofErr w:type="spellStart"/>
            <w:r w:rsidRPr="00B845AF">
              <w:rPr>
                <w:rFonts w:asciiTheme="minorHAnsi" w:hAnsiTheme="minorHAnsi" w:cstheme="minorHAnsi"/>
                <w:i/>
                <w:color w:val="0000FF"/>
                <w:sz w:val="16"/>
              </w:rPr>
              <w:t>platypterus</w:t>
            </w:r>
            <w:proofErr w:type="spellEnd"/>
            <w:r w:rsidRPr="00B845AF">
              <w:rPr>
                <w:rFonts w:asciiTheme="minorHAnsi" w:hAnsiTheme="minorHAnsi" w:cstheme="minorHAnsi"/>
                <w:color w:val="0000FF"/>
                <w:sz w:val="16"/>
              </w:rPr>
              <w:t xml:space="preserve">) </w:t>
            </w:r>
          </w:p>
        </w:tc>
        <w:tc>
          <w:tcPr>
            <w:tcW w:w="1844" w:type="dxa"/>
            <w:tcBorders>
              <w:top w:val="single" w:sz="4" w:space="0" w:color="000000"/>
              <w:left w:val="single" w:sz="4" w:space="0" w:color="000000"/>
              <w:bottom w:val="single" w:sz="4" w:space="0" w:color="000000"/>
              <w:right w:val="single" w:sz="4" w:space="0" w:color="000000"/>
            </w:tcBorders>
          </w:tcPr>
          <w:p w14:paraId="560C73FA"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SFA </w:t>
            </w:r>
          </w:p>
        </w:tc>
        <w:tc>
          <w:tcPr>
            <w:tcW w:w="0" w:type="auto"/>
            <w:vMerge/>
            <w:tcBorders>
              <w:top w:val="nil"/>
              <w:left w:val="single" w:sz="4" w:space="0" w:color="000000"/>
              <w:bottom w:val="nil"/>
              <w:right w:val="single" w:sz="4" w:space="0" w:color="000000"/>
            </w:tcBorders>
          </w:tcPr>
          <w:p w14:paraId="36CA103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0DDECE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CD4F263" w14:textId="77777777" w:rsidR="00CA5547" w:rsidRPr="00B845AF" w:rsidRDefault="00CA5547" w:rsidP="00CA5547">
            <w:pPr>
              <w:spacing w:after="160" w:line="259" w:lineRule="auto"/>
              <w:rPr>
                <w:rFonts w:asciiTheme="minorHAnsi" w:hAnsiTheme="minorHAnsi" w:cstheme="minorHAnsi"/>
              </w:rPr>
            </w:pPr>
          </w:p>
        </w:tc>
      </w:tr>
      <w:tr w:rsidR="00CA5547" w:rsidRPr="00B845AF" w14:paraId="71CFDAD9" w14:textId="77777777" w:rsidTr="00835632">
        <w:trPr>
          <w:trHeight w:val="204"/>
        </w:trPr>
        <w:tc>
          <w:tcPr>
            <w:tcW w:w="0" w:type="auto"/>
            <w:vMerge/>
            <w:tcBorders>
              <w:top w:val="nil"/>
              <w:left w:val="single" w:sz="4" w:space="0" w:color="000000"/>
              <w:bottom w:val="nil"/>
              <w:right w:val="single" w:sz="4" w:space="0" w:color="000000"/>
            </w:tcBorders>
          </w:tcPr>
          <w:p w14:paraId="3C43609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FDDE502"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7EA78199"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blue shark,  </w:t>
            </w:r>
          </w:p>
        </w:tc>
        <w:tc>
          <w:tcPr>
            <w:tcW w:w="1844" w:type="dxa"/>
            <w:tcBorders>
              <w:top w:val="single" w:sz="4" w:space="0" w:color="000000"/>
              <w:left w:val="single" w:sz="4" w:space="0" w:color="000000"/>
              <w:bottom w:val="single" w:sz="4" w:space="0" w:color="000000"/>
              <w:right w:val="single" w:sz="4" w:space="0" w:color="000000"/>
            </w:tcBorders>
          </w:tcPr>
          <w:p w14:paraId="7B23BEC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BSH </w:t>
            </w:r>
          </w:p>
        </w:tc>
        <w:tc>
          <w:tcPr>
            <w:tcW w:w="0" w:type="auto"/>
            <w:vMerge/>
            <w:tcBorders>
              <w:top w:val="nil"/>
              <w:left w:val="single" w:sz="4" w:space="0" w:color="000000"/>
              <w:bottom w:val="nil"/>
              <w:right w:val="single" w:sz="4" w:space="0" w:color="000000"/>
            </w:tcBorders>
          </w:tcPr>
          <w:p w14:paraId="255B6776"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E9CDB21"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28F62D9" w14:textId="77777777" w:rsidR="00CA5547" w:rsidRPr="00B845AF" w:rsidRDefault="00CA5547" w:rsidP="00CA5547">
            <w:pPr>
              <w:spacing w:after="160" w:line="259" w:lineRule="auto"/>
              <w:rPr>
                <w:rFonts w:asciiTheme="minorHAnsi" w:hAnsiTheme="minorHAnsi" w:cstheme="minorHAnsi"/>
              </w:rPr>
            </w:pPr>
          </w:p>
        </w:tc>
      </w:tr>
      <w:tr w:rsidR="00CA5547" w:rsidRPr="00B845AF" w14:paraId="5498BF27" w14:textId="77777777" w:rsidTr="00835632">
        <w:trPr>
          <w:trHeight w:val="206"/>
        </w:trPr>
        <w:tc>
          <w:tcPr>
            <w:tcW w:w="0" w:type="auto"/>
            <w:vMerge/>
            <w:tcBorders>
              <w:top w:val="nil"/>
              <w:left w:val="single" w:sz="4" w:space="0" w:color="000000"/>
              <w:bottom w:val="nil"/>
              <w:right w:val="single" w:sz="4" w:space="0" w:color="000000"/>
            </w:tcBorders>
          </w:tcPr>
          <w:p w14:paraId="4E0BA3A1"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F912770"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EA2C64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silky shark,  </w:t>
            </w:r>
          </w:p>
        </w:tc>
        <w:tc>
          <w:tcPr>
            <w:tcW w:w="1844" w:type="dxa"/>
            <w:tcBorders>
              <w:top w:val="single" w:sz="4" w:space="0" w:color="000000"/>
              <w:left w:val="single" w:sz="4" w:space="0" w:color="000000"/>
              <w:bottom w:val="single" w:sz="4" w:space="0" w:color="000000"/>
              <w:right w:val="single" w:sz="4" w:space="0" w:color="000000"/>
            </w:tcBorders>
          </w:tcPr>
          <w:p w14:paraId="759CB24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FAL </w:t>
            </w:r>
          </w:p>
        </w:tc>
        <w:tc>
          <w:tcPr>
            <w:tcW w:w="0" w:type="auto"/>
            <w:vMerge/>
            <w:tcBorders>
              <w:top w:val="nil"/>
              <w:left w:val="single" w:sz="4" w:space="0" w:color="000000"/>
              <w:bottom w:val="nil"/>
              <w:right w:val="single" w:sz="4" w:space="0" w:color="000000"/>
            </w:tcBorders>
          </w:tcPr>
          <w:p w14:paraId="176F778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A4A338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BA719E1" w14:textId="77777777" w:rsidR="00CA5547" w:rsidRPr="00B845AF" w:rsidRDefault="00CA5547" w:rsidP="00CA5547">
            <w:pPr>
              <w:spacing w:after="160" w:line="259" w:lineRule="auto"/>
              <w:rPr>
                <w:rFonts w:asciiTheme="minorHAnsi" w:hAnsiTheme="minorHAnsi" w:cstheme="minorHAnsi"/>
              </w:rPr>
            </w:pPr>
          </w:p>
        </w:tc>
      </w:tr>
      <w:tr w:rsidR="00CA5547" w:rsidRPr="00B845AF" w14:paraId="3904C865" w14:textId="77777777" w:rsidTr="00835632">
        <w:trPr>
          <w:trHeight w:val="204"/>
        </w:trPr>
        <w:tc>
          <w:tcPr>
            <w:tcW w:w="0" w:type="auto"/>
            <w:vMerge/>
            <w:tcBorders>
              <w:top w:val="nil"/>
              <w:left w:val="single" w:sz="4" w:space="0" w:color="000000"/>
              <w:bottom w:val="nil"/>
              <w:right w:val="single" w:sz="4" w:space="0" w:color="000000"/>
            </w:tcBorders>
          </w:tcPr>
          <w:p w14:paraId="02EA231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B512715"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235548E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oceanic whitetip shark,  </w:t>
            </w:r>
          </w:p>
        </w:tc>
        <w:tc>
          <w:tcPr>
            <w:tcW w:w="1844" w:type="dxa"/>
            <w:tcBorders>
              <w:top w:val="single" w:sz="4" w:space="0" w:color="000000"/>
              <w:left w:val="single" w:sz="4" w:space="0" w:color="000000"/>
              <w:bottom w:val="single" w:sz="4" w:space="0" w:color="000000"/>
              <w:right w:val="single" w:sz="4" w:space="0" w:color="000000"/>
            </w:tcBorders>
          </w:tcPr>
          <w:p w14:paraId="19DA31C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OCS </w:t>
            </w:r>
          </w:p>
        </w:tc>
        <w:tc>
          <w:tcPr>
            <w:tcW w:w="0" w:type="auto"/>
            <w:vMerge/>
            <w:tcBorders>
              <w:top w:val="nil"/>
              <w:left w:val="single" w:sz="4" w:space="0" w:color="000000"/>
              <w:bottom w:val="nil"/>
              <w:right w:val="single" w:sz="4" w:space="0" w:color="000000"/>
            </w:tcBorders>
          </w:tcPr>
          <w:p w14:paraId="62B3E4FF"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A64FEB4"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7F8C00B9" w14:textId="77777777" w:rsidR="00CA5547" w:rsidRPr="00B845AF" w:rsidRDefault="00CA5547" w:rsidP="00CA5547">
            <w:pPr>
              <w:spacing w:after="160" w:line="259" w:lineRule="auto"/>
              <w:rPr>
                <w:rFonts w:asciiTheme="minorHAnsi" w:hAnsiTheme="minorHAnsi" w:cstheme="minorHAnsi"/>
              </w:rPr>
            </w:pPr>
          </w:p>
        </w:tc>
      </w:tr>
      <w:tr w:rsidR="00CA5547" w:rsidRPr="00B845AF" w14:paraId="34DE95D7" w14:textId="77777777" w:rsidTr="00835632">
        <w:trPr>
          <w:trHeight w:val="206"/>
        </w:trPr>
        <w:tc>
          <w:tcPr>
            <w:tcW w:w="0" w:type="auto"/>
            <w:vMerge/>
            <w:tcBorders>
              <w:top w:val="nil"/>
              <w:left w:val="single" w:sz="4" w:space="0" w:color="000000"/>
              <w:bottom w:val="nil"/>
              <w:right w:val="single" w:sz="4" w:space="0" w:color="000000"/>
            </w:tcBorders>
          </w:tcPr>
          <w:p w14:paraId="0788A90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0C93F52"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638EF518"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mako sharks,  </w:t>
            </w:r>
          </w:p>
        </w:tc>
        <w:tc>
          <w:tcPr>
            <w:tcW w:w="1844" w:type="dxa"/>
            <w:tcBorders>
              <w:top w:val="single" w:sz="4" w:space="0" w:color="000000"/>
              <w:left w:val="single" w:sz="4" w:space="0" w:color="000000"/>
              <w:bottom w:val="single" w:sz="4" w:space="0" w:color="000000"/>
              <w:right w:val="single" w:sz="4" w:space="0" w:color="000000"/>
            </w:tcBorders>
          </w:tcPr>
          <w:p w14:paraId="7E5D7E6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MAK, SMA, LMA </w:t>
            </w:r>
          </w:p>
        </w:tc>
        <w:tc>
          <w:tcPr>
            <w:tcW w:w="0" w:type="auto"/>
            <w:vMerge/>
            <w:tcBorders>
              <w:top w:val="nil"/>
              <w:left w:val="single" w:sz="4" w:space="0" w:color="000000"/>
              <w:bottom w:val="nil"/>
              <w:right w:val="single" w:sz="4" w:space="0" w:color="000000"/>
            </w:tcBorders>
          </w:tcPr>
          <w:p w14:paraId="63C7D3D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417D56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16182AB" w14:textId="77777777" w:rsidR="00CA5547" w:rsidRPr="00B845AF" w:rsidRDefault="00CA5547" w:rsidP="00CA5547">
            <w:pPr>
              <w:spacing w:after="160" w:line="259" w:lineRule="auto"/>
              <w:rPr>
                <w:rFonts w:asciiTheme="minorHAnsi" w:hAnsiTheme="minorHAnsi" w:cstheme="minorHAnsi"/>
              </w:rPr>
            </w:pPr>
          </w:p>
        </w:tc>
      </w:tr>
      <w:tr w:rsidR="00CA5547" w:rsidRPr="00B845AF" w14:paraId="2E998748" w14:textId="77777777" w:rsidTr="00835632">
        <w:trPr>
          <w:trHeight w:val="206"/>
        </w:trPr>
        <w:tc>
          <w:tcPr>
            <w:tcW w:w="0" w:type="auto"/>
            <w:vMerge/>
            <w:tcBorders>
              <w:top w:val="nil"/>
              <w:left w:val="single" w:sz="4" w:space="0" w:color="000000"/>
              <w:bottom w:val="nil"/>
              <w:right w:val="single" w:sz="4" w:space="0" w:color="000000"/>
            </w:tcBorders>
          </w:tcPr>
          <w:p w14:paraId="5A272A0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2B842EFA"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090AFDE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thresher sharks,  </w:t>
            </w:r>
          </w:p>
        </w:tc>
        <w:tc>
          <w:tcPr>
            <w:tcW w:w="1844" w:type="dxa"/>
            <w:tcBorders>
              <w:top w:val="single" w:sz="4" w:space="0" w:color="000000"/>
              <w:left w:val="single" w:sz="4" w:space="0" w:color="000000"/>
              <w:bottom w:val="single" w:sz="4" w:space="0" w:color="000000"/>
              <w:right w:val="single" w:sz="4" w:space="0" w:color="000000"/>
            </w:tcBorders>
          </w:tcPr>
          <w:p w14:paraId="05BB023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THR, ALV, PTH, BTH </w:t>
            </w:r>
          </w:p>
        </w:tc>
        <w:tc>
          <w:tcPr>
            <w:tcW w:w="0" w:type="auto"/>
            <w:vMerge/>
            <w:tcBorders>
              <w:top w:val="nil"/>
              <w:left w:val="single" w:sz="4" w:space="0" w:color="000000"/>
              <w:bottom w:val="nil"/>
              <w:right w:val="single" w:sz="4" w:space="0" w:color="000000"/>
            </w:tcBorders>
          </w:tcPr>
          <w:p w14:paraId="7250275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802BD2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C204F92" w14:textId="77777777" w:rsidR="00CA5547" w:rsidRPr="00B845AF" w:rsidRDefault="00CA5547" w:rsidP="00CA5547">
            <w:pPr>
              <w:spacing w:after="160" w:line="259" w:lineRule="auto"/>
              <w:rPr>
                <w:rFonts w:asciiTheme="minorHAnsi" w:hAnsiTheme="minorHAnsi" w:cstheme="minorHAnsi"/>
              </w:rPr>
            </w:pPr>
          </w:p>
        </w:tc>
      </w:tr>
      <w:tr w:rsidR="00CA5547" w:rsidRPr="00B845AF" w14:paraId="6AE1C820" w14:textId="77777777" w:rsidTr="00835632">
        <w:trPr>
          <w:trHeight w:val="204"/>
        </w:trPr>
        <w:tc>
          <w:tcPr>
            <w:tcW w:w="0" w:type="auto"/>
            <w:vMerge/>
            <w:tcBorders>
              <w:top w:val="nil"/>
              <w:left w:val="single" w:sz="4" w:space="0" w:color="000000"/>
              <w:bottom w:val="nil"/>
              <w:right w:val="single" w:sz="4" w:space="0" w:color="000000"/>
            </w:tcBorders>
          </w:tcPr>
          <w:p w14:paraId="52E796B8"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198DE836"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74123183"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porbeagle shark,  </w:t>
            </w:r>
          </w:p>
        </w:tc>
        <w:tc>
          <w:tcPr>
            <w:tcW w:w="1844" w:type="dxa"/>
            <w:tcBorders>
              <w:top w:val="single" w:sz="4" w:space="0" w:color="000000"/>
              <w:left w:val="single" w:sz="4" w:space="0" w:color="000000"/>
              <w:bottom w:val="single" w:sz="4" w:space="0" w:color="000000"/>
              <w:right w:val="single" w:sz="4" w:space="0" w:color="000000"/>
            </w:tcBorders>
          </w:tcPr>
          <w:p w14:paraId="79025CE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POR </w:t>
            </w:r>
          </w:p>
        </w:tc>
        <w:tc>
          <w:tcPr>
            <w:tcW w:w="0" w:type="auto"/>
            <w:vMerge/>
            <w:tcBorders>
              <w:top w:val="nil"/>
              <w:left w:val="single" w:sz="4" w:space="0" w:color="000000"/>
              <w:bottom w:val="nil"/>
              <w:right w:val="single" w:sz="4" w:space="0" w:color="000000"/>
            </w:tcBorders>
          </w:tcPr>
          <w:p w14:paraId="6AB23253"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1418D7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5ADCFCF9" w14:textId="77777777" w:rsidR="00CA5547" w:rsidRPr="00B845AF" w:rsidRDefault="00CA5547" w:rsidP="00CA5547">
            <w:pPr>
              <w:spacing w:after="160" w:line="259" w:lineRule="auto"/>
              <w:rPr>
                <w:rFonts w:asciiTheme="minorHAnsi" w:hAnsiTheme="minorHAnsi" w:cstheme="minorHAnsi"/>
              </w:rPr>
            </w:pPr>
          </w:p>
        </w:tc>
      </w:tr>
      <w:tr w:rsidR="00CA5547" w:rsidRPr="00B845AF" w14:paraId="0944F1E8" w14:textId="77777777" w:rsidTr="00835632">
        <w:trPr>
          <w:trHeight w:val="401"/>
        </w:trPr>
        <w:tc>
          <w:tcPr>
            <w:tcW w:w="0" w:type="auto"/>
            <w:vMerge/>
            <w:tcBorders>
              <w:top w:val="nil"/>
              <w:left w:val="single" w:sz="4" w:space="0" w:color="000000"/>
              <w:bottom w:val="nil"/>
              <w:right w:val="single" w:sz="4" w:space="0" w:color="000000"/>
            </w:tcBorders>
          </w:tcPr>
          <w:p w14:paraId="72C77480"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8CD3C85"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2497BB6B"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hammerhead sharks (winghead, scalloped, great, and smooth) </w:t>
            </w:r>
          </w:p>
        </w:tc>
        <w:tc>
          <w:tcPr>
            <w:tcW w:w="1844" w:type="dxa"/>
            <w:tcBorders>
              <w:top w:val="single" w:sz="4" w:space="0" w:color="000000"/>
              <w:left w:val="single" w:sz="4" w:space="0" w:color="000000"/>
              <w:bottom w:val="single" w:sz="4" w:space="0" w:color="000000"/>
              <w:right w:val="single" w:sz="4" w:space="0" w:color="000000"/>
            </w:tcBorders>
          </w:tcPr>
          <w:p w14:paraId="6BFDD06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SPN, SPK, SPL, SPZ, SPQ, EUB  </w:t>
            </w:r>
          </w:p>
        </w:tc>
        <w:tc>
          <w:tcPr>
            <w:tcW w:w="0" w:type="auto"/>
            <w:vMerge/>
            <w:tcBorders>
              <w:top w:val="nil"/>
              <w:left w:val="single" w:sz="4" w:space="0" w:color="000000"/>
              <w:bottom w:val="nil"/>
              <w:right w:val="single" w:sz="4" w:space="0" w:color="000000"/>
            </w:tcBorders>
          </w:tcPr>
          <w:p w14:paraId="033226FE"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360E8AB5"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6EC1094" w14:textId="77777777" w:rsidR="00CA5547" w:rsidRPr="00B845AF" w:rsidRDefault="00CA5547" w:rsidP="00CA5547">
            <w:pPr>
              <w:spacing w:after="160" w:line="259" w:lineRule="auto"/>
              <w:rPr>
                <w:rFonts w:asciiTheme="minorHAnsi" w:hAnsiTheme="minorHAnsi" w:cstheme="minorHAnsi"/>
              </w:rPr>
            </w:pPr>
          </w:p>
        </w:tc>
      </w:tr>
      <w:tr w:rsidR="00CA5547" w:rsidRPr="00B845AF" w14:paraId="798337F0" w14:textId="77777777" w:rsidTr="00835632">
        <w:trPr>
          <w:trHeight w:val="206"/>
        </w:trPr>
        <w:tc>
          <w:tcPr>
            <w:tcW w:w="0" w:type="auto"/>
            <w:vMerge/>
            <w:tcBorders>
              <w:top w:val="nil"/>
              <w:left w:val="single" w:sz="4" w:space="0" w:color="000000"/>
              <w:bottom w:val="nil"/>
              <w:right w:val="single" w:sz="4" w:space="0" w:color="000000"/>
            </w:tcBorders>
          </w:tcPr>
          <w:p w14:paraId="3501199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063F7433"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4" w:space="0" w:color="000000"/>
              <w:right w:val="single" w:sz="4" w:space="0" w:color="000000"/>
            </w:tcBorders>
          </w:tcPr>
          <w:p w14:paraId="4B5980CC"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whale shark,  </w:t>
            </w:r>
          </w:p>
        </w:tc>
        <w:tc>
          <w:tcPr>
            <w:tcW w:w="1844" w:type="dxa"/>
            <w:tcBorders>
              <w:top w:val="single" w:sz="4" w:space="0" w:color="000000"/>
              <w:left w:val="single" w:sz="4" w:space="0" w:color="000000"/>
              <w:bottom w:val="single" w:sz="4" w:space="0" w:color="000000"/>
              <w:right w:val="single" w:sz="4" w:space="0" w:color="000000"/>
            </w:tcBorders>
          </w:tcPr>
          <w:p w14:paraId="43AEFBC2"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RHN </w:t>
            </w:r>
          </w:p>
        </w:tc>
        <w:tc>
          <w:tcPr>
            <w:tcW w:w="0" w:type="auto"/>
            <w:vMerge/>
            <w:tcBorders>
              <w:top w:val="nil"/>
              <w:left w:val="single" w:sz="4" w:space="0" w:color="000000"/>
              <w:bottom w:val="nil"/>
              <w:right w:val="single" w:sz="4" w:space="0" w:color="000000"/>
            </w:tcBorders>
          </w:tcPr>
          <w:p w14:paraId="2AFD1FAA"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4BB47C99"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nil"/>
              <w:right w:val="single" w:sz="4" w:space="0" w:color="000000"/>
            </w:tcBorders>
          </w:tcPr>
          <w:p w14:paraId="661CCA21" w14:textId="77777777" w:rsidR="00CA5547" w:rsidRPr="00B845AF" w:rsidRDefault="00CA5547" w:rsidP="00CA5547">
            <w:pPr>
              <w:spacing w:after="160" w:line="259" w:lineRule="auto"/>
              <w:rPr>
                <w:rFonts w:asciiTheme="minorHAnsi" w:hAnsiTheme="minorHAnsi" w:cstheme="minorHAnsi"/>
              </w:rPr>
            </w:pPr>
          </w:p>
        </w:tc>
      </w:tr>
      <w:tr w:rsidR="00CA5547" w:rsidRPr="00B845AF" w14:paraId="76FB659C" w14:textId="77777777" w:rsidTr="00835632">
        <w:trPr>
          <w:trHeight w:val="209"/>
        </w:trPr>
        <w:tc>
          <w:tcPr>
            <w:tcW w:w="0" w:type="auto"/>
            <w:vMerge/>
            <w:tcBorders>
              <w:top w:val="nil"/>
              <w:left w:val="single" w:sz="4" w:space="0" w:color="000000"/>
              <w:bottom w:val="nil"/>
              <w:right w:val="single" w:sz="4" w:space="0" w:color="000000"/>
            </w:tcBorders>
          </w:tcPr>
          <w:p w14:paraId="3A05FE3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12F6E3A5" w14:textId="77777777" w:rsidR="00CA5547" w:rsidRPr="00B845AF" w:rsidRDefault="00CA5547" w:rsidP="00CA5547">
            <w:pPr>
              <w:spacing w:after="160" w:line="259" w:lineRule="auto"/>
              <w:rPr>
                <w:rFonts w:asciiTheme="minorHAnsi" w:hAnsiTheme="minorHAnsi" w:cstheme="minorHAnsi"/>
              </w:rPr>
            </w:pPr>
          </w:p>
        </w:tc>
        <w:tc>
          <w:tcPr>
            <w:tcW w:w="4559" w:type="dxa"/>
            <w:tcBorders>
              <w:top w:val="single" w:sz="4" w:space="0" w:color="000000"/>
              <w:left w:val="single" w:sz="4" w:space="0" w:color="000000"/>
              <w:bottom w:val="single" w:sz="8" w:space="0" w:color="000000"/>
              <w:right w:val="single" w:sz="4" w:space="0" w:color="000000"/>
            </w:tcBorders>
          </w:tcPr>
          <w:p w14:paraId="2487EBFD"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color w:val="0000FF"/>
                <w:sz w:val="16"/>
              </w:rPr>
              <w:t xml:space="preserve">other species as determined by the Commission. </w:t>
            </w:r>
          </w:p>
        </w:tc>
        <w:tc>
          <w:tcPr>
            <w:tcW w:w="1844" w:type="dxa"/>
            <w:tcBorders>
              <w:top w:val="single" w:sz="4" w:space="0" w:color="000000"/>
              <w:left w:val="single" w:sz="4" w:space="0" w:color="000000"/>
              <w:bottom w:val="single" w:sz="8" w:space="0" w:color="000000"/>
              <w:right w:val="single" w:sz="4" w:space="0" w:color="000000"/>
            </w:tcBorders>
          </w:tcPr>
          <w:p w14:paraId="0D75017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 </w:t>
            </w:r>
          </w:p>
        </w:tc>
        <w:tc>
          <w:tcPr>
            <w:tcW w:w="0" w:type="auto"/>
            <w:vMerge/>
            <w:tcBorders>
              <w:top w:val="nil"/>
              <w:left w:val="single" w:sz="4" w:space="0" w:color="000000"/>
              <w:bottom w:val="single" w:sz="8" w:space="0" w:color="000000"/>
              <w:right w:val="single" w:sz="4" w:space="0" w:color="000000"/>
            </w:tcBorders>
          </w:tcPr>
          <w:p w14:paraId="5CC6AAD7"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4C94EE2B" w14:textId="77777777" w:rsidR="00CA5547" w:rsidRPr="00B845AF" w:rsidRDefault="00CA5547" w:rsidP="00CA5547">
            <w:pPr>
              <w:spacing w:after="160" w:line="259" w:lineRule="auto"/>
              <w:rPr>
                <w:rFonts w:asciiTheme="minorHAnsi" w:hAnsiTheme="minorHAnsi" w:cstheme="minorHAnsi"/>
              </w:rPr>
            </w:pPr>
          </w:p>
        </w:tc>
        <w:tc>
          <w:tcPr>
            <w:tcW w:w="0" w:type="auto"/>
            <w:vMerge/>
            <w:tcBorders>
              <w:top w:val="nil"/>
              <w:left w:val="single" w:sz="4" w:space="0" w:color="000000"/>
              <w:bottom w:val="single" w:sz="8" w:space="0" w:color="000000"/>
              <w:right w:val="single" w:sz="4" w:space="0" w:color="000000"/>
            </w:tcBorders>
          </w:tcPr>
          <w:p w14:paraId="0881CF53" w14:textId="77777777" w:rsidR="00CA5547" w:rsidRPr="00B845AF" w:rsidRDefault="00CA5547" w:rsidP="00CA5547">
            <w:pPr>
              <w:spacing w:after="160" w:line="259" w:lineRule="auto"/>
              <w:rPr>
                <w:rFonts w:asciiTheme="minorHAnsi" w:hAnsiTheme="minorHAnsi" w:cstheme="minorHAnsi"/>
              </w:rPr>
            </w:pPr>
          </w:p>
        </w:tc>
      </w:tr>
      <w:tr w:rsidR="00CA5547" w:rsidRPr="00B845AF" w14:paraId="03DE1B9A" w14:textId="77777777" w:rsidTr="00835632">
        <w:trPr>
          <w:trHeight w:val="259"/>
        </w:trPr>
        <w:tc>
          <w:tcPr>
            <w:tcW w:w="0" w:type="auto"/>
            <w:vMerge/>
            <w:tcBorders>
              <w:top w:val="nil"/>
              <w:left w:val="single" w:sz="4" w:space="0" w:color="000000"/>
              <w:bottom w:val="single" w:sz="4" w:space="0" w:color="000000"/>
              <w:right w:val="single" w:sz="4" w:space="0" w:color="000000"/>
            </w:tcBorders>
          </w:tcPr>
          <w:p w14:paraId="2576164C" w14:textId="77777777" w:rsidR="00CA5547" w:rsidRPr="00B845AF" w:rsidRDefault="00CA5547" w:rsidP="00CA5547">
            <w:pPr>
              <w:spacing w:after="160" w:line="259" w:lineRule="auto"/>
              <w:rPr>
                <w:rFonts w:asciiTheme="minorHAnsi" w:hAnsiTheme="minorHAnsi" w:cstheme="minorHAnsi"/>
              </w:rPr>
            </w:pPr>
          </w:p>
        </w:tc>
        <w:tc>
          <w:tcPr>
            <w:tcW w:w="6682" w:type="dxa"/>
            <w:gridSpan w:val="3"/>
            <w:tcBorders>
              <w:top w:val="single" w:sz="8" w:space="0" w:color="000000"/>
              <w:left w:val="single" w:sz="4" w:space="0" w:color="000000"/>
              <w:bottom w:val="single" w:sz="4" w:space="0" w:color="000000"/>
              <w:right w:val="nil"/>
            </w:tcBorders>
          </w:tcPr>
          <w:p w14:paraId="3E42289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rPr>
              <w:t xml:space="preserve">Species that are not WCPFC key species. </w:t>
            </w:r>
          </w:p>
        </w:tc>
        <w:tc>
          <w:tcPr>
            <w:tcW w:w="200" w:type="dxa"/>
            <w:tcBorders>
              <w:top w:val="single" w:sz="8" w:space="0" w:color="000000"/>
              <w:left w:val="nil"/>
              <w:bottom w:val="single" w:sz="4" w:space="0" w:color="000000"/>
              <w:right w:val="single" w:sz="4" w:space="0" w:color="000000"/>
            </w:tcBorders>
          </w:tcPr>
          <w:p w14:paraId="0B1B1D0B"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8" w:space="0" w:color="000000"/>
              <w:left w:val="single" w:sz="4" w:space="0" w:color="000000"/>
              <w:bottom w:val="single" w:sz="4" w:space="0" w:color="000000"/>
              <w:right w:val="single" w:sz="4" w:space="0" w:color="000000"/>
            </w:tcBorders>
          </w:tcPr>
          <w:p w14:paraId="2A35E4B9"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 xml:space="preserve">NO </w:t>
            </w:r>
          </w:p>
        </w:tc>
        <w:tc>
          <w:tcPr>
            <w:tcW w:w="4228" w:type="dxa"/>
            <w:tcBorders>
              <w:top w:val="single" w:sz="8" w:space="0" w:color="000000"/>
              <w:left w:val="single" w:sz="4" w:space="0" w:color="000000"/>
              <w:bottom w:val="single" w:sz="4" w:space="0" w:color="000000"/>
              <w:right w:val="single" w:sz="4" w:space="0" w:color="000000"/>
            </w:tcBorders>
          </w:tcPr>
          <w:p w14:paraId="709449BF"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Other species </w:t>
            </w:r>
            <w:proofErr w:type="gramStart"/>
            <w:r w:rsidRPr="00B845AF">
              <w:rPr>
                <w:rFonts w:asciiTheme="minorHAnsi" w:hAnsiTheme="minorHAnsi" w:cstheme="minorHAnsi"/>
                <w:sz w:val="16"/>
              </w:rPr>
              <w:t>not</w:t>
            </w:r>
            <w:proofErr w:type="gramEnd"/>
            <w:r w:rsidRPr="00B845AF">
              <w:rPr>
                <w:rFonts w:asciiTheme="minorHAnsi" w:hAnsiTheme="minorHAnsi" w:cstheme="minorHAnsi"/>
                <w:sz w:val="16"/>
              </w:rPr>
              <w:t xml:space="preserve"> included in list of Key WCPFC species. </w:t>
            </w:r>
          </w:p>
        </w:tc>
      </w:tr>
      <w:tr w:rsidR="00CA5547" w:rsidRPr="00B845AF" w14:paraId="6C3D85A8" w14:textId="77777777" w:rsidTr="00835632">
        <w:trPr>
          <w:trHeight w:val="986"/>
        </w:trPr>
        <w:tc>
          <w:tcPr>
            <w:tcW w:w="1539" w:type="dxa"/>
            <w:tcBorders>
              <w:top w:val="single" w:sz="4" w:space="0" w:color="000000"/>
              <w:left w:val="single" w:sz="4" w:space="0" w:color="000000"/>
              <w:bottom w:val="single" w:sz="4" w:space="0" w:color="000000"/>
              <w:right w:val="single" w:sz="4" w:space="0" w:color="000000"/>
            </w:tcBorders>
          </w:tcPr>
          <w:p w14:paraId="7AD5961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CATCH WEIGHT </w:t>
            </w:r>
          </w:p>
        </w:tc>
        <w:tc>
          <w:tcPr>
            <w:tcW w:w="6682" w:type="dxa"/>
            <w:gridSpan w:val="3"/>
            <w:tcBorders>
              <w:top w:val="single" w:sz="4" w:space="0" w:color="000000"/>
              <w:left w:val="single" w:sz="4" w:space="0" w:color="000000"/>
              <w:bottom w:val="single" w:sz="4" w:space="0" w:color="000000"/>
              <w:right w:val="nil"/>
            </w:tcBorders>
          </w:tcPr>
          <w:p w14:paraId="6EECFF6C" w14:textId="0A77392F"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color w:val="0000FF"/>
                <w:sz w:val="16"/>
                <w:u w:val="single" w:color="0000FF"/>
              </w:rPr>
              <w:t>Weight of fish caught per day (mt)</w:t>
            </w:r>
            <w:r w:rsidRPr="00B845AF">
              <w:rPr>
                <w:rFonts w:asciiTheme="minorHAnsi" w:hAnsiTheme="minorHAnsi" w:cstheme="minorHAnsi"/>
                <w:color w:val="0000FF"/>
                <w:sz w:val="16"/>
              </w:rPr>
              <w:t xml:space="preserve">, for the key species to be reported to the </w:t>
            </w:r>
            <w:r w:rsidR="00F806A5" w:rsidRPr="00B845AF">
              <w:rPr>
                <w:rFonts w:asciiTheme="minorHAnsi" w:hAnsiTheme="minorHAnsi" w:cstheme="minorHAnsi"/>
                <w:color w:val="0000FF"/>
                <w:sz w:val="16"/>
              </w:rPr>
              <w:t>WCPFC,</w:t>
            </w:r>
            <w:r w:rsidRPr="00B845AF">
              <w:rPr>
                <w:rFonts w:asciiTheme="minorHAnsi" w:hAnsiTheme="minorHAnsi" w:cstheme="minorHAnsi"/>
                <w:color w:val="0000FF"/>
                <w:sz w:val="16"/>
              </w:rPr>
              <w:t xml:space="preserve"> and other species as determined by the Commission.</w:t>
            </w:r>
            <w:r w:rsidRPr="00B845AF">
              <w:rPr>
                <w:rFonts w:asciiTheme="minorHAnsi" w:hAnsiTheme="minorHAnsi" w:cstheme="minorHAnsi"/>
                <w:sz w:val="16"/>
              </w:rPr>
              <w:t xml:space="preserve"> </w:t>
            </w:r>
          </w:p>
        </w:tc>
        <w:tc>
          <w:tcPr>
            <w:tcW w:w="200" w:type="dxa"/>
            <w:tcBorders>
              <w:top w:val="single" w:sz="4" w:space="0" w:color="000000"/>
              <w:left w:val="nil"/>
              <w:bottom w:val="single" w:sz="4" w:space="0" w:color="000000"/>
              <w:right w:val="single" w:sz="4" w:space="0" w:color="000000"/>
            </w:tcBorders>
          </w:tcPr>
          <w:p w14:paraId="150FBC43"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17B60AB8" w14:textId="77777777" w:rsidR="00CA5547" w:rsidRPr="00B845AF" w:rsidRDefault="00CA5547" w:rsidP="00CA5547">
            <w:pPr>
              <w:spacing w:line="259" w:lineRule="auto"/>
              <w:ind w:right="21"/>
              <w:jc w:val="center"/>
              <w:rPr>
                <w:rFonts w:asciiTheme="minorHAnsi" w:hAnsiTheme="minorHAnsi" w:cstheme="minorHAnsi"/>
              </w:rPr>
            </w:pPr>
            <w:r w:rsidRPr="00B845AF">
              <w:rPr>
                <w:rFonts w:asciiTheme="minorHAnsi" w:hAnsiTheme="minorHAnsi" w:cstheme="minorHAnsi"/>
                <w:b/>
                <w:sz w:val="20"/>
              </w:rPr>
              <w:t>YES</w:t>
            </w:r>
            <w:r w:rsidRPr="00B845AF">
              <w:rPr>
                <w:rFonts w:asciiTheme="minorHAnsi" w:hAnsiTheme="minorHAnsi" w:cstheme="minorHAnsi"/>
                <w:sz w:val="16"/>
              </w:rPr>
              <w:t xml:space="preserve"> </w:t>
            </w:r>
          </w:p>
        </w:tc>
        <w:tc>
          <w:tcPr>
            <w:tcW w:w="4228" w:type="dxa"/>
            <w:tcBorders>
              <w:top w:val="single" w:sz="4" w:space="0" w:color="000000"/>
              <w:left w:val="single" w:sz="4" w:space="0" w:color="000000"/>
              <w:bottom w:val="single" w:sz="4" w:space="0" w:color="000000"/>
              <w:right w:val="single" w:sz="4" w:space="0" w:color="000000"/>
            </w:tcBorders>
          </w:tcPr>
          <w:p w14:paraId="3DC5E70C"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For each of the key WCPFC species and other species as determined by the Commission. Reporting non-key species, when encountered, is encouraged. A -1 should be used for discards if a weight cannot be obtained.</w:t>
            </w:r>
          </w:p>
        </w:tc>
      </w:tr>
      <w:tr w:rsidR="00CA5547" w:rsidRPr="00B845AF" w14:paraId="4CD30E70" w14:textId="77777777" w:rsidTr="00835632">
        <w:trPr>
          <w:trHeight w:val="986"/>
        </w:trPr>
        <w:tc>
          <w:tcPr>
            <w:tcW w:w="1539" w:type="dxa"/>
            <w:tcBorders>
              <w:top w:val="single" w:sz="4" w:space="0" w:color="000000"/>
              <w:left w:val="single" w:sz="4" w:space="0" w:color="000000"/>
              <w:bottom w:val="single" w:sz="4" w:space="0" w:color="000000"/>
              <w:right w:val="single" w:sz="4" w:space="0" w:color="000000"/>
            </w:tcBorders>
          </w:tcPr>
          <w:p w14:paraId="0F3D771E"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lastRenderedPageBreak/>
              <w:t>CATCH NUMBER</w:t>
            </w:r>
          </w:p>
        </w:tc>
        <w:tc>
          <w:tcPr>
            <w:tcW w:w="6682" w:type="dxa"/>
            <w:gridSpan w:val="3"/>
            <w:tcBorders>
              <w:top w:val="single" w:sz="4" w:space="0" w:color="000000"/>
              <w:left w:val="single" w:sz="4" w:space="0" w:color="000000"/>
              <w:bottom w:val="single" w:sz="4" w:space="0" w:color="000000"/>
              <w:right w:val="nil"/>
            </w:tcBorders>
          </w:tcPr>
          <w:p w14:paraId="440F81C1" w14:textId="77777777" w:rsidR="00CA5547" w:rsidRPr="00B845AF" w:rsidRDefault="00CA5547" w:rsidP="00CA5547">
            <w:pPr>
              <w:spacing w:line="259" w:lineRule="auto"/>
              <w:ind w:left="1"/>
              <w:rPr>
                <w:rFonts w:asciiTheme="minorHAnsi" w:hAnsiTheme="minorHAnsi" w:cstheme="minorHAnsi"/>
                <w:color w:val="0000FF"/>
                <w:sz w:val="16"/>
                <w:u w:val="single" w:color="0000FF"/>
              </w:rPr>
            </w:pPr>
            <w:r w:rsidRPr="00B845AF">
              <w:rPr>
                <w:rFonts w:asciiTheme="minorHAnsi" w:hAnsiTheme="minorHAnsi" w:cstheme="minorHAnsi"/>
                <w:color w:val="0000FF"/>
                <w:sz w:val="16"/>
              </w:rPr>
              <w:t>Number of fish/animals caught per day, for the key species to be reported to the WCPFC and other species as determined by the Commission.</w:t>
            </w:r>
          </w:p>
        </w:tc>
        <w:tc>
          <w:tcPr>
            <w:tcW w:w="200" w:type="dxa"/>
            <w:tcBorders>
              <w:top w:val="single" w:sz="4" w:space="0" w:color="000000"/>
              <w:left w:val="nil"/>
              <w:bottom w:val="single" w:sz="4" w:space="0" w:color="000000"/>
              <w:right w:val="single" w:sz="4" w:space="0" w:color="000000"/>
            </w:tcBorders>
          </w:tcPr>
          <w:p w14:paraId="21F1AA5F"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vAlign w:val="center"/>
          </w:tcPr>
          <w:p w14:paraId="4F21CF82" w14:textId="77777777" w:rsidR="00CA5547" w:rsidRPr="00B845AF" w:rsidRDefault="00CA5547" w:rsidP="00CA5547">
            <w:pPr>
              <w:spacing w:line="259" w:lineRule="auto"/>
              <w:ind w:right="21"/>
              <w:jc w:val="center"/>
              <w:rPr>
                <w:rFonts w:asciiTheme="minorHAnsi" w:hAnsiTheme="minorHAnsi" w:cstheme="minorHAnsi"/>
                <w:b/>
                <w:sz w:val="20"/>
              </w:rPr>
            </w:pPr>
            <w:r w:rsidRPr="00B845AF">
              <w:rPr>
                <w:rFonts w:asciiTheme="minorHAnsi" w:hAnsiTheme="minorHAnsi" w:cstheme="minorHAnsi"/>
                <w:b/>
                <w:sz w:val="20"/>
              </w:rPr>
              <w:t>NO</w:t>
            </w:r>
          </w:p>
        </w:tc>
        <w:tc>
          <w:tcPr>
            <w:tcW w:w="4228" w:type="dxa"/>
            <w:tcBorders>
              <w:top w:val="single" w:sz="4" w:space="0" w:color="000000"/>
              <w:left w:val="single" w:sz="4" w:space="0" w:color="000000"/>
              <w:bottom w:val="single" w:sz="4" w:space="0" w:color="000000"/>
              <w:right w:val="single" w:sz="4" w:space="0" w:color="000000"/>
            </w:tcBorders>
          </w:tcPr>
          <w:p w14:paraId="5F2295A0"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sz w:val="16"/>
              </w:rPr>
              <w:t>For each of the key WCPFC species and other species as determined by the Commission. Catch in number is intended to capture discarded individuals that cannot be weighted. All retained catch and catch that can be brought onboard and weight should also have an associated weight estimate.</w:t>
            </w:r>
          </w:p>
        </w:tc>
      </w:tr>
      <w:tr w:rsidR="00CA5547" w:rsidRPr="00B845AF" w14:paraId="2357EFE3" w14:textId="77777777" w:rsidTr="00835632">
        <w:trPr>
          <w:trHeight w:val="598"/>
        </w:trPr>
        <w:tc>
          <w:tcPr>
            <w:tcW w:w="1539" w:type="dxa"/>
            <w:tcBorders>
              <w:top w:val="single" w:sz="4" w:space="0" w:color="000000"/>
              <w:left w:val="single" w:sz="4" w:space="0" w:color="000000"/>
              <w:bottom w:val="single" w:sz="4" w:space="0" w:color="000000"/>
              <w:right w:val="single" w:sz="4" w:space="0" w:color="000000"/>
            </w:tcBorders>
          </w:tcPr>
          <w:p w14:paraId="57DDCD6E"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IS DISCARDED </w:t>
            </w:r>
          </w:p>
        </w:tc>
        <w:tc>
          <w:tcPr>
            <w:tcW w:w="6682" w:type="dxa"/>
            <w:gridSpan w:val="3"/>
            <w:tcBorders>
              <w:top w:val="single" w:sz="4" w:space="0" w:color="000000"/>
              <w:left w:val="single" w:sz="4" w:space="0" w:color="000000"/>
              <w:bottom w:val="single" w:sz="4" w:space="0" w:color="000000"/>
              <w:right w:val="nil"/>
            </w:tcBorders>
          </w:tcPr>
          <w:p w14:paraId="731EE0A1" w14:textId="77777777" w:rsidR="00CA5547" w:rsidRPr="00B845AF" w:rsidRDefault="00CA5547" w:rsidP="00CA5547">
            <w:pPr>
              <w:spacing w:line="259" w:lineRule="auto"/>
              <w:ind w:left="1"/>
              <w:rPr>
                <w:rFonts w:asciiTheme="minorHAnsi" w:hAnsiTheme="minorHAnsi" w:cstheme="minorHAnsi"/>
                <w:bCs/>
              </w:rPr>
            </w:pPr>
            <w:r w:rsidRPr="00B845AF">
              <w:rPr>
                <w:rFonts w:asciiTheme="minorHAnsi" w:hAnsiTheme="minorHAnsi" w:cstheme="minorHAnsi"/>
                <w:bCs/>
                <w:color w:val="0000FF"/>
                <w:sz w:val="16"/>
              </w:rPr>
              <w:t xml:space="preserve">Binary flag (0/1) to indicate whether the catch record was retained (0) or discarded (0). </w:t>
            </w:r>
          </w:p>
        </w:tc>
        <w:tc>
          <w:tcPr>
            <w:tcW w:w="200" w:type="dxa"/>
            <w:tcBorders>
              <w:top w:val="single" w:sz="4" w:space="0" w:color="000000"/>
              <w:left w:val="nil"/>
              <w:bottom w:val="single" w:sz="4" w:space="0" w:color="000000"/>
              <w:right w:val="single" w:sz="4" w:space="0" w:color="000000"/>
            </w:tcBorders>
          </w:tcPr>
          <w:p w14:paraId="029C815E"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491BB6CF" w14:textId="77777777" w:rsidR="00CA5547" w:rsidRPr="00B845AF" w:rsidRDefault="00CA5547" w:rsidP="00CA5547">
            <w:pPr>
              <w:spacing w:line="259" w:lineRule="auto"/>
              <w:ind w:right="22"/>
              <w:jc w:val="center"/>
              <w:rPr>
                <w:rFonts w:asciiTheme="minorHAnsi" w:hAnsiTheme="minorHAnsi" w:cstheme="minorHAnsi"/>
              </w:rPr>
            </w:pPr>
            <w:r w:rsidRPr="00B845AF">
              <w:rPr>
                <w:rFonts w:asciiTheme="minorHAnsi" w:hAnsiTheme="minorHAnsi" w:cstheme="minorHAnsi"/>
                <w:b/>
                <w:sz w:val="20"/>
              </w:rPr>
              <w:t>YES</w:t>
            </w:r>
          </w:p>
        </w:tc>
        <w:tc>
          <w:tcPr>
            <w:tcW w:w="4228" w:type="dxa"/>
            <w:tcBorders>
              <w:top w:val="single" w:sz="4" w:space="0" w:color="000000"/>
              <w:left w:val="single" w:sz="4" w:space="0" w:color="000000"/>
              <w:bottom w:val="single" w:sz="4" w:space="0" w:color="000000"/>
              <w:right w:val="single" w:sz="4" w:space="0" w:color="000000"/>
            </w:tcBorders>
          </w:tcPr>
          <w:p w14:paraId="4740FDDD" w14:textId="77777777" w:rsidR="00CA5547" w:rsidRPr="00B845AF" w:rsidRDefault="00CA5547" w:rsidP="00CA5547">
            <w:pPr>
              <w:spacing w:line="259" w:lineRule="auto"/>
              <w:ind w:left="1"/>
              <w:rPr>
                <w:rFonts w:asciiTheme="minorHAnsi" w:hAnsiTheme="minorHAnsi" w:cstheme="minorHAnsi"/>
              </w:rPr>
            </w:pPr>
          </w:p>
        </w:tc>
      </w:tr>
    </w:tbl>
    <w:p w14:paraId="7F9AA0D1" w14:textId="77777777" w:rsidR="00CA5547" w:rsidRPr="00B845AF" w:rsidRDefault="00CA5547" w:rsidP="00CA5547">
      <w:pPr>
        <w:spacing w:after="179" w:line="259" w:lineRule="auto"/>
        <w:rPr>
          <w:rFonts w:asciiTheme="minorHAnsi" w:hAnsiTheme="minorHAnsi" w:cstheme="minorHAnsi"/>
          <w:sz w:val="20"/>
        </w:rPr>
      </w:pPr>
      <w:r w:rsidRPr="00B845AF">
        <w:rPr>
          <w:rFonts w:asciiTheme="minorHAnsi" w:hAnsiTheme="minorHAnsi" w:cstheme="minorHAnsi"/>
          <w:sz w:val="20"/>
        </w:rPr>
        <w:t xml:space="preserve"> </w:t>
      </w:r>
    </w:p>
    <w:p w14:paraId="6A186B75" w14:textId="77777777" w:rsidR="00CA5547" w:rsidRPr="00B845AF" w:rsidRDefault="00CA5547" w:rsidP="00CA5547">
      <w:pPr>
        <w:spacing w:after="179" w:line="259" w:lineRule="auto"/>
        <w:rPr>
          <w:rFonts w:asciiTheme="minorHAnsi" w:hAnsiTheme="minorHAnsi" w:cstheme="minorHAnsi"/>
          <w:b/>
          <w:bCs/>
          <w:i/>
          <w:iCs/>
          <w:color w:val="3071C3" w:themeColor="text2" w:themeTint="BF"/>
        </w:rPr>
      </w:pPr>
      <w:r w:rsidRPr="00B845AF">
        <w:rPr>
          <w:rFonts w:asciiTheme="minorHAnsi" w:hAnsiTheme="minorHAnsi" w:cstheme="minorHAnsi"/>
          <w:b/>
          <w:bCs/>
          <w:i/>
          <w:iCs/>
          <w:color w:val="3071C3" w:themeColor="text2" w:themeTint="BF"/>
        </w:rPr>
        <w:t>SIZE COMPOSITION DATA</w:t>
      </w:r>
    </w:p>
    <w:p w14:paraId="45DF5952" w14:textId="77777777" w:rsidR="00CA5547" w:rsidRPr="00B845AF" w:rsidRDefault="00CA5547" w:rsidP="00CA5547">
      <w:pPr>
        <w:keepNext/>
        <w:keepLines/>
        <w:tabs>
          <w:tab w:val="right" w:pos="5751"/>
        </w:tabs>
        <w:spacing w:line="259" w:lineRule="auto"/>
        <w:ind w:left="-15"/>
        <w:outlineLvl w:val="0"/>
        <w:rPr>
          <w:rFonts w:asciiTheme="minorHAnsi" w:eastAsiaTheme="majorEastAsia" w:hAnsiTheme="minorHAnsi" w:cstheme="minorHAnsi"/>
          <w:b/>
          <w:bCs/>
          <w:szCs w:val="22"/>
        </w:rPr>
      </w:pPr>
      <w:r w:rsidRPr="00B845AF">
        <w:rPr>
          <w:rFonts w:asciiTheme="minorHAnsi" w:eastAsiaTheme="majorEastAsia" w:hAnsiTheme="minorHAnsi" w:cstheme="minorHAnsi"/>
          <w:b/>
          <w:bCs/>
          <w:color w:val="3071C3" w:themeColor="text2" w:themeTint="BF"/>
          <w:szCs w:val="22"/>
        </w:rPr>
        <w:t>A3</w:t>
      </w:r>
    </w:p>
    <w:tbl>
      <w:tblPr>
        <w:tblStyle w:val="TableGrid0"/>
        <w:tblW w:w="13550" w:type="dxa"/>
        <w:tblInd w:w="6" w:type="dxa"/>
        <w:tblCellMar>
          <w:top w:w="34" w:type="dxa"/>
          <w:left w:w="107" w:type="dxa"/>
          <w:right w:w="87" w:type="dxa"/>
        </w:tblCellMar>
        <w:tblLook w:val="04A0" w:firstRow="1" w:lastRow="0" w:firstColumn="1" w:lastColumn="0" w:noHBand="0" w:noVBand="1"/>
      </w:tblPr>
      <w:tblGrid>
        <w:gridCol w:w="1539"/>
        <w:gridCol w:w="6682"/>
        <w:gridCol w:w="200"/>
        <w:gridCol w:w="901"/>
        <w:gridCol w:w="4228"/>
      </w:tblGrid>
      <w:tr w:rsidR="00CA5547" w:rsidRPr="00B845AF" w14:paraId="50601B44" w14:textId="77777777" w:rsidTr="00835632">
        <w:trPr>
          <w:trHeight w:val="204"/>
        </w:trPr>
        <w:tc>
          <w:tcPr>
            <w:tcW w:w="1539" w:type="dxa"/>
            <w:tcBorders>
              <w:top w:val="single" w:sz="4" w:space="0" w:color="000000"/>
              <w:left w:val="single" w:sz="4" w:space="0" w:color="000000"/>
              <w:bottom w:val="single" w:sz="4" w:space="0" w:color="000000"/>
              <w:right w:val="single" w:sz="4" w:space="0" w:color="000000"/>
            </w:tcBorders>
            <w:shd w:val="clear" w:color="auto" w:fill="A6A6A6"/>
          </w:tcPr>
          <w:p w14:paraId="24727542"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b/>
                <w:sz w:val="16"/>
              </w:rPr>
              <w:t xml:space="preserve">FIELD </w:t>
            </w:r>
          </w:p>
        </w:tc>
        <w:tc>
          <w:tcPr>
            <w:tcW w:w="6682" w:type="dxa"/>
            <w:tcBorders>
              <w:top w:val="single" w:sz="4" w:space="0" w:color="000000"/>
              <w:left w:val="single" w:sz="4" w:space="0" w:color="000000"/>
              <w:bottom w:val="single" w:sz="4" w:space="0" w:color="000000"/>
              <w:right w:val="nil"/>
            </w:tcBorders>
            <w:shd w:val="clear" w:color="auto" w:fill="A6A6A6"/>
          </w:tcPr>
          <w:p w14:paraId="56092FFB"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Reference text in Annex 1. </w:t>
            </w:r>
          </w:p>
        </w:tc>
        <w:tc>
          <w:tcPr>
            <w:tcW w:w="200" w:type="dxa"/>
            <w:tcBorders>
              <w:top w:val="single" w:sz="4" w:space="0" w:color="000000"/>
              <w:left w:val="nil"/>
              <w:bottom w:val="single" w:sz="4" w:space="0" w:color="000000"/>
              <w:right w:val="single" w:sz="4" w:space="0" w:color="000000"/>
            </w:tcBorders>
            <w:shd w:val="clear" w:color="auto" w:fill="A6A6A6"/>
          </w:tcPr>
          <w:p w14:paraId="39828334"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A6A6A6"/>
          </w:tcPr>
          <w:p w14:paraId="5EF0459E" w14:textId="77777777" w:rsidR="00CA5547" w:rsidRPr="00B845AF" w:rsidRDefault="00CA5547" w:rsidP="00CA5547">
            <w:pPr>
              <w:spacing w:line="259" w:lineRule="auto"/>
              <w:ind w:right="20"/>
              <w:jc w:val="center"/>
              <w:rPr>
                <w:rFonts w:asciiTheme="minorHAnsi" w:hAnsiTheme="minorHAnsi" w:cstheme="minorHAnsi"/>
              </w:rPr>
            </w:pPr>
            <w:r w:rsidRPr="00B845AF">
              <w:rPr>
                <w:rFonts w:asciiTheme="minorHAnsi" w:hAnsiTheme="minorHAnsi" w:cstheme="minorHAnsi"/>
                <w:b/>
                <w:sz w:val="16"/>
              </w:rPr>
              <w:t xml:space="preserve">Binding </w:t>
            </w:r>
          </w:p>
        </w:tc>
        <w:tc>
          <w:tcPr>
            <w:tcW w:w="4228" w:type="dxa"/>
            <w:tcBorders>
              <w:top w:val="single" w:sz="4" w:space="0" w:color="000000"/>
              <w:left w:val="single" w:sz="4" w:space="0" w:color="000000"/>
              <w:bottom w:val="single" w:sz="4" w:space="0" w:color="000000"/>
              <w:right w:val="single" w:sz="4" w:space="0" w:color="000000"/>
            </w:tcBorders>
            <w:shd w:val="clear" w:color="auto" w:fill="A6A6A6"/>
          </w:tcPr>
          <w:p w14:paraId="42ABB589"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b/>
                <w:sz w:val="16"/>
              </w:rPr>
              <w:t xml:space="preserve">Notes on recommended submission requirements </w:t>
            </w:r>
          </w:p>
        </w:tc>
      </w:tr>
      <w:tr w:rsidR="00CA5547" w:rsidRPr="00B845AF" w14:paraId="4E6F9A58"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202D905" w14:textId="77777777" w:rsidR="00CA5547" w:rsidRPr="00B845AF" w:rsidRDefault="00CA5547" w:rsidP="00CA5547">
            <w:pPr>
              <w:spacing w:line="259" w:lineRule="auto"/>
              <w:rPr>
                <w:rFonts w:asciiTheme="minorHAnsi" w:hAnsiTheme="minorHAnsi" w:cstheme="minorHAnsi"/>
              </w:rPr>
            </w:pPr>
            <w:r w:rsidRPr="00B845AF">
              <w:rPr>
                <w:rFonts w:asciiTheme="minorHAnsi" w:hAnsiTheme="minorHAnsi" w:cstheme="minorHAnsi"/>
                <w:sz w:val="16"/>
              </w:rPr>
              <w:t xml:space="preserve">CCM </w:t>
            </w:r>
          </w:p>
        </w:tc>
        <w:tc>
          <w:tcPr>
            <w:tcW w:w="6682" w:type="dxa"/>
            <w:tcBorders>
              <w:top w:val="single" w:sz="4" w:space="0" w:color="000000"/>
              <w:left w:val="single" w:sz="4" w:space="0" w:color="000000"/>
              <w:bottom w:val="single" w:sz="4" w:space="0" w:color="000000"/>
              <w:right w:val="nil"/>
            </w:tcBorders>
            <w:shd w:val="clear" w:color="auto" w:fill="FDE9D9"/>
          </w:tcPr>
          <w:p w14:paraId="124C5C14"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rPr>
              <w:t xml:space="preserve"> 2-letter CCM code</w:t>
            </w:r>
          </w:p>
        </w:tc>
        <w:tc>
          <w:tcPr>
            <w:tcW w:w="200" w:type="dxa"/>
            <w:tcBorders>
              <w:top w:val="single" w:sz="4" w:space="0" w:color="000000"/>
              <w:left w:val="nil"/>
              <w:bottom w:val="single" w:sz="4" w:space="0" w:color="000000"/>
              <w:right w:val="single" w:sz="4" w:space="0" w:color="000000"/>
            </w:tcBorders>
            <w:shd w:val="clear" w:color="auto" w:fill="FDE9D9"/>
          </w:tcPr>
          <w:p w14:paraId="167514C7"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24AAE1E6" w14:textId="77777777" w:rsidR="00CA5547" w:rsidRPr="00B845AF" w:rsidRDefault="00CA5547" w:rsidP="00CA5547">
            <w:pPr>
              <w:spacing w:line="259" w:lineRule="auto"/>
              <w:ind w:right="22"/>
              <w:jc w:val="center"/>
              <w:rPr>
                <w:rFonts w:asciiTheme="minorHAnsi" w:hAnsiTheme="minorHAnsi" w:cstheme="minorHAnsi"/>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AA8F298" w14:textId="77777777" w:rsidR="00CA5547" w:rsidRPr="00B845AF" w:rsidRDefault="00CA5547" w:rsidP="00CA5547">
            <w:pPr>
              <w:spacing w:line="259" w:lineRule="auto"/>
              <w:ind w:left="1"/>
              <w:rPr>
                <w:rFonts w:asciiTheme="minorHAnsi" w:hAnsiTheme="minorHAnsi" w:cstheme="minorHAnsi"/>
              </w:rPr>
            </w:pPr>
          </w:p>
        </w:tc>
      </w:tr>
      <w:tr w:rsidR="00CA5547" w:rsidRPr="00B845AF" w14:paraId="3D0ACC17"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2A80F5BD"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YEAR</w:t>
            </w:r>
          </w:p>
        </w:tc>
        <w:tc>
          <w:tcPr>
            <w:tcW w:w="6682" w:type="dxa"/>
            <w:tcBorders>
              <w:top w:val="single" w:sz="4" w:space="0" w:color="000000"/>
              <w:left w:val="single" w:sz="4" w:space="0" w:color="000000"/>
              <w:bottom w:val="single" w:sz="4" w:space="0" w:color="000000"/>
              <w:right w:val="nil"/>
            </w:tcBorders>
            <w:shd w:val="clear" w:color="auto" w:fill="FDE9D9"/>
          </w:tcPr>
          <w:p w14:paraId="30603059"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4-digit code for the year associated with the sampling information provided</w:t>
            </w:r>
          </w:p>
        </w:tc>
        <w:tc>
          <w:tcPr>
            <w:tcW w:w="200" w:type="dxa"/>
            <w:tcBorders>
              <w:top w:val="single" w:sz="4" w:space="0" w:color="000000"/>
              <w:left w:val="nil"/>
              <w:bottom w:val="single" w:sz="4" w:space="0" w:color="000000"/>
              <w:right w:val="single" w:sz="4" w:space="0" w:color="000000"/>
            </w:tcBorders>
            <w:shd w:val="clear" w:color="auto" w:fill="FDE9D9"/>
          </w:tcPr>
          <w:p w14:paraId="752B9441"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23E37E39"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696E06E1" w14:textId="77777777" w:rsidR="00CA5547" w:rsidRPr="00B845AF" w:rsidRDefault="00CA5547" w:rsidP="00CA5547">
            <w:pPr>
              <w:spacing w:line="259" w:lineRule="auto"/>
              <w:ind w:left="1"/>
              <w:rPr>
                <w:rFonts w:asciiTheme="minorHAnsi" w:hAnsiTheme="minorHAnsi" w:cstheme="minorHAnsi"/>
              </w:rPr>
            </w:pPr>
          </w:p>
        </w:tc>
      </w:tr>
      <w:tr w:rsidR="00CA5547" w:rsidRPr="00B845AF" w14:paraId="0E3EA142"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62446CD7"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CONTACT NAME</w:t>
            </w:r>
          </w:p>
        </w:tc>
        <w:tc>
          <w:tcPr>
            <w:tcW w:w="6682" w:type="dxa"/>
            <w:tcBorders>
              <w:top w:val="single" w:sz="4" w:space="0" w:color="000000"/>
              <w:left w:val="single" w:sz="4" w:space="0" w:color="000000"/>
              <w:bottom w:val="single" w:sz="4" w:space="0" w:color="000000"/>
              <w:right w:val="nil"/>
            </w:tcBorders>
            <w:shd w:val="clear" w:color="auto" w:fill="FDE9D9"/>
          </w:tcPr>
          <w:p w14:paraId="76104FD1"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Name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6AD2EB5A"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389BC139"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4A508657" w14:textId="77777777" w:rsidR="00CA5547" w:rsidRPr="00B845AF" w:rsidRDefault="00CA5547" w:rsidP="00CA5547">
            <w:pPr>
              <w:spacing w:line="259" w:lineRule="auto"/>
              <w:ind w:left="1"/>
              <w:rPr>
                <w:rFonts w:asciiTheme="minorHAnsi" w:hAnsiTheme="minorHAnsi" w:cstheme="minorHAnsi"/>
              </w:rPr>
            </w:pPr>
          </w:p>
        </w:tc>
      </w:tr>
      <w:tr w:rsidR="00CA5547" w:rsidRPr="00B845AF" w14:paraId="4075FCC9"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13BD18CD"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CONTACT POSITION</w:t>
            </w:r>
          </w:p>
        </w:tc>
        <w:tc>
          <w:tcPr>
            <w:tcW w:w="6682" w:type="dxa"/>
            <w:tcBorders>
              <w:top w:val="single" w:sz="4" w:space="0" w:color="000000"/>
              <w:left w:val="single" w:sz="4" w:space="0" w:color="000000"/>
              <w:bottom w:val="single" w:sz="4" w:space="0" w:color="000000"/>
              <w:right w:val="nil"/>
            </w:tcBorders>
            <w:shd w:val="clear" w:color="auto" w:fill="FDE9D9"/>
          </w:tcPr>
          <w:p w14:paraId="586D304F"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Position/role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6FE33D9C"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7BBF6D9F"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79DD78F3" w14:textId="77777777" w:rsidR="00CA5547" w:rsidRPr="00B845AF" w:rsidRDefault="00CA5547" w:rsidP="00CA5547">
            <w:pPr>
              <w:spacing w:line="259" w:lineRule="auto"/>
              <w:ind w:left="1"/>
              <w:rPr>
                <w:rFonts w:asciiTheme="minorHAnsi" w:hAnsiTheme="minorHAnsi" w:cstheme="minorHAnsi"/>
              </w:rPr>
            </w:pPr>
          </w:p>
        </w:tc>
      </w:tr>
      <w:tr w:rsidR="00CA5547" w:rsidRPr="00B845AF" w14:paraId="65816D6C"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shd w:val="clear" w:color="auto" w:fill="FDE9D9"/>
          </w:tcPr>
          <w:p w14:paraId="096F8443"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CONTACT EMAIL</w:t>
            </w:r>
          </w:p>
        </w:tc>
        <w:tc>
          <w:tcPr>
            <w:tcW w:w="6682" w:type="dxa"/>
            <w:tcBorders>
              <w:top w:val="single" w:sz="4" w:space="0" w:color="000000"/>
              <w:left w:val="single" w:sz="4" w:space="0" w:color="000000"/>
              <w:bottom w:val="single" w:sz="4" w:space="0" w:color="000000"/>
              <w:right w:val="nil"/>
            </w:tcBorders>
            <w:shd w:val="clear" w:color="auto" w:fill="FDE9D9"/>
          </w:tcPr>
          <w:p w14:paraId="1631BEA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Email address of the individual who submitted this information.</w:t>
            </w:r>
          </w:p>
        </w:tc>
        <w:tc>
          <w:tcPr>
            <w:tcW w:w="200" w:type="dxa"/>
            <w:tcBorders>
              <w:top w:val="single" w:sz="4" w:space="0" w:color="000000"/>
              <w:left w:val="nil"/>
              <w:bottom w:val="single" w:sz="4" w:space="0" w:color="000000"/>
              <w:right w:val="single" w:sz="4" w:space="0" w:color="000000"/>
            </w:tcBorders>
            <w:shd w:val="clear" w:color="auto" w:fill="FDE9D9"/>
          </w:tcPr>
          <w:p w14:paraId="0D6AFA7C"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shd w:val="clear" w:color="auto" w:fill="FDE9D9"/>
          </w:tcPr>
          <w:p w14:paraId="5C183246"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shd w:val="clear" w:color="auto" w:fill="FDE9D9"/>
          </w:tcPr>
          <w:p w14:paraId="274D8F5B" w14:textId="77777777" w:rsidR="00CA5547" w:rsidRPr="00B845AF" w:rsidRDefault="00CA5547" w:rsidP="00CA5547">
            <w:pPr>
              <w:spacing w:line="259" w:lineRule="auto"/>
              <w:ind w:left="1"/>
              <w:rPr>
                <w:rFonts w:asciiTheme="minorHAnsi" w:hAnsiTheme="minorHAnsi" w:cstheme="minorHAnsi"/>
              </w:rPr>
            </w:pPr>
          </w:p>
        </w:tc>
      </w:tr>
      <w:tr w:rsidR="00CA5547" w:rsidRPr="00B845AF" w14:paraId="197DEFE9"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14FC07F"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SAMPLING LOCATION</w:t>
            </w:r>
          </w:p>
        </w:tc>
        <w:tc>
          <w:tcPr>
            <w:tcW w:w="6682" w:type="dxa"/>
            <w:tcBorders>
              <w:top w:val="single" w:sz="4" w:space="0" w:color="000000"/>
              <w:left w:val="single" w:sz="4" w:space="0" w:color="000000"/>
              <w:bottom w:val="single" w:sz="4" w:space="0" w:color="000000"/>
              <w:right w:val="nil"/>
            </w:tcBorders>
          </w:tcPr>
          <w:p w14:paraId="5B989011"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 xml:space="preserve"> </w:t>
            </w:r>
            <w:r w:rsidRPr="00B845AF">
              <w:rPr>
                <w:rFonts w:asciiTheme="minorHAnsi" w:hAnsiTheme="minorHAnsi" w:cstheme="minorHAnsi"/>
                <w:color w:val="0000FF"/>
                <w:sz w:val="16"/>
              </w:rPr>
              <w:t xml:space="preserve">Report on the sampling location/platform where the size data were collected. </w:t>
            </w:r>
          </w:p>
        </w:tc>
        <w:tc>
          <w:tcPr>
            <w:tcW w:w="200" w:type="dxa"/>
            <w:tcBorders>
              <w:top w:val="single" w:sz="4" w:space="0" w:color="000000"/>
              <w:left w:val="nil"/>
              <w:bottom w:val="single" w:sz="4" w:space="0" w:color="000000"/>
              <w:right w:val="single" w:sz="4" w:space="0" w:color="000000"/>
            </w:tcBorders>
          </w:tcPr>
          <w:p w14:paraId="06DBC468"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380A704C"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0382D50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Port/landing location</w:t>
            </w:r>
          </w:p>
          <w:p w14:paraId="4D33109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2 = Fish market/auction</w:t>
            </w:r>
          </w:p>
          <w:p w14:paraId="3B110AD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3 = Onboard fishing vessel</w:t>
            </w:r>
          </w:p>
          <w:p w14:paraId="17D894BF"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4 =Processing plant</w:t>
            </w:r>
          </w:p>
          <w:p w14:paraId="6ACF2C4A"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5 = Research vessel</w:t>
            </w:r>
          </w:p>
          <w:p w14:paraId="28E308F9"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6 = Unknown, but may be provided upon request</w:t>
            </w:r>
          </w:p>
          <w:p w14:paraId="28DBF620"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7 = Unknown, may not be available</w:t>
            </w:r>
          </w:p>
        </w:tc>
      </w:tr>
      <w:tr w:rsidR="00CA5547" w:rsidRPr="00B845AF" w14:paraId="244BDEB5"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0F697FA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SAMPLER POSITION</w:t>
            </w:r>
          </w:p>
        </w:tc>
        <w:tc>
          <w:tcPr>
            <w:tcW w:w="6682" w:type="dxa"/>
            <w:tcBorders>
              <w:top w:val="single" w:sz="4" w:space="0" w:color="000000"/>
              <w:left w:val="single" w:sz="4" w:space="0" w:color="000000"/>
              <w:bottom w:val="single" w:sz="4" w:space="0" w:color="000000"/>
              <w:right w:val="nil"/>
            </w:tcBorders>
          </w:tcPr>
          <w:p w14:paraId="5D532AD8"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 xml:space="preserve">Is the role of the sampler(s) known? </w:t>
            </w:r>
          </w:p>
        </w:tc>
        <w:tc>
          <w:tcPr>
            <w:tcW w:w="200" w:type="dxa"/>
            <w:tcBorders>
              <w:top w:val="single" w:sz="4" w:space="0" w:color="000000"/>
              <w:left w:val="nil"/>
              <w:bottom w:val="single" w:sz="4" w:space="0" w:color="000000"/>
              <w:right w:val="single" w:sz="4" w:space="0" w:color="000000"/>
            </w:tcBorders>
          </w:tcPr>
          <w:p w14:paraId="5A9F8000"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33FE708B"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4330579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Skipper/crew</w:t>
            </w:r>
          </w:p>
          <w:p w14:paraId="309D268E"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2 = Trained port sampler</w:t>
            </w:r>
          </w:p>
          <w:p w14:paraId="17DCE23E"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3 = Fishing company staff</w:t>
            </w:r>
          </w:p>
          <w:p w14:paraId="0FE01109"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4 = Research staff/student</w:t>
            </w:r>
          </w:p>
          <w:p w14:paraId="21FA35B4"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5 = Fisheries compliance officer</w:t>
            </w:r>
          </w:p>
          <w:p w14:paraId="16EAED0C"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6 = Other, please note in comments</w:t>
            </w:r>
          </w:p>
          <w:p w14:paraId="4D9490BE"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7 = Unknown, but may be provided upon request</w:t>
            </w:r>
          </w:p>
          <w:p w14:paraId="5781A961" w14:textId="77777777" w:rsidR="00CA5547" w:rsidRPr="00B845AF" w:rsidRDefault="00CA5547" w:rsidP="00CA5547">
            <w:pPr>
              <w:spacing w:line="259" w:lineRule="auto"/>
              <w:ind w:left="1"/>
              <w:rPr>
                <w:rFonts w:asciiTheme="minorHAnsi" w:hAnsiTheme="minorHAnsi" w:cstheme="minorHAnsi"/>
              </w:rPr>
            </w:pPr>
            <w:r w:rsidRPr="00B845AF">
              <w:rPr>
                <w:rFonts w:asciiTheme="minorHAnsi" w:hAnsiTheme="minorHAnsi" w:cstheme="minorHAnsi"/>
                <w:sz w:val="16"/>
                <w:szCs w:val="16"/>
              </w:rPr>
              <w:t>8 = Unknown, may not be available</w:t>
            </w:r>
          </w:p>
        </w:tc>
      </w:tr>
      <w:tr w:rsidR="00CA5547" w:rsidRPr="00B845AF" w14:paraId="5CA24A0A"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0DAB91E2"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lastRenderedPageBreak/>
              <w:t>CATCH SORTED</w:t>
            </w:r>
          </w:p>
        </w:tc>
        <w:tc>
          <w:tcPr>
            <w:tcW w:w="6682" w:type="dxa"/>
            <w:tcBorders>
              <w:top w:val="single" w:sz="4" w:space="0" w:color="000000"/>
              <w:left w:val="single" w:sz="4" w:space="0" w:color="000000"/>
              <w:bottom w:val="single" w:sz="4" w:space="0" w:color="000000"/>
              <w:right w:val="nil"/>
            </w:tcBorders>
          </w:tcPr>
          <w:p w14:paraId="0A08539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Was the sampled catch pre-sorted or graded in any manner before size sampling occurred?</w:t>
            </w:r>
          </w:p>
        </w:tc>
        <w:tc>
          <w:tcPr>
            <w:tcW w:w="200" w:type="dxa"/>
            <w:tcBorders>
              <w:top w:val="single" w:sz="4" w:space="0" w:color="000000"/>
              <w:left w:val="nil"/>
              <w:bottom w:val="single" w:sz="4" w:space="0" w:color="000000"/>
              <w:right w:val="single" w:sz="4" w:space="0" w:color="000000"/>
            </w:tcBorders>
          </w:tcPr>
          <w:p w14:paraId="7C7A6139"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7DF0C476"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18ADCD58"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0 = No</w:t>
            </w:r>
          </w:p>
          <w:p w14:paraId="5EAB60CA"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1 = Yes</w:t>
            </w:r>
          </w:p>
          <w:p w14:paraId="6FAD0B95"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9 = Unknown</w:t>
            </w:r>
          </w:p>
        </w:tc>
      </w:tr>
      <w:tr w:rsidR="00CA5547" w:rsidRPr="00B845AF" w14:paraId="4CE46B60"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58FF45A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SORTING DETAILS</w:t>
            </w:r>
          </w:p>
        </w:tc>
        <w:tc>
          <w:tcPr>
            <w:tcW w:w="6682" w:type="dxa"/>
            <w:tcBorders>
              <w:top w:val="single" w:sz="4" w:space="0" w:color="000000"/>
              <w:left w:val="single" w:sz="4" w:space="0" w:color="000000"/>
              <w:bottom w:val="single" w:sz="4" w:space="0" w:color="000000"/>
              <w:right w:val="nil"/>
            </w:tcBorders>
          </w:tcPr>
          <w:p w14:paraId="5420510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 xml:space="preserve">Please briefly describe in free text how the catch was </w:t>
            </w:r>
            <w:proofErr w:type="spellStart"/>
            <w:proofErr w:type="gramStart"/>
            <w:r w:rsidRPr="00B845AF">
              <w:rPr>
                <w:rFonts w:asciiTheme="minorHAnsi" w:hAnsiTheme="minorHAnsi" w:cstheme="minorHAnsi"/>
                <w:color w:val="0000FF"/>
                <w:sz w:val="16"/>
              </w:rPr>
              <w:t>pre sorted</w:t>
            </w:r>
            <w:proofErr w:type="spellEnd"/>
            <w:proofErr w:type="gramEnd"/>
            <w:r w:rsidRPr="00B845AF">
              <w:rPr>
                <w:rFonts w:asciiTheme="minorHAnsi" w:hAnsiTheme="minorHAnsi" w:cstheme="minorHAnsi"/>
                <w:color w:val="0000FF"/>
                <w:sz w:val="16"/>
              </w:rPr>
              <w:t xml:space="preserve"> is CATCH SORTED = 1 (Yes). </w:t>
            </w:r>
          </w:p>
        </w:tc>
        <w:tc>
          <w:tcPr>
            <w:tcW w:w="200" w:type="dxa"/>
            <w:tcBorders>
              <w:top w:val="single" w:sz="4" w:space="0" w:color="000000"/>
              <w:left w:val="nil"/>
              <w:bottom w:val="single" w:sz="4" w:space="0" w:color="000000"/>
              <w:right w:val="single" w:sz="4" w:space="0" w:color="000000"/>
            </w:tcBorders>
          </w:tcPr>
          <w:p w14:paraId="76D1D501"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6AE5888A"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02B3F5AC" w14:textId="77777777" w:rsidR="00CA5547" w:rsidRPr="00B845AF" w:rsidRDefault="00CA5547" w:rsidP="00CA5547">
            <w:pPr>
              <w:spacing w:line="259" w:lineRule="auto"/>
              <w:ind w:left="1"/>
              <w:rPr>
                <w:rFonts w:asciiTheme="minorHAnsi" w:hAnsiTheme="minorHAnsi" w:cstheme="minorHAnsi"/>
                <w:sz w:val="16"/>
                <w:szCs w:val="16"/>
              </w:rPr>
            </w:pPr>
          </w:p>
        </w:tc>
      </w:tr>
      <w:tr w:rsidR="00CA5547" w:rsidRPr="00B845AF" w14:paraId="4C10C37B"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71F81BF0"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DEVICE USED</w:t>
            </w:r>
          </w:p>
        </w:tc>
        <w:tc>
          <w:tcPr>
            <w:tcW w:w="6682" w:type="dxa"/>
            <w:tcBorders>
              <w:top w:val="single" w:sz="4" w:space="0" w:color="000000"/>
              <w:left w:val="single" w:sz="4" w:space="0" w:color="000000"/>
              <w:bottom w:val="single" w:sz="4" w:space="0" w:color="000000"/>
              <w:right w:val="nil"/>
            </w:tcBorders>
          </w:tcPr>
          <w:p w14:paraId="5654C3C4"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The type of measurement device used to obtain the size data</w:t>
            </w:r>
          </w:p>
        </w:tc>
        <w:tc>
          <w:tcPr>
            <w:tcW w:w="200" w:type="dxa"/>
            <w:tcBorders>
              <w:top w:val="single" w:sz="4" w:space="0" w:color="000000"/>
              <w:left w:val="nil"/>
              <w:bottom w:val="single" w:sz="4" w:space="0" w:color="000000"/>
              <w:right w:val="single" w:sz="4" w:space="0" w:color="000000"/>
            </w:tcBorders>
          </w:tcPr>
          <w:p w14:paraId="0CE72088"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19D7AB38"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01D04476"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Adjustable caliper</w:t>
            </w:r>
          </w:p>
          <w:p w14:paraId="2DDF106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2 = Straight measuring stick/rule</w:t>
            </w:r>
          </w:p>
          <w:p w14:paraId="6185E9D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3 = Fish measuring board</w:t>
            </w:r>
          </w:p>
          <w:p w14:paraId="6969799B"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4 = Tape measure</w:t>
            </w:r>
          </w:p>
          <w:p w14:paraId="0E6B239A"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5 = Measuring mat</w:t>
            </w:r>
          </w:p>
          <w:p w14:paraId="3F417AD3"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6 = Electronic (digital) scale (for weights)</w:t>
            </w:r>
          </w:p>
          <w:p w14:paraId="4E11CD1D"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7 = Analog scale (for weights)</w:t>
            </w:r>
          </w:p>
          <w:p w14:paraId="1BF6B0EC"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8 = Multiple devices (list corresponding numbers in the field DEVICE COMBO)</w:t>
            </w:r>
          </w:p>
          <w:p w14:paraId="61EE09FA"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9 = Other, detail in comments field</w:t>
            </w:r>
          </w:p>
          <w:p w14:paraId="04019729" w14:textId="77777777" w:rsidR="00CA5547" w:rsidRPr="00B845AF" w:rsidRDefault="00CA5547" w:rsidP="00CA5547">
            <w:pPr>
              <w:spacing w:line="259" w:lineRule="auto"/>
              <w:ind w:left="1"/>
              <w:rPr>
                <w:rFonts w:asciiTheme="minorHAnsi" w:hAnsiTheme="minorHAnsi" w:cstheme="minorHAnsi"/>
                <w:sz w:val="16"/>
                <w:szCs w:val="16"/>
              </w:rPr>
            </w:pPr>
            <w:r w:rsidRPr="00B845AF">
              <w:rPr>
                <w:rFonts w:asciiTheme="minorHAnsi" w:hAnsiTheme="minorHAnsi" w:cstheme="minorHAnsi"/>
                <w:sz w:val="16"/>
                <w:szCs w:val="16"/>
              </w:rPr>
              <w:t>10 = Unknown</w:t>
            </w:r>
          </w:p>
        </w:tc>
      </w:tr>
      <w:tr w:rsidR="00CA5547" w:rsidRPr="00B845AF" w14:paraId="0BE04373"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A281961"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DEVICE COMBO</w:t>
            </w:r>
          </w:p>
        </w:tc>
        <w:tc>
          <w:tcPr>
            <w:tcW w:w="6682" w:type="dxa"/>
            <w:tcBorders>
              <w:top w:val="single" w:sz="4" w:space="0" w:color="000000"/>
              <w:left w:val="single" w:sz="4" w:space="0" w:color="000000"/>
              <w:bottom w:val="single" w:sz="4" w:space="0" w:color="000000"/>
              <w:right w:val="nil"/>
            </w:tcBorders>
          </w:tcPr>
          <w:p w14:paraId="2F6273F5"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If the response for DEVICE USED was 8 (multiple devices used), please detail the corresponding numbers in this field, comma separated.</w:t>
            </w:r>
          </w:p>
        </w:tc>
        <w:tc>
          <w:tcPr>
            <w:tcW w:w="200" w:type="dxa"/>
            <w:tcBorders>
              <w:top w:val="single" w:sz="4" w:space="0" w:color="000000"/>
              <w:left w:val="nil"/>
              <w:bottom w:val="single" w:sz="4" w:space="0" w:color="000000"/>
              <w:right w:val="single" w:sz="4" w:space="0" w:color="000000"/>
            </w:tcBorders>
          </w:tcPr>
          <w:p w14:paraId="6F07500C"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0696D898"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63FFF8F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Example:</w:t>
            </w:r>
          </w:p>
          <w:p w14:paraId="6DFFDD78"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1,3,6</w:t>
            </w:r>
          </w:p>
        </w:tc>
      </w:tr>
      <w:tr w:rsidR="00CA5547" w:rsidRPr="00B845AF" w14:paraId="5395AD5B"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5885A2F"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REMOVE DATA</w:t>
            </w:r>
          </w:p>
        </w:tc>
        <w:tc>
          <w:tcPr>
            <w:tcW w:w="6682" w:type="dxa"/>
            <w:tcBorders>
              <w:top w:val="single" w:sz="4" w:space="0" w:color="000000"/>
              <w:left w:val="single" w:sz="4" w:space="0" w:color="000000"/>
              <w:bottom w:val="single" w:sz="4" w:space="0" w:color="000000"/>
              <w:right w:val="nil"/>
            </w:tcBorders>
          </w:tcPr>
          <w:p w14:paraId="4AF89AE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Can size data records that were obtained without the use of a measurement device be identified and removed?</w:t>
            </w:r>
          </w:p>
        </w:tc>
        <w:tc>
          <w:tcPr>
            <w:tcW w:w="200" w:type="dxa"/>
            <w:tcBorders>
              <w:top w:val="single" w:sz="4" w:space="0" w:color="000000"/>
              <w:left w:val="nil"/>
              <w:bottom w:val="single" w:sz="4" w:space="0" w:color="000000"/>
              <w:right w:val="single" w:sz="4" w:space="0" w:color="000000"/>
            </w:tcBorders>
          </w:tcPr>
          <w:p w14:paraId="3E5AB9D3"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3997B8CE"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0C9998E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 = No</w:t>
            </w:r>
          </w:p>
          <w:p w14:paraId="7B8C404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4E8B5DAE"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243CF9ED"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0287166"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DEVICE PHOTOS</w:t>
            </w:r>
          </w:p>
        </w:tc>
        <w:tc>
          <w:tcPr>
            <w:tcW w:w="6682" w:type="dxa"/>
            <w:tcBorders>
              <w:top w:val="single" w:sz="4" w:space="0" w:color="000000"/>
              <w:left w:val="single" w:sz="4" w:space="0" w:color="000000"/>
              <w:bottom w:val="single" w:sz="4" w:space="0" w:color="000000"/>
              <w:right w:val="nil"/>
            </w:tcBorders>
          </w:tcPr>
          <w:p w14:paraId="1A931AC4"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Can photos of the sampling device(s) be provisioned, upon request?</w:t>
            </w:r>
          </w:p>
        </w:tc>
        <w:tc>
          <w:tcPr>
            <w:tcW w:w="200" w:type="dxa"/>
            <w:tcBorders>
              <w:top w:val="single" w:sz="4" w:space="0" w:color="000000"/>
              <w:left w:val="nil"/>
              <w:bottom w:val="single" w:sz="4" w:space="0" w:color="000000"/>
              <w:right w:val="single" w:sz="4" w:space="0" w:color="000000"/>
            </w:tcBorders>
          </w:tcPr>
          <w:p w14:paraId="18769A56"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190B9383"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6C26B9E4"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24B64D9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00CBC479"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669AA156"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524CB3C4"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PROTOCOL USED</w:t>
            </w:r>
          </w:p>
        </w:tc>
        <w:tc>
          <w:tcPr>
            <w:tcW w:w="6682" w:type="dxa"/>
            <w:tcBorders>
              <w:top w:val="single" w:sz="4" w:space="0" w:color="000000"/>
              <w:left w:val="single" w:sz="4" w:space="0" w:color="000000"/>
              <w:bottom w:val="single" w:sz="4" w:space="0" w:color="000000"/>
              <w:right w:val="nil"/>
            </w:tcBorders>
          </w:tcPr>
          <w:p w14:paraId="63995429"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Was an established sampling protocol used to guide the size data collection?</w:t>
            </w:r>
          </w:p>
        </w:tc>
        <w:tc>
          <w:tcPr>
            <w:tcW w:w="200" w:type="dxa"/>
            <w:tcBorders>
              <w:top w:val="single" w:sz="4" w:space="0" w:color="000000"/>
              <w:left w:val="nil"/>
              <w:bottom w:val="single" w:sz="4" w:space="0" w:color="000000"/>
              <w:right w:val="single" w:sz="4" w:space="0" w:color="000000"/>
            </w:tcBorders>
          </w:tcPr>
          <w:p w14:paraId="0C3E84E9"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557D9438"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4DABFD5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5A21BF2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5BAF13E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53DD62B9"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552C5115"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PROTOCOL LINK</w:t>
            </w:r>
          </w:p>
        </w:tc>
        <w:tc>
          <w:tcPr>
            <w:tcW w:w="6682" w:type="dxa"/>
            <w:tcBorders>
              <w:top w:val="single" w:sz="4" w:space="0" w:color="000000"/>
              <w:left w:val="single" w:sz="4" w:space="0" w:color="000000"/>
              <w:bottom w:val="single" w:sz="4" w:space="0" w:color="000000"/>
              <w:right w:val="nil"/>
            </w:tcBorders>
          </w:tcPr>
          <w:p w14:paraId="202F819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If an established protocol was used, please provide the link to that document, if available.</w:t>
            </w:r>
          </w:p>
        </w:tc>
        <w:tc>
          <w:tcPr>
            <w:tcW w:w="200" w:type="dxa"/>
            <w:tcBorders>
              <w:top w:val="single" w:sz="4" w:space="0" w:color="000000"/>
              <w:left w:val="nil"/>
              <w:bottom w:val="single" w:sz="4" w:space="0" w:color="000000"/>
              <w:right w:val="single" w:sz="4" w:space="0" w:color="000000"/>
            </w:tcBorders>
          </w:tcPr>
          <w:p w14:paraId="598BA4CB"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5D3DF442"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2CD07320" w14:textId="77777777" w:rsidR="00CA5547" w:rsidRPr="00B845AF" w:rsidRDefault="00CA5547" w:rsidP="00CA5547">
            <w:pPr>
              <w:spacing w:line="259" w:lineRule="auto"/>
              <w:ind w:left="1"/>
              <w:rPr>
                <w:rFonts w:asciiTheme="minorHAnsi" w:hAnsiTheme="minorHAnsi" w:cstheme="minorHAnsi"/>
                <w:sz w:val="16"/>
              </w:rPr>
            </w:pPr>
          </w:p>
        </w:tc>
      </w:tr>
      <w:tr w:rsidR="00CA5547" w:rsidRPr="00B845AF" w14:paraId="6079BD00"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6F2133B6"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PROTOCOL APPLIED</w:t>
            </w:r>
          </w:p>
        </w:tc>
        <w:tc>
          <w:tcPr>
            <w:tcW w:w="6682" w:type="dxa"/>
            <w:tcBorders>
              <w:top w:val="single" w:sz="4" w:space="0" w:color="000000"/>
              <w:left w:val="single" w:sz="4" w:space="0" w:color="000000"/>
              <w:bottom w:val="single" w:sz="4" w:space="0" w:color="000000"/>
              <w:right w:val="nil"/>
            </w:tcBorders>
          </w:tcPr>
          <w:p w14:paraId="67C9CB85"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 xml:space="preserve">Was the sampling protocol applied, if PROTOCOL USED = 1 (Yes) </w:t>
            </w:r>
          </w:p>
        </w:tc>
        <w:tc>
          <w:tcPr>
            <w:tcW w:w="200" w:type="dxa"/>
            <w:tcBorders>
              <w:top w:val="single" w:sz="4" w:space="0" w:color="000000"/>
              <w:left w:val="nil"/>
              <w:bottom w:val="single" w:sz="4" w:space="0" w:color="000000"/>
              <w:right w:val="single" w:sz="4" w:space="0" w:color="000000"/>
            </w:tcBorders>
          </w:tcPr>
          <w:p w14:paraId="439197A4"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43733EC0"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373B333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75290BF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42BDD389"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p w14:paraId="0768F488"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Not applicable</w:t>
            </w:r>
          </w:p>
        </w:tc>
      </w:tr>
      <w:tr w:rsidR="00CA5547" w:rsidRPr="00B845AF" w14:paraId="54F76F06"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954A0A9"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DQ PROCESSES</w:t>
            </w:r>
          </w:p>
        </w:tc>
        <w:tc>
          <w:tcPr>
            <w:tcW w:w="6682" w:type="dxa"/>
            <w:tcBorders>
              <w:top w:val="single" w:sz="4" w:space="0" w:color="000000"/>
              <w:left w:val="single" w:sz="4" w:space="0" w:color="000000"/>
              <w:bottom w:val="single" w:sz="4" w:space="0" w:color="000000"/>
              <w:right w:val="nil"/>
            </w:tcBorders>
          </w:tcPr>
          <w:p w14:paraId="7EA4504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 xml:space="preserve">Was refresher training provided </w:t>
            </w:r>
            <w:proofErr w:type="gramStart"/>
            <w:r w:rsidRPr="00B845AF">
              <w:rPr>
                <w:rFonts w:asciiTheme="minorHAnsi" w:hAnsiTheme="minorHAnsi" w:cstheme="minorHAnsi"/>
                <w:color w:val="0000FF"/>
                <w:sz w:val="16"/>
              </w:rPr>
              <w:t>to</w:t>
            </w:r>
            <w:proofErr w:type="gramEnd"/>
            <w:r w:rsidRPr="00B845AF">
              <w:rPr>
                <w:rFonts w:asciiTheme="minorHAnsi" w:hAnsiTheme="minorHAnsi" w:cstheme="minorHAnsi"/>
                <w:color w:val="0000FF"/>
                <w:sz w:val="16"/>
              </w:rPr>
              <w:t xml:space="preserve"> samplers and/or data quality processes applied to the collected data? </w:t>
            </w:r>
          </w:p>
        </w:tc>
        <w:tc>
          <w:tcPr>
            <w:tcW w:w="200" w:type="dxa"/>
            <w:tcBorders>
              <w:top w:val="single" w:sz="4" w:space="0" w:color="000000"/>
              <w:left w:val="nil"/>
              <w:bottom w:val="single" w:sz="4" w:space="0" w:color="000000"/>
              <w:right w:val="single" w:sz="4" w:space="0" w:color="000000"/>
            </w:tcBorders>
          </w:tcPr>
          <w:p w14:paraId="00A9A32C"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06E57294"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2B6955F5"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03137435"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1C5DC91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29153798"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36B2A36"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DQ DETAILS</w:t>
            </w:r>
          </w:p>
        </w:tc>
        <w:tc>
          <w:tcPr>
            <w:tcW w:w="6682" w:type="dxa"/>
            <w:tcBorders>
              <w:top w:val="single" w:sz="4" w:space="0" w:color="000000"/>
              <w:left w:val="single" w:sz="4" w:space="0" w:color="000000"/>
              <w:bottom w:val="single" w:sz="4" w:space="0" w:color="000000"/>
              <w:right w:val="nil"/>
            </w:tcBorders>
          </w:tcPr>
          <w:p w14:paraId="313F208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 xml:space="preserve">Can details of the data quality processes or refresher training materials be </w:t>
            </w:r>
            <w:proofErr w:type="gramStart"/>
            <w:r w:rsidRPr="00B845AF">
              <w:rPr>
                <w:rFonts w:asciiTheme="minorHAnsi" w:hAnsiTheme="minorHAnsi" w:cstheme="minorHAnsi"/>
                <w:color w:val="0000FF"/>
                <w:sz w:val="16"/>
              </w:rPr>
              <w:t>provisioned</w:t>
            </w:r>
            <w:proofErr w:type="gramEnd"/>
            <w:r w:rsidRPr="00B845AF">
              <w:rPr>
                <w:rFonts w:asciiTheme="minorHAnsi" w:hAnsiTheme="minorHAnsi" w:cstheme="minorHAnsi"/>
                <w:color w:val="0000FF"/>
                <w:sz w:val="16"/>
              </w:rPr>
              <w:t xml:space="preserve"> upon request?</w:t>
            </w:r>
          </w:p>
        </w:tc>
        <w:tc>
          <w:tcPr>
            <w:tcW w:w="200" w:type="dxa"/>
            <w:tcBorders>
              <w:top w:val="single" w:sz="4" w:space="0" w:color="000000"/>
              <w:left w:val="nil"/>
              <w:bottom w:val="single" w:sz="4" w:space="0" w:color="000000"/>
              <w:right w:val="single" w:sz="4" w:space="0" w:color="000000"/>
            </w:tcBorders>
          </w:tcPr>
          <w:p w14:paraId="5DCEA1E5"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5B25AE66"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4FA06196"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56CC8BD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001E64FF"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53E811B9"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2E029B76"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STANDARD CODES</w:t>
            </w:r>
          </w:p>
        </w:tc>
        <w:tc>
          <w:tcPr>
            <w:tcW w:w="6682" w:type="dxa"/>
            <w:tcBorders>
              <w:top w:val="single" w:sz="4" w:space="0" w:color="000000"/>
              <w:left w:val="single" w:sz="4" w:space="0" w:color="000000"/>
              <w:bottom w:val="single" w:sz="4" w:space="0" w:color="000000"/>
              <w:right w:val="nil"/>
            </w:tcBorders>
          </w:tcPr>
          <w:p w14:paraId="3512CC8B"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Were standard SPC measurement codes used?</w:t>
            </w:r>
          </w:p>
        </w:tc>
        <w:tc>
          <w:tcPr>
            <w:tcW w:w="200" w:type="dxa"/>
            <w:tcBorders>
              <w:top w:val="single" w:sz="4" w:space="0" w:color="000000"/>
              <w:left w:val="nil"/>
              <w:bottom w:val="single" w:sz="4" w:space="0" w:color="000000"/>
              <w:right w:val="single" w:sz="4" w:space="0" w:color="000000"/>
            </w:tcBorders>
          </w:tcPr>
          <w:p w14:paraId="2D3DBFB2"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34EFE948"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72D52BE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7702E27C"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44B7A2A9"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lastRenderedPageBreak/>
              <w:t>9 = Unknown</w:t>
            </w:r>
          </w:p>
        </w:tc>
      </w:tr>
      <w:tr w:rsidR="00CA5547" w:rsidRPr="00B845AF" w14:paraId="13BB9CDC"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08FCC85E"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lastRenderedPageBreak/>
              <w:t>CODE REFERENCE</w:t>
            </w:r>
          </w:p>
        </w:tc>
        <w:tc>
          <w:tcPr>
            <w:tcW w:w="6682" w:type="dxa"/>
            <w:tcBorders>
              <w:top w:val="single" w:sz="4" w:space="0" w:color="000000"/>
              <w:left w:val="single" w:sz="4" w:space="0" w:color="000000"/>
              <w:bottom w:val="single" w:sz="4" w:space="0" w:color="000000"/>
              <w:right w:val="nil"/>
            </w:tcBorders>
          </w:tcPr>
          <w:p w14:paraId="649F6FA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If the response to STANDARD CODES = 0 (No), can reference lists for the codes used be provided?</w:t>
            </w:r>
          </w:p>
        </w:tc>
        <w:tc>
          <w:tcPr>
            <w:tcW w:w="200" w:type="dxa"/>
            <w:tcBorders>
              <w:top w:val="single" w:sz="4" w:space="0" w:color="000000"/>
              <w:left w:val="nil"/>
              <w:bottom w:val="single" w:sz="4" w:space="0" w:color="000000"/>
              <w:right w:val="single" w:sz="4" w:space="0" w:color="000000"/>
            </w:tcBorders>
          </w:tcPr>
          <w:p w14:paraId="538C1C29"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41212258"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2F2F4E74"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44E192BB"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1CC6DA91"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5CC2E5D9"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1F7D4F88"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RAW SIZE</w:t>
            </w:r>
          </w:p>
        </w:tc>
        <w:tc>
          <w:tcPr>
            <w:tcW w:w="6682" w:type="dxa"/>
            <w:tcBorders>
              <w:top w:val="single" w:sz="4" w:space="0" w:color="000000"/>
              <w:left w:val="single" w:sz="4" w:space="0" w:color="000000"/>
              <w:bottom w:val="single" w:sz="4" w:space="0" w:color="000000"/>
              <w:right w:val="nil"/>
            </w:tcBorders>
          </w:tcPr>
          <w:p w14:paraId="2560E34F"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Are all size data provided in their raw (measured) form (i.e., no conversion applied)?</w:t>
            </w:r>
          </w:p>
        </w:tc>
        <w:tc>
          <w:tcPr>
            <w:tcW w:w="200" w:type="dxa"/>
            <w:tcBorders>
              <w:top w:val="single" w:sz="4" w:space="0" w:color="000000"/>
              <w:left w:val="nil"/>
              <w:bottom w:val="single" w:sz="4" w:space="0" w:color="000000"/>
              <w:right w:val="single" w:sz="4" w:space="0" w:color="000000"/>
            </w:tcBorders>
          </w:tcPr>
          <w:p w14:paraId="10FD0B71"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56ACBB4D"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3B9A5D3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2BF75542"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4A8EA0FD"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4FFB72B7"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3BF88ACD"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CONVERSION FACTORS</w:t>
            </w:r>
          </w:p>
        </w:tc>
        <w:tc>
          <w:tcPr>
            <w:tcW w:w="6682" w:type="dxa"/>
            <w:tcBorders>
              <w:top w:val="single" w:sz="4" w:space="0" w:color="000000"/>
              <w:left w:val="single" w:sz="4" w:space="0" w:color="000000"/>
              <w:bottom w:val="single" w:sz="4" w:space="0" w:color="000000"/>
              <w:right w:val="nil"/>
            </w:tcBorders>
          </w:tcPr>
          <w:p w14:paraId="48F1B39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If the answer to RAW SIZE = 0 (No), can the conversion factors, if used, be provided to the SSP?</w:t>
            </w:r>
          </w:p>
        </w:tc>
        <w:tc>
          <w:tcPr>
            <w:tcW w:w="200" w:type="dxa"/>
            <w:tcBorders>
              <w:top w:val="single" w:sz="4" w:space="0" w:color="000000"/>
              <w:left w:val="nil"/>
              <w:bottom w:val="single" w:sz="4" w:space="0" w:color="000000"/>
              <w:right w:val="single" w:sz="4" w:space="0" w:color="000000"/>
            </w:tcBorders>
          </w:tcPr>
          <w:p w14:paraId="7B827406"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56AA0CC7"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54B91F35"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0=No</w:t>
            </w:r>
          </w:p>
          <w:p w14:paraId="5CEF2A31"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1 = Yes</w:t>
            </w:r>
          </w:p>
          <w:p w14:paraId="5E326FE4"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9 = Unknown</w:t>
            </w:r>
          </w:p>
        </w:tc>
      </w:tr>
      <w:tr w:rsidR="00CA5547" w:rsidRPr="00B845AF" w14:paraId="07928A01"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7C6CBE1A"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WHO TO CONTACT</w:t>
            </w:r>
          </w:p>
        </w:tc>
        <w:tc>
          <w:tcPr>
            <w:tcW w:w="6682" w:type="dxa"/>
            <w:tcBorders>
              <w:top w:val="single" w:sz="4" w:space="0" w:color="000000"/>
              <w:left w:val="single" w:sz="4" w:space="0" w:color="000000"/>
              <w:bottom w:val="single" w:sz="4" w:space="0" w:color="000000"/>
              <w:right w:val="nil"/>
            </w:tcBorders>
          </w:tcPr>
          <w:p w14:paraId="72C5F3AA"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Please provide the preferred contact person’s email address to follow up on any questions arising from this information or the size data themselves.</w:t>
            </w:r>
          </w:p>
        </w:tc>
        <w:tc>
          <w:tcPr>
            <w:tcW w:w="200" w:type="dxa"/>
            <w:tcBorders>
              <w:top w:val="single" w:sz="4" w:space="0" w:color="000000"/>
              <w:left w:val="nil"/>
              <w:bottom w:val="single" w:sz="4" w:space="0" w:color="000000"/>
              <w:right w:val="single" w:sz="4" w:space="0" w:color="000000"/>
            </w:tcBorders>
          </w:tcPr>
          <w:p w14:paraId="2F21A34A"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38822254"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736BBF3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Email address</w:t>
            </w:r>
          </w:p>
        </w:tc>
      </w:tr>
      <w:tr w:rsidR="00CA5547" w:rsidRPr="00B845AF" w14:paraId="26842023" w14:textId="77777777" w:rsidTr="00835632">
        <w:trPr>
          <w:trHeight w:val="401"/>
        </w:trPr>
        <w:tc>
          <w:tcPr>
            <w:tcW w:w="1539" w:type="dxa"/>
            <w:tcBorders>
              <w:top w:val="single" w:sz="4" w:space="0" w:color="000000"/>
              <w:left w:val="single" w:sz="4" w:space="0" w:color="000000"/>
              <w:bottom w:val="single" w:sz="4" w:space="0" w:color="000000"/>
              <w:right w:val="single" w:sz="4" w:space="0" w:color="000000"/>
            </w:tcBorders>
          </w:tcPr>
          <w:p w14:paraId="1BC4FBB1" w14:textId="77777777" w:rsidR="00CA5547" w:rsidRPr="00B845AF" w:rsidRDefault="00CA5547" w:rsidP="00CA5547">
            <w:pPr>
              <w:spacing w:line="259" w:lineRule="auto"/>
              <w:rPr>
                <w:rFonts w:asciiTheme="minorHAnsi" w:hAnsiTheme="minorHAnsi" w:cstheme="minorHAnsi"/>
                <w:sz w:val="16"/>
              </w:rPr>
            </w:pPr>
            <w:r w:rsidRPr="00B845AF">
              <w:rPr>
                <w:rFonts w:asciiTheme="minorHAnsi" w:hAnsiTheme="minorHAnsi" w:cstheme="minorHAnsi"/>
                <w:sz w:val="16"/>
              </w:rPr>
              <w:t>COMMENTS</w:t>
            </w:r>
          </w:p>
        </w:tc>
        <w:tc>
          <w:tcPr>
            <w:tcW w:w="6682" w:type="dxa"/>
            <w:tcBorders>
              <w:top w:val="single" w:sz="4" w:space="0" w:color="000000"/>
              <w:left w:val="single" w:sz="4" w:space="0" w:color="000000"/>
              <w:bottom w:val="single" w:sz="4" w:space="0" w:color="000000"/>
              <w:right w:val="nil"/>
            </w:tcBorders>
          </w:tcPr>
          <w:p w14:paraId="6EF87909" w14:textId="77777777" w:rsidR="00CA5547" w:rsidRPr="00B845AF" w:rsidRDefault="00CA5547" w:rsidP="00CA5547">
            <w:pPr>
              <w:spacing w:line="259" w:lineRule="auto"/>
              <w:ind w:left="1"/>
              <w:rPr>
                <w:rFonts w:asciiTheme="minorHAnsi" w:hAnsiTheme="minorHAnsi" w:cstheme="minorHAnsi"/>
                <w:color w:val="0000FF"/>
                <w:sz w:val="16"/>
              </w:rPr>
            </w:pPr>
            <w:r w:rsidRPr="00B845AF">
              <w:rPr>
                <w:rFonts w:asciiTheme="minorHAnsi" w:hAnsiTheme="minorHAnsi" w:cstheme="minorHAnsi"/>
                <w:color w:val="0000FF"/>
                <w:sz w:val="16"/>
              </w:rPr>
              <w:t>If additional comments are required, please use the following format:</w:t>
            </w:r>
          </w:p>
          <w:p w14:paraId="4D482FE7"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color w:val="0000FF"/>
                <w:sz w:val="16"/>
              </w:rPr>
              <w:t>FIELD NAME: comments…; FIELD NAME: separate comments; …</w:t>
            </w:r>
          </w:p>
        </w:tc>
        <w:tc>
          <w:tcPr>
            <w:tcW w:w="200" w:type="dxa"/>
            <w:tcBorders>
              <w:top w:val="single" w:sz="4" w:space="0" w:color="000000"/>
              <w:left w:val="nil"/>
              <w:bottom w:val="single" w:sz="4" w:space="0" w:color="000000"/>
              <w:right w:val="single" w:sz="4" w:space="0" w:color="000000"/>
            </w:tcBorders>
          </w:tcPr>
          <w:p w14:paraId="65627E77" w14:textId="77777777" w:rsidR="00CA5547" w:rsidRPr="00B845AF" w:rsidRDefault="00CA5547" w:rsidP="00CA5547">
            <w:pPr>
              <w:spacing w:after="160" w:line="259" w:lineRule="auto"/>
              <w:rPr>
                <w:rFonts w:asciiTheme="minorHAnsi" w:hAnsiTheme="minorHAnsi" w:cstheme="minorHAnsi"/>
              </w:rPr>
            </w:pPr>
          </w:p>
        </w:tc>
        <w:tc>
          <w:tcPr>
            <w:tcW w:w="901" w:type="dxa"/>
            <w:tcBorders>
              <w:top w:val="single" w:sz="4" w:space="0" w:color="000000"/>
              <w:left w:val="single" w:sz="4" w:space="0" w:color="000000"/>
              <w:bottom w:val="single" w:sz="4" w:space="0" w:color="000000"/>
              <w:right w:val="single" w:sz="4" w:space="0" w:color="000000"/>
            </w:tcBorders>
          </w:tcPr>
          <w:p w14:paraId="0E9A9B5C" w14:textId="77777777" w:rsidR="00CA5547" w:rsidRPr="00B845AF" w:rsidRDefault="00CA5547" w:rsidP="00CA5547">
            <w:pPr>
              <w:spacing w:line="259" w:lineRule="auto"/>
              <w:ind w:right="22"/>
              <w:jc w:val="center"/>
              <w:rPr>
                <w:rFonts w:asciiTheme="minorHAnsi" w:hAnsiTheme="minorHAnsi" w:cstheme="minorHAnsi"/>
                <w:b/>
                <w:sz w:val="20"/>
              </w:rPr>
            </w:pPr>
          </w:p>
        </w:tc>
        <w:tc>
          <w:tcPr>
            <w:tcW w:w="4228" w:type="dxa"/>
            <w:tcBorders>
              <w:top w:val="single" w:sz="4" w:space="0" w:color="000000"/>
              <w:left w:val="single" w:sz="4" w:space="0" w:color="000000"/>
              <w:bottom w:val="single" w:sz="4" w:space="0" w:color="000000"/>
              <w:right w:val="single" w:sz="4" w:space="0" w:color="000000"/>
            </w:tcBorders>
          </w:tcPr>
          <w:p w14:paraId="5C46E320" w14:textId="77777777" w:rsidR="00CA5547" w:rsidRPr="00B845AF" w:rsidRDefault="00CA5547" w:rsidP="00CA5547">
            <w:pPr>
              <w:spacing w:line="259" w:lineRule="auto"/>
              <w:ind w:left="1"/>
              <w:rPr>
                <w:rFonts w:asciiTheme="minorHAnsi" w:hAnsiTheme="minorHAnsi" w:cstheme="minorHAnsi"/>
                <w:sz w:val="16"/>
              </w:rPr>
            </w:pPr>
            <w:r w:rsidRPr="00B845AF">
              <w:rPr>
                <w:rFonts w:asciiTheme="minorHAnsi" w:hAnsiTheme="minorHAnsi" w:cstheme="minorHAnsi"/>
                <w:sz w:val="16"/>
              </w:rPr>
              <w:t>Comments should follow the field name as indicated in the data template followed by a colon (:) and then the free text comment. Please use a semi-colon (;) to separate multiple comments.</w:t>
            </w:r>
          </w:p>
        </w:tc>
      </w:tr>
      <w:bookmarkEnd w:id="93"/>
    </w:tbl>
    <w:p w14:paraId="0DD08587" w14:textId="77777777" w:rsidR="00E12228" w:rsidRPr="00B845AF" w:rsidRDefault="00E12228">
      <w:pPr>
        <w:rPr>
          <w:rFonts w:asciiTheme="minorHAnsi" w:eastAsia="MS Mincho" w:hAnsiTheme="minorHAnsi" w:cstheme="minorHAnsi"/>
          <w:b/>
          <w:bCs/>
          <w:szCs w:val="22"/>
          <w:lang w:eastAsia="ja-JP"/>
        </w:rPr>
        <w:sectPr w:rsidR="00E12228" w:rsidRPr="00B845AF" w:rsidSect="00922BCB">
          <w:pgSz w:w="15840" w:h="12240" w:orient="landscape" w:code="1"/>
          <w:pgMar w:top="1440" w:right="1440" w:bottom="1440" w:left="1440" w:header="708" w:footer="708" w:gutter="0"/>
          <w:cols w:space="708"/>
          <w:docGrid w:linePitch="360"/>
        </w:sectPr>
      </w:pPr>
    </w:p>
    <w:p w14:paraId="53DF1A10" w14:textId="439C57AB" w:rsidR="004A2594" w:rsidRPr="00B845AF" w:rsidRDefault="004A2594">
      <w:pPr>
        <w:rPr>
          <w:rFonts w:asciiTheme="minorHAnsi" w:eastAsia="MS Mincho" w:hAnsiTheme="minorHAnsi" w:cstheme="minorHAnsi"/>
          <w:b/>
          <w:bCs/>
          <w:szCs w:val="22"/>
          <w:lang w:eastAsia="ja-JP"/>
        </w:rPr>
      </w:pPr>
    </w:p>
    <w:p w14:paraId="249B2AA3" w14:textId="7D719F55" w:rsidR="002766DF" w:rsidRPr="00B845AF" w:rsidRDefault="002766DF" w:rsidP="002766DF">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t xml:space="preserve">Attachment </w:t>
      </w:r>
      <w:r w:rsidR="004A2594" w:rsidRPr="00B845AF">
        <w:rPr>
          <w:rFonts w:asciiTheme="minorHAnsi" w:hAnsiTheme="minorHAnsi" w:cstheme="minorHAnsi"/>
          <w:b/>
          <w:bCs/>
          <w:szCs w:val="22"/>
          <w:lang w:eastAsia="en-NZ"/>
        </w:rPr>
        <w:t>G</w:t>
      </w:r>
    </w:p>
    <w:p w14:paraId="6FBF6F5A" w14:textId="77777777" w:rsidR="002766DF" w:rsidRPr="00B845AF" w:rsidRDefault="002766DF" w:rsidP="0069546C">
      <w:pPr>
        <w:adjustRightInd w:val="0"/>
        <w:snapToGrid w:val="0"/>
        <w:rPr>
          <w:rFonts w:asciiTheme="minorHAnsi" w:eastAsia="MS Mincho" w:hAnsiTheme="minorHAnsi" w:cstheme="minorHAnsi"/>
          <w:b/>
          <w:bCs/>
          <w:szCs w:val="22"/>
          <w:lang w:eastAsia="ja-JP"/>
        </w:rPr>
      </w:pPr>
    </w:p>
    <w:p w14:paraId="518EE521" w14:textId="77777777" w:rsidR="00815AB3" w:rsidRPr="00B845AF" w:rsidRDefault="00815AB3" w:rsidP="00815AB3">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71F8F375" w14:textId="77777777" w:rsidR="00815AB3" w:rsidRPr="00B845AF" w:rsidRDefault="00815AB3" w:rsidP="00815AB3">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76A0D2DA" w14:textId="77777777" w:rsidR="00815AB3" w:rsidRPr="00B845AF" w:rsidRDefault="00815AB3" w:rsidP="00815AB3">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12C5DF12" w14:textId="77777777" w:rsidR="00815AB3" w:rsidRPr="00B845AF" w:rsidRDefault="00815AB3" w:rsidP="00815AB3">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4C0B8257" w14:textId="77777777" w:rsidR="00815AB3" w:rsidRPr="00B845AF" w:rsidRDefault="00815AB3" w:rsidP="00815AB3">
      <w:pPr>
        <w:adjustRightInd w:val="0"/>
        <w:snapToGrid w:val="0"/>
        <w:jc w:val="center"/>
        <w:rPr>
          <w:rFonts w:asciiTheme="minorHAnsi" w:eastAsia="MS Mincho" w:hAnsiTheme="minorHAnsi" w:cstheme="minorHAnsi"/>
          <w:sz w:val="24"/>
          <w:szCs w:val="28"/>
          <w:lang w:eastAsia="ja-JP"/>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815AB3" w:rsidRPr="00B845AF" w14:paraId="7E45C40E" w14:textId="77777777" w:rsidTr="00835632">
        <w:tc>
          <w:tcPr>
            <w:tcW w:w="9576" w:type="dxa"/>
            <w:hideMark/>
          </w:tcPr>
          <w:p w14:paraId="70942469" w14:textId="1CD49289" w:rsidR="00815AB3" w:rsidRPr="00B845AF" w:rsidRDefault="005D1498" w:rsidP="00173A92">
            <w:pPr>
              <w:autoSpaceDE w:val="0"/>
              <w:autoSpaceDN w:val="0"/>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lang w:eastAsia="ja-JP"/>
              </w:rPr>
              <w:t>Report from ISG11</w:t>
            </w:r>
            <w:r w:rsidR="00815AB3" w:rsidRPr="00B845AF">
              <w:rPr>
                <w:rFonts w:asciiTheme="minorHAnsi" w:eastAsiaTheme="minorEastAsia" w:hAnsiTheme="minorHAnsi" w:cstheme="minorHAnsi"/>
                <w:b/>
                <w:bCs/>
                <w:sz w:val="28"/>
                <w:szCs w:val="28"/>
                <w:lang w:eastAsia="ko-KR"/>
              </w:rPr>
              <w:fldChar w:fldCharType="begin"/>
            </w:r>
            <w:r w:rsidR="00815AB3" w:rsidRPr="00B845AF">
              <w:rPr>
                <w:rFonts w:asciiTheme="minorHAnsi" w:hAnsiTheme="minorHAnsi" w:cstheme="minorHAnsi"/>
                <w:sz w:val="28"/>
                <w:szCs w:val="28"/>
              </w:rPr>
              <w:instrText xml:space="preserve"> TC "</w:instrText>
            </w:r>
            <w:bookmarkStart w:id="94" w:name="_Toc239261443"/>
            <w:r w:rsidR="00815AB3" w:rsidRPr="00B845AF">
              <w:rPr>
                <w:rFonts w:asciiTheme="minorHAnsi" w:eastAsiaTheme="minorEastAsia" w:hAnsiTheme="minorHAnsi" w:cstheme="minorHAnsi"/>
                <w:b/>
                <w:bCs/>
                <w:sz w:val="28"/>
                <w:szCs w:val="28"/>
                <w:lang w:eastAsia="ko-KR"/>
              </w:rPr>
              <w:instrText>SUMMARY REPORT</w:instrText>
            </w:r>
            <w:bookmarkEnd w:id="94"/>
            <w:r w:rsidR="00815AB3" w:rsidRPr="00B845AF">
              <w:rPr>
                <w:rFonts w:asciiTheme="minorHAnsi" w:hAnsiTheme="minorHAnsi" w:cstheme="minorHAnsi"/>
                <w:sz w:val="28"/>
                <w:szCs w:val="28"/>
              </w:rPr>
              <w:instrText xml:space="preserve">" \f C \l "1" </w:instrText>
            </w:r>
            <w:r w:rsidR="00815AB3" w:rsidRPr="00B845AF">
              <w:rPr>
                <w:rFonts w:asciiTheme="minorHAnsi" w:eastAsiaTheme="minorEastAsia" w:hAnsiTheme="minorHAnsi" w:cstheme="minorHAnsi"/>
                <w:b/>
                <w:bCs/>
                <w:sz w:val="28"/>
                <w:szCs w:val="28"/>
                <w:lang w:eastAsia="ko-KR"/>
              </w:rPr>
              <w:fldChar w:fldCharType="end"/>
            </w:r>
          </w:p>
        </w:tc>
      </w:tr>
    </w:tbl>
    <w:p w14:paraId="6773577E" w14:textId="77777777" w:rsidR="00E82718" w:rsidRPr="00B845AF" w:rsidRDefault="00E82718" w:rsidP="001A23E2">
      <w:pPr>
        <w:autoSpaceDE w:val="0"/>
        <w:autoSpaceDN w:val="0"/>
        <w:adjustRightInd w:val="0"/>
        <w:snapToGrid w:val="0"/>
        <w:jc w:val="both"/>
        <w:rPr>
          <w:rFonts w:asciiTheme="minorHAnsi" w:eastAsia="MS Mincho" w:hAnsiTheme="minorHAnsi" w:cstheme="minorHAnsi"/>
          <w:szCs w:val="22"/>
          <w:lang w:eastAsia="ja-JP"/>
        </w:rPr>
      </w:pPr>
    </w:p>
    <w:p w14:paraId="6FC3DCA0" w14:textId="77777777" w:rsidR="002766DF" w:rsidRPr="00B845AF" w:rsidRDefault="002766DF" w:rsidP="001A23E2">
      <w:pPr>
        <w:autoSpaceDE w:val="0"/>
        <w:autoSpaceDN w:val="0"/>
        <w:adjustRightInd w:val="0"/>
        <w:snapToGrid w:val="0"/>
        <w:jc w:val="both"/>
        <w:rPr>
          <w:rFonts w:asciiTheme="minorHAnsi" w:hAnsiTheme="minorHAnsi" w:cstheme="minorHAnsi"/>
          <w:szCs w:val="22"/>
        </w:rPr>
      </w:pPr>
    </w:p>
    <w:p w14:paraId="604C728B" w14:textId="77777777" w:rsidR="006133ED" w:rsidRPr="00B845AF" w:rsidRDefault="006133ED" w:rsidP="006133ED">
      <w:pPr>
        <w:jc w:val="both"/>
        <w:rPr>
          <w:rFonts w:asciiTheme="minorHAnsi" w:hAnsiTheme="minorHAnsi" w:cstheme="minorHAnsi"/>
          <w:b/>
          <w:bCs/>
          <w:szCs w:val="22"/>
        </w:rPr>
      </w:pPr>
      <w:r w:rsidRPr="00B845AF">
        <w:rPr>
          <w:rFonts w:asciiTheme="minorHAnsi" w:hAnsiTheme="minorHAnsi" w:cstheme="minorHAnsi"/>
          <w:b/>
          <w:bCs/>
          <w:szCs w:val="22"/>
        </w:rPr>
        <w:t>Recommendations from ISG11 - Project 114 (Cannery Data)</w:t>
      </w:r>
    </w:p>
    <w:p w14:paraId="6FD32ED0" w14:textId="77777777" w:rsidR="006133ED" w:rsidRPr="00B845AF" w:rsidRDefault="006133ED" w:rsidP="006133ED">
      <w:pPr>
        <w:jc w:val="both"/>
        <w:rPr>
          <w:rFonts w:asciiTheme="minorHAnsi" w:hAnsiTheme="minorHAnsi" w:cstheme="minorHAnsi"/>
          <w:b/>
          <w:bCs/>
          <w:szCs w:val="22"/>
        </w:rPr>
      </w:pPr>
    </w:p>
    <w:p w14:paraId="13B7C61F" w14:textId="77777777" w:rsidR="006133ED" w:rsidRPr="00B845AF" w:rsidRDefault="006133ED" w:rsidP="006133ED">
      <w:pPr>
        <w:jc w:val="both"/>
        <w:rPr>
          <w:rFonts w:asciiTheme="minorHAnsi" w:hAnsiTheme="minorHAnsi" w:cstheme="minorHAnsi"/>
          <w:szCs w:val="22"/>
        </w:rPr>
      </w:pPr>
      <w:r w:rsidRPr="00B845AF">
        <w:rPr>
          <w:rFonts w:asciiTheme="minorHAnsi" w:hAnsiTheme="minorHAnsi" w:cstheme="minorHAnsi"/>
          <w:szCs w:val="22"/>
        </w:rPr>
        <w:t xml:space="preserve">ISG11 (Project 114 - Cannery Data) reviewed the recommendations included in WCPFC-SC22-2026-ST-IP06 Progressing the use of cannery receipt data for scientific work, </w:t>
      </w:r>
      <w:proofErr w:type="gramStart"/>
      <w:r w:rsidRPr="00B845AF">
        <w:rPr>
          <w:rFonts w:asciiTheme="minorHAnsi" w:hAnsiTheme="minorHAnsi" w:cstheme="minorHAnsi"/>
          <w:szCs w:val="22"/>
        </w:rPr>
        <w:t>in order to</w:t>
      </w:r>
      <w:proofErr w:type="gramEnd"/>
      <w:r w:rsidRPr="00B845AF">
        <w:rPr>
          <w:rFonts w:asciiTheme="minorHAnsi" w:hAnsiTheme="minorHAnsi" w:cstheme="minorHAnsi"/>
          <w:szCs w:val="22"/>
        </w:rPr>
        <w:t xml:space="preserve"> provide advice and recommendations to SC22.</w:t>
      </w:r>
    </w:p>
    <w:p w14:paraId="0C383DC0" w14:textId="77777777" w:rsidR="006133ED" w:rsidRPr="00B845AF" w:rsidRDefault="006133ED" w:rsidP="006133ED">
      <w:pPr>
        <w:jc w:val="both"/>
        <w:rPr>
          <w:rFonts w:asciiTheme="minorHAnsi" w:hAnsiTheme="minorHAnsi" w:cstheme="minorHAnsi"/>
          <w:szCs w:val="22"/>
        </w:rPr>
      </w:pPr>
    </w:p>
    <w:p w14:paraId="64A5A1D9" w14:textId="77777777" w:rsidR="006133ED" w:rsidRPr="00B845AF" w:rsidRDefault="006133ED" w:rsidP="006133ED">
      <w:pPr>
        <w:jc w:val="both"/>
        <w:rPr>
          <w:rFonts w:asciiTheme="minorHAnsi" w:hAnsiTheme="minorHAnsi" w:cstheme="minorHAnsi"/>
          <w:szCs w:val="22"/>
        </w:rPr>
      </w:pPr>
      <w:r w:rsidRPr="00B845AF">
        <w:rPr>
          <w:rFonts w:asciiTheme="minorHAnsi" w:hAnsiTheme="minorHAnsi" w:cstheme="minorHAnsi"/>
          <w:szCs w:val="22"/>
        </w:rPr>
        <w:t xml:space="preserve">The following recommendations are provided for SC22 consideration based on discussions in ISG11. </w:t>
      </w:r>
    </w:p>
    <w:p w14:paraId="413EFD64" w14:textId="77777777" w:rsidR="006133ED" w:rsidRPr="00B845AF" w:rsidRDefault="006133ED" w:rsidP="00D47778">
      <w:pPr>
        <w:numPr>
          <w:ilvl w:val="0"/>
          <w:numId w:val="33"/>
        </w:numPr>
        <w:jc w:val="both"/>
        <w:rPr>
          <w:rFonts w:asciiTheme="minorHAnsi" w:hAnsiTheme="minorHAnsi" w:cstheme="minorHAnsi"/>
          <w:szCs w:val="22"/>
        </w:rPr>
      </w:pPr>
      <w:r w:rsidRPr="00B845AF">
        <w:rPr>
          <w:rFonts w:asciiTheme="minorHAnsi" w:hAnsiTheme="minorHAnsi" w:cstheme="minorHAnsi"/>
          <w:szCs w:val="22"/>
        </w:rPr>
        <w:t xml:space="preserve">SC22 recommended that the SSP convene a virtual workshop later in 2026 to discuss availability and status of cannery receipt data, develop methodologies to adjust logbook data using cannery receipt data, and discuss the possible pathways to integrate cannery data to support the scientific work of the Commission. </w:t>
      </w:r>
    </w:p>
    <w:p w14:paraId="288BACF6" w14:textId="77777777" w:rsidR="006133ED" w:rsidRPr="00B845AF" w:rsidRDefault="006133ED" w:rsidP="00D47778">
      <w:pPr>
        <w:numPr>
          <w:ilvl w:val="0"/>
          <w:numId w:val="33"/>
        </w:numPr>
        <w:jc w:val="both"/>
        <w:rPr>
          <w:rFonts w:asciiTheme="minorHAnsi" w:hAnsiTheme="minorHAnsi" w:cstheme="minorHAnsi"/>
          <w:szCs w:val="22"/>
        </w:rPr>
      </w:pPr>
      <w:r w:rsidRPr="00B845AF">
        <w:rPr>
          <w:rFonts w:asciiTheme="minorHAnsi" w:hAnsiTheme="minorHAnsi" w:cstheme="minorHAnsi"/>
          <w:szCs w:val="22"/>
        </w:rPr>
        <w:t xml:space="preserve">SC22 recommended that the SSP work with relevant CCMs to summarise existing methodologies to apply cannery receipts to logbook data in advance of the virtual workshop. </w:t>
      </w:r>
    </w:p>
    <w:p w14:paraId="117725B9" w14:textId="77777777" w:rsidR="006133ED" w:rsidRPr="00B845AF" w:rsidRDefault="006133ED" w:rsidP="00D47778">
      <w:pPr>
        <w:numPr>
          <w:ilvl w:val="0"/>
          <w:numId w:val="33"/>
        </w:numPr>
        <w:jc w:val="both"/>
        <w:rPr>
          <w:rFonts w:asciiTheme="minorHAnsi" w:hAnsiTheme="minorHAnsi" w:cstheme="minorHAnsi"/>
          <w:szCs w:val="22"/>
        </w:rPr>
      </w:pPr>
      <w:r w:rsidRPr="00B845AF">
        <w:rPr>
          <w:rFonts w:asciiTheme="minorHAnsi" w:hAnsiTheme="minorHAnsi" w:cstheme="minorHAnsi"/>
          <w:szCs w:val="22"/>
        </w:rPr>
        <w:t xml:space="preserve">SC22 supported a no-cost extension of Project 114 to the end of 2027, with final project reporting to SC23. </w:t>
      </w:r>
    </w:p>
    <w:p w14:paraId="0DD2874B" w14:textId="77777777" w:rsidR="00BF0FE5" w:rsidRPr="00B845AF" w:rsidRDefault="00BF0FE5" w:rsidP="00BF0FE5">
      <w:pPr>
        <w:rPr>
          <w:rFonts w:asciiTheme="minorHAnsi" w:hAnsiTheme="minorHAnsi" w:cstheme="minorHAnsi"/>
        </w:rPr>
      </w:pPr>
    </w:p>
    <w:p w14:paraId="609CF1FB" w14:textId="77777777" w:rsidR="00BF0FE5" w:rsidRPr="00B845AF" w:rsidRDefault="00BF0FE5" w:rsidP="00BF0FE5">
      <w:pPr>
        <w:rPr>
          <w:rFonts w:asciiTheme="minorHAnsi" w:hAnsiTheme="minorHAnsi" w:cstheme="minorHAnsi"/>
        </w:rPr>
      </w:pPr>
    </w:p>
    <w:p w14:paraId="7FFC0AB0" w14:textId="77777777" w:rsidR="00BF0FE5" w:rsidRPr="00B845AF" w:rsidRDefault="00BF0FE5" w:rsidP="00BF0FE5">
      <w:pPr>
        <w:rPr>
          <w:rFonts w:asciiTheme="minorHAnsi" w:hAnsiTheme="minorHAnsi" w:cstheme="minorHAnsi"/>
        </w:rPr>
      </w:pPr>
    </w:p>
    <w:p w14:paraId="56A0F3ED" w14:textId="4FEE50F3" w:rsidR="00BF0FE5" w:rsidRPr="00B845AF" w:rsidRDefault="00BF0FE5" w:rsidP="00BF0FE5">
      <w:pPr>
        <w:rPr>
          <w:rFonts w:asciiTheme="minorHAnsi" w:eastAsia="MS Mincho" w:hAnsiTheme="minorHAnsi" w:cstheme="minorHAnsi"/>
          <w:lang w:eastAsia="ja-JP"/>
        </w:rPr>
        <w:sectPr w:rsidR="00BF0FE5" w:rsidRPr="00B845AF" w:rsidSect="00F14811">
          <w:footerReference w:type="default" r:id="rId144"/>
          <w:pgSz w:w="12240" w:h="15840" w:code="1"/>
          <w:pgMar w:top="1440" w:right="1440" w:bottom="1440" w:left="1440" w:header="708" w:footer="708" w:gutter="0"/>
          <w:cols w:space="708"/>
          <w:docGrid w:linePitch="360"/>
        </w:sectPr>
      </w:pPr>
    </w:p>
    <w:p w14:paraId="57BF9F4E" w14:textId="77777777" w:rsidR="00BF0FE5" w:rsidRPr="00B845AF" w:rsidRDefault="00BF0FE5" w:rsidP="00BF0FE5">
      <w:pPr>
        <w:rPr>
          <w:rFonts w:asciiTheme="minorHAnsi" w:eastAsia="MS Mincho" w:hAnsiTheme="minorHAnsi" w:cstheme="minorHAnsi"/>
          <w:lang w:eastAsia="ja-JP"/>
        </w:rPr>
      </w:pPr>
    </w:p>
    <w:p w14:paraId="75BF14FA" w14:textId="1D7EFE3D" w:rsidR="002766DF" w:rsidRPr="00B845AF" w:rsidRDefault="002766DF" w:rsidP="002766DF">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t xml:space="preserve">Attachment </w:t>
      </w:r>
      <w:r w:rsidR="004A2594" w:rsidRPr="00B845AF">
        <w:rPr>
          <w:rFonts w:asciiTheme="minorHAnsi" w:hAnsiTheme="minorHAnsi" w:cstheme="minorHAnsi"/>
          <w:b/>
          <w:bCs/>
          <w:szCs w:val="22"/>
          <w:lang w:eastAsia="en-NZ"/>
        </w:rPr>
        <w:t>H</w:t>
      </w:r>
    </w:p>
    <w:p w14:paraId="3E94A153" w14:textId="77777777" w:rsidR="002766DF" w:rsidRPr="00B845AF" w:rsidRDefault="002766DF" w:rsidP="002766DF">
      <w:pPr>
        <w:adjustRightInd w:val="0"/>
        <w:snapToGrid w:val="0"/>
        <w:jc w:val="center"/>
        <w:rPr>
          <w:rFonts w:asciiTheme="minorHAnsi" w:hAnsiTheme="minorHAnsi" w:cstheme="minorHAnsi"/>
          <w:b/>
          <w:bCs/>
          <w:szCs w:val="22"/>
          <w:lang w:eastAsia="en-NZ"/>
        </w:rPr>
      </w:pPr>
    </w:p>
    <w:p w14:paraId="055BE121" w14:textId="77777777" w:rsidR="00612A78" w:rsidRPr="00B845AF" w:rsidRDefault="00612A78" w:rsidP="00835632">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30D85C79" w14:textId="77777777" w:rsidR="00612A78" w:rsidRPr="00B845AF" w:rsidRDefault="00612A78" w:rsidP="00835632">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77604B3F" w14:textId="77777777" w:rsidR="00612A78" w:rsidRPr="00B845AF" w:rsidRDefault="00612A78" w:rsidP="00835632">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4433A00E" w14:textId="77777777" w:rsidR="00612A78" w:rsidRPr="00B845AF" w:rsidRDefault="00612A78" w:rsidP="00835632">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0B900FC8" w14:textId="77777777" w:rsidR="00612A78" w:rsidRPr="00B845AF" w:rsidRDefault="00612A78" w:rsidP="00612A78">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360"/>
      </w:tblGrid>
      <w:tr w:rsidR="004A2594" w:rsidRPr="00B845AF" w14:paraId="417797AC" w14:textId="77777777" w:rsidTr="00290BE9">
        <w:tc>
          <w:tcPr>
            <w:tcW w:w="9360" w:type="dxa"/>
            <w:tcBorders>
              <w:top w:val="single" w:sz="12" w:space="0" w:color="auto"/>
              <w:left w:val="nil"/>
              <w:bottom w:val="single" w:sz="12" w:space="0" w:color="auto"/>
              <w:right w:val="nil"/>
            </w:tcBorders>
            <w:hideMark/>
          </w:tcPr>
          <w:p w14:paraId="595F8B80" w14:textId="1C993FE3" w:rsidR="004A2594" w:rsidRPr="00B845AF" w:rsidRDefault="004A2594" w:rsidP="00EB03A3">
            <w:pPr>
              <w:autoSpaceDE w:val="0"/>
              <w:autoSpaceDN w:val="0"/>
              <w:adjustRightInd w:val="0"/>
              <w:snapToGrid w:val="0"/>
              <w:jc w:val="center"/>
              <w:rPr>
                <w:rFonts w:asciiTheme="minorHAnsi" w:hAnsiTheme="minorHAnsi" w:cstheme="minorHAnsi"/>
                <w:b/>
                <w:szCs w:val="22"/>
              </w:rPr>
            </w:pPr>
            <w:r w:rsidRPr="00B845AF">
              <w:rPr>
                <w:rFonts w:asciiTheme="minorHAnsi" w:hAnsiTheme="minorHAnsi" w:cstheme="minorHAnsi"/>
                <w:b/>
                <w:sz w:val="24"/>
              </w:rPr>
              <w:t>Report from ISG</w:t>
            </w:r>
            <w:r w:rsidR="00EB03A3" w:rsidRPr="00B845AF">
              <w:rPr>
                <w:rFonts w:asciiTheme="minorHAnsi" w:eastAsia="MS Mincho" w:hAnsiTheme="minorHAnsi" w:cstheme="minorHAnsi"/>
                <w:b/>
                <w:sz w:val="24"/>
                <w:lang w:eastAsia="ja-JP"/>
              </w:rPr>
              <w:t>03</w:t>
            </w:r>
            <w:r w:rsidRPr="00B845AF">
              <w:rPr>
                <w:rFonts w:asciiTheme="minorHAnsi" w:hAnsiTheme="minorHAnsi" w:cstheme="minorHAnsi"/>
                <w:b/>
                <w:bCs/>
                <w:i/>
                <w:iCs/>
              </w:rPr>
              <w:t xml:space="preserve"> </w:t>
            </w:r>
            <w:r w:rsidRPr="00B845AF">
              <w:rPr>
                <w:rFonts w:asciiTheme="minorHAnsi" w:hAnsiTheme="minorHAnsi" w:cstheme="minorHAnsi"/>
                <w:bCs/>
                <w:szCs w:val="22"/>
              </w:rPr>
              <w:fldChar w:fldCharType="begin"/>
            </w:r>
            <w:r w:rsidRPr="00B845AF">
              <w:rPr>
                <w:rFonts w:asciiTheme="minorHAnsi" w:hAnsiTheme="minorHAnsi" w:cstheme="minorHAnsi"/>
                <w:bCs/>
                <w:szCs w:val="22"/>
              </w:rPr>
              <w:instrText xml:space="preserve"> TC " </w:instrText>
            </w:r>
            <w:bookmarkStart w:id="95" w:name="_Toc239261444"/>
            <w:r w:rsidRPr="00B845AF">
              <w:rPr>
                <w:rFonts w:asciiTheme="minorHAnsi" w:hAnsiTheme="minorHAnsi" w:cstheme="minorHAnsi"/>
                <w:bCs/>
                <w:szCs w:val="22"/>
              </w:rPr>
              <w:instrText xml:space="preserve">ATTACHMENT </w:instrText>
            </w:r>
            <w:r w:rsidR="00783DC6" w:rsidRPr="00B845AF">
              <w:rPr>
                <w:rFonts w:asciiTheme="minorHAnsi" w:hAnsiTheme="minorHAnsi" w:cstheme="minorHAnsi"/>
                <w:bCs/>
                <w:szCs w:val="22"/>
              </w:rPr>
              <w:instrText>H</w:instrText>
            </w:r>
            <w:r w:rsidRPr="00B845AF">
              <w:rPr>
                <w:rFonts w:asciiTheme="minorHAnsi" w:hAnsiTheme="minorHAnsi" w:cstheme="minorHAnsi"/>
                <w:bCs/>
                <w:szCs w:val="22"/>
              </w:rPr>
              <w:instrText xml:space="preserve"> — REPORT FROM ISG-0</w:instrText>
            </w:r>
            <w:r w:rsidR="00783DC6" w:rsidRPr="00B845AF">
              <w:rPr>
                <w:rFonts w:asciiTheme="minorHAnsi" w:hAnsiTheme="minorHAnsi" w:cstheme="minorHAnsi"/>
                <w:bCs/>
                <w:szCs w:val="22"/>
              </w:rPr>
              <w:instrText>5</w:instrText>
            </w:r>
            <w:bookmarkEnd w:id="95"/>
            <w:r w:rsidRPr="00B845AF">
              <w:rPr>
                <w:rFonts w:asciiTheme="minorHAnsi" w:hAnsiTheme="minorHAnsi" w:cstheme="minorHAnsi"/>
                <w:bCs/>
                <w:szCs w:val="22"/>
              </w:rPr>
              <w:instrText xml:space="preserve"> " \f C \l "1" </w:instrText>
            </w:r>
            <w:r w:rsidRPr="00B845AF">
              <w:rPr>
                <w:rFonts w:asciiTheme="minorHAnsi" w:hAnsiTheme="minorHAnsi" w:cstheme="minorHAnsi"/>
                <w:bCs/>
                <w:szCs w:val="22"/>
              </w:rPr>
              <w:fldChar w:fldCharType="end"/>
            </w:r>
          </w:p>
        </w:tc>
      </w:tr>
    </w:tbl>
    <w:p w14:paraId="15085E72" w14:textId="77777777" w:rsidR="004A2594" w:rsidRPr="00B845AF" w:rsidRDefault="004A2594" w:rsidP="004A2594">
      <w:pPr>
        <w:rPr>
          <w:rFonts w:asciiTheme="minorHAnsi" w:eastAsia="MS Mincho" w:hAnsiTheme="minorHAnsi" w:cstheme="minorHAnsi"/>
          <w:lang w:eastAsia="ja-JP"/>
        </w:rPr>
      </w:pPr>
    </w:p>
    <w:p w14:paraId="5C0D4DE2" w14:textId="77777777" w:rsidR="004B0F66" w:rsidRPr="00B845AF" w:rsidRDefault="004B0F66" w:rsidP="004A2594">
      <w:pPr>
        <w:rPr>
          <w:rFonts w:asciiTheme="minorHAnsi" w:eastAsia="MS Mincho" w:hAnsiTheme="minorHAnsi" w:cstheme="minorHAnsi"/>
          <w:lang w:eastAsia="ja-JP"/>
        </w:rPr>
      </w:pPr>
    </w:p>
    <w:p w14:paraId="7F9C6257" w14:textId="77777777" w:rsidR="005C7C77" w:rsidRPr="00B845AF" w:rsidRDefault="005C7C77" w:rsidP="005C7C77">
      <w:pPr>
        <w:jc w:val="both"/>
        <w:rPr>
          <w:rFonts w:asciiTheme="minorHAnsi" w:hAnsiTheme="minorHAnsi" w:cstheme="minorHAnsi"/>
          <w:b/>
          <w:bCs/>
          <w:szCs w:val="22"/>
        </w:rPr>
      </w:pPr>
      <w:bookmarkStart w:id="96" w:name="_Hlk239259622"/>
      <w:r w:rsidRPr="00B845AF">
        <w:rPr>
          <w:rFonts w:asciiTheme="minorHAnsi" w:hAnsiTheme="minorHAnsi" w:cstheme="minorHAnsi"/>
          <w:b/>
          <w:bCs/>
          <w:szCs w:val="22"/>
        </w:rPr>
        <w:t>ISG03 - Project 123: Scoping the next generation of tuna stock assessment software</w:t>
      </w:r>
    </w:p>
    <w:p w14:paraId="2D75AB61" w14:textId="77777777" w:rsidR="005C7C77" w:rsidRPr="00B845AF" w:rsidRDefault="005C7C77" w:rsidP="005C7C77">
      <w:pPr>
        <w:jc w:val="both"/>
        <w:rPr>
          <w:rFonts w:asciiTheme="minorHAnsi" w:hAnsiTheme="minorHAnsi" w:cstheme="minorHAnsi"/>
          <w:b/>
          <w:bCs/>
          <w:szCs w:val="22"/>
        </w:rPr>
      </w:pPr>
    </w:p>
    <w:p w14:paraId="163C60D0"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SPC staff provided a budget and workplan on Project 123 as indicated in WCPFC-</w:t>
      </w:r>
      <w:r w:rsidRPr="00B845AF">
        <w:rPr>
          <w:rFonts w:asciiTheme="minorHAnsi" w:eastAsiaTheme="minorEastAsia" w:hAnsiTheme="minorHAnsi" w:cstheme="minorHAnsi"/>
          <w:szCs w:val="22"/>
          <w:lang w:eastAsia="ko-KR"/>
        </w:rPr>
        <w:t>SC22-2026-</w:t>
      </w:r>
      <w:r w:rsidRPr="00B845AF">
        <w:rPr>
          <w:rFonts w:asciiTheme="minorHAnsi" w:hAnsiTheme="minorHAnsi" w:cstheme="minorHAnsi"/>
          <w:szCs w:val="22"/>
        </w:rPr>
        <w:t xml:space="preserve">SA-WP01. The proposed budget for continuing Project 123 included two components: 1) Core Software Development over three years (~$1,030,000 USD); and 2) external tagging analysis with the Technical University of Denmark (DTU) ($220,000) over two years, concurrent with the core development. Project 123 would ultimately aim to provide successor software for MFCL, which has catered for WCPFC tuna stock assessments with spatial structure and the incorporation of tagging data for many years. MFCL would continue </w:t>
      </w:r>
      <w:proofErr w:type="gramStart"/>
      <w:r w:rsidRPr="00B845AF">
        <w:rPr>
          <w:rFonts w:asciiTheme="minorHAnsi" w:hAnsiTheme="minorHAnsi" w:cstheme="minorHAnsi"/>
          <w:szCs w:val="22"/>
        </w:rPr>
        <w:t>be</w:t>
      </w:r>
      <w:proofErr w:type="gramEnd"/>
      <w:r w:rsidRPr="00B845AF">
        <w:rPr>
          <w:rFonts w:asciiTheme="minorHAnsi" w:hAnsiTheme="minorHAnsi" w:cstheme="minorHAnsi"/>
          <w:szCs w:val="22"/>
        </w:rPr>
        <w:t xml:space="preserve"> used </w:t>
      </w:r>
      <w:proofErr w:type="gramStart"/>
      <w:r w:rsidRPr="00B845AF">
        <w:rPr>
          <w:rFonts w:asciiTheme="minorHAnsi" w:hAnsiTheme="minorHAnsi" w:cstheme="minorHAnsi"/>
          <w:szCs w:val="22"/>
        </w:rPr>
        <w:t>in the near future</w:t>
      </w:r>
      <w:proofErr w:type="gramEnd"/>
      <w:r w:rsidRPr="00B845AF">
        <w:rPr>
          <w:rFonts w:asciiTheme="minorHAnsi" w:hAnsiTheme="minorHAnsi" w:cstheme="minorHAnsi"/>
          <w:szCs w:val="22"/>
        </w:rPr>
        <w:t xml:space="preserve"> and through the transition phase to any </w:t>
      </w:r>
      <w:proofErr w:type="gramStart"/>
      <w:r w:rsidRPr="00B845AF">
        <w:rPr>
          <w:rFonts w:asciiTheme="minorHAnsi" w:hAnsiTheme="minorHAnsi" w:cstheme="minorHAnsi"/>
          <w:szCs w:val="22"/>
        </w:rPr>
        <w:t>new</w:t>
      </w:r>
      <w:proofErr w:type="gramEnd"/>
      <w:r w:rsidRPr="00B845AF">
        <w:rPr>
          <w:rFonts w:asciiTheme="minorHAnsi" w:hAnsiTheme="minorHAnsi" w:cstheme="minorHAnsi"/>
          <w:szCs w:val="22"/>
        </w:rPr>
        <w:t xml:space="preserve"> developed software. </w:t>
      </w:r>
      <w:proofErr w:type="gramStart"/>
      <w:r w:rsidRPr="00B845AF">
        <w:rPr>
          <w:rFonts w:asciiTheme="minorHAnsi" w:hAnsiTheme="minorHAnsi" w:cstheme="minorHAnsi"/>
          <w:szCs w:val="22"/>
        </w:rPr>
        <w:t>Similar to</w:t>
      </w:r>
      <w:proofErr w:type="gramEnd"/>
      <w:r w:rsidRPr="00B845AF">
        <w:rPr>
          <w:rFonts w:asciiTheme="minorHAnsi" w:hAnsiTheme="minorHAnsi" w:cstheme="minorHAnsi"/>
          <w:szCs w:val="22"/>
        </w:rPr>
        <w:t xml:space="preserve"> the development of MFCL, the advantages of a Pacific led, tuna focused development were noted. The IATTC supported SPC to develop the project through discussion and co-organizing expert technical workshop on the next generation tuna stock assessment models. SPC noted the value of a software development phase being a collaboration between WCPFC (SPC, CCMs, suitable consultants) and IATTC and to pool resources to potentially reduce/share costs. A development and user community is an important outcome for any new software development project. The Pacific wide collaboration is also important for demonstrating the Pacific wide impact of this development, which will assist in attracting suitable funding.</w:t>
      </w:r>
    </w:p>
    <w:p w14:paraId="255AC45C" w14:textId="77777777" w:rsidR="005C7C77" w:rsidRPr="00B845AF" w:rsidRDefault="005C7C77" w:rsidP="005C7C77">
      <w:pPr>
        <w:jc w:val="both"/>
        <w:rPr>
          <w:rFonts w:asciiTheme="minorHAnsi" w:hAnsiTheme="minorHAnsi" w:cstheme="minorHAnsi"/>
          <w:szCs w:val="22"/>
        </w:rPr>
      </w:pPr>
    </w:p>
    <w:p w14:paraId="262BCB20"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ISG03 noted that Project 123 addresses technical issues specific to tuna (and tuna-like) stock assessments, common across tuna RFMOs. The development of a next generation tuna assessment software will attract interest and potential investment and collaboration opportunities with other tuna RFMOs.</w:t>
      </w:r>
    </w:p>
    <w:p w14:paraId="791C4BF6" w14:textId="77777777" w:rsidR="005C7C77" w:rsidRPr="00B845AF" w:rsidRDefault="005C7C77" w:rsidP="005C7C77">
      <w:pPr>
        <w:jc w:val="both"/>
        <w:rPr>
          <w:rFonts w:asciiTheme="minorHAnsi" w:hAnsiTheme="minorHAnsi" w:cstheme="minorHAnsi"/>
          <w:szCs w:val="22"/>
        </w:rPr>
      </w:pPr>
    </w:p>
    <w:p w14:paraId="4D9B0531"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Several CCMs expressed concern over the requested level of funding, noting a lack of a dedicated budget for Project 123.</w:t>
      </w:r>
    </w:p>
    <w:p w14:paraId="4F230723" w14:textId="77777777" w:rsidR="005C7C77" w:rsidRPr="00B845AF" w:rsidRDefault="005C7C77" w:rsidP="005C7C77">
      <w:pPr>
        <w:jc w:val="both"/>
        <w:rPr>
          <w:rFonts w:asciiTheme="minorHAnsi" w:hAnsiTheme="minorHAnsi" w:cstheme="minorHAnsi"/>
          <w:szCs w:val="22"/>
        </w:rPr>
      </w:pPr>
    </w:p>
    <w:p w14:paraId="0DD5977E"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Secretariat staff noted the WCPFC science budget is approximately $2.5 million USD annually. It was noted that the budget presented on Project 123 would subsume a significant portion of that science budget.</w:t>
      </w:r>
    </w:p>
    <w:p w14:paraId="56218514" w14:textId="77777777" w:rsidR="005C7C77" w:rsidRPr="00B845AF" w:rsidRDefault="005C7C77" w:rsidP="005C7C77">
      <w:pPr>
        <w:jc w:val="both"/>
        <w:rPr>
          <w:rFonts w:asciiTheme="minorHAnsi" w:hAnsiTheme="minorHAnsi" w:cstheme="minorHAnsi"/>
          <w:szCs w:val="22"/>
        </w:rPr>
      </w:pPr>
    </w:p>
    <w:p w14:paraId="5EFB34F8"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For comparison to the financial ask of Project 123, a CCM noted that the development of FIMS in the U.S. included the cost of 4 FTEs over a longer timeframe, plus time dedicated from a dozen scientists, totaling well over $2.5 million USD.</w:t>
      </w:r>
    </w:p>
    <w:p w14:paraId="662BECBA" w14:textId="77777777" w:rsidR="005C7C77" w:rsidRPr="00B845AF" w:rsidRDefault="005C7C77" w:rsidP="005C7C77">
      <w:pPr>
        <w:jc w:val="both"/>
        <w:rPr>
          <w:rFonts w:asciiTheme="minorHAnsi" w:hAnsiTheme="minorHAnsi" w:cstheme="minorHAnsi"/>
          <w:szCs w:val="22"/>
        </w:rPr>
      </w:pPr>
    </w:p>
    <w:p w14:paraId="3E258538"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One CCM expressed the need for SC22 to separate the scientific decision from financial </w:t>
      </w:r>
      <w:proofErr w:type="gramStart"/>
      <w:r w:rsidRPr="00B845AF">
        <w:rPr>
          <w:rFonts w:asciiTheme="minorHAnsi" w:hAnsiTheme="minorHAnsi" w:cstheme="minorHAnsi"/>
          <w:szCs w:val="22"/>
        </w:rPr>
        <w:t>decisions, but</w:t>
      </w:r>
      <w:proofErr w:type="gramEnd"/>
      <w:r w:rsidRPr="00B845AF">
        <w:rPr>
          <w:rFonts w:asciiTheme="minorHAnsi" w:hAnsiTheme="minorHAnsi" w:cstheme="minorHAnsi"/>
          <w:szCs w:val="22"/>
        </w:rPr>
        <w:t xml:space="preserve"> noted the need for a full commitment to Project 123 by next year. This CCM expressed that while the cost is high, the benefits are clear given technical issues discussed at SC22. </w:t>
      </w:r>
    </w:p>
    <w:p w14:paraId="40749387" w14:textId="77777777" w:rsidR="005C7C77" w:rsidRPr="00B845AF" w:rsidRDefault="005C7C77" w:rsidP="005C7C77">
      <w:pPr>
        <w:jc w:val="both"/>
        <w:rPr>
          <w:rFonts w:asciiTheme="minorHAnsi" w:hAnsiTheme="minorHAnsi" w:cstheme="minorHAnsi"/>
          <w:szCs w:val="22"/>
        </w:rPr>
      </w:pPr>
    </w:p>
    <w:p w14:paraId="534C883F"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SPC noted that Project 123 cannot rely on ad hoc resources and suggested that some portion of the proposed budget be endorsed to continue the project for year 1.</w:t>
      </w:r>
    </w:p>
    <w:p w14:paraId="3A13A96F" w14:textId="77777777" w:rsidR="005C7C77" w:rsidRPr="00B845AF" w:rsidRDefault="005C7C77" w:rsidP="005C7C77">
      <w:pPr>
        <w:jc w:val="both"/>
        <w:rPr>
          <w:rFonts w:asciiTheme="minorHAnsi" w:hAnsiTheme="minorHAnsi" w:cstheme="minorHAnsi"/>
          <w:szCs w:val="22"/>
        </w:rPr>
      </w:pPr>
    </w:p>
    <w:p w14:paraId="1F57EB48"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Several CCMs did not favor endorsing a budget or partial funding of Project 123 until sources of funding </w:t>
      </w:r>
      <w:proofErr w:type="gramStart"/>
      <w:r w:rsidRPr="00B845AF">
        <w:rPr>
          <w:rFonts w:asciiTheme="minorHAnsi" w:hAnsiTheme="minorHAnsi" w:cstheme="minorHAnsi"/>
          <w:szCs w:val="22"/>
        </w:rPr>
        <w:t>has been</w:t>
      </w:r>
      <w:proofErr w:type="gramEnd"/>
      <w:r w:rsidRPr="00B845AF">
        <w:rPr>
          <w:rFonts w:asciiTheme="minorHAnsi" w:hAnsiTheme="minorHAnsi" w:cstheme="minorHAnsi"/>
          <w:szCs w:val="22"/>
        </w:rPr>
        <w:t xml:space="preserve"> solidified for its entirety.</w:t>
      </w:r>
    </w:p>
    <w:p w14:paraId="0AE9E879" w14:textId="77777777" w:rsidR="005C7C77" w:rsidRPr="00B845AF" w:rsidRDefault="005C7C77" w:rsidP="005C7C77">
      <w:pPr>
        <w:jc w:val="both"/>
        <w:rPr>
          <w:rFonts w:asciiTheme="minorHAnsi" w:hAnsiTheme="minorHAnsi" w:cstheme="minorHAnsi"/>
          <w:szCs w:val="22"/>
        </w:rPr>
      </w:pPr>
    </w:p>
    <w:p w14:paraId="4A883017"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Some CCMs noted the need for dedicated resources and staff to complete the project from the current phase and suggested that SC22 at a minimum </w:t>
      </w:r>
      <w:proofErr w:type="gramStart"/>
      <w:r w:rsidRPr="00B845AF">
        <w:rPr>
          <w:rFonts w:asciiTheme="minorHAnsi" w:hAnsiTheme="minorHAnsi" w:cstheme="minorHAnsi"/>
          <w:szCs w:val="22"/>
        </w:rPr>
        <w:t>endorse</w:t>
      </w:r>
      <w:proofErr w:type="gramEnd"/>
      <w:r w:rsidRPr="00B845AF">
        <w:rPr>
          <w:rFonts w:asciiTheme="minorHAnsi" w:hAnsiTheme="minorHAnsi" w:cstheme="minorHAnsi"/>
          <w:szCs w:val="22"/>
        </w:rPr>
        <w:t xml:space="preserve"> the need for Project 123.</w:t>
      </w:r>
    </w:p>
    <w:p w14:paraId="65A9BCCB" w14:textId="77777777" w:rsidR="005C7C77" w:rsidRPr="00B845AF" w:rsidRDefault="005C7C77" w:rsidP="005C7C77">
      <w:pPr>
        <w:jc w:val="both"/>
        <w:rPr>
          <w:rFonts w:asciiTheme="minorHAnsi" w:hAnsiTheme="minorHAnsi" w:cstheme="minorHAnsi"/>
          <w:szCs w:val="22"/>
        </w:rPr>
      </w:pPr>
    </w:p>
    <w:p w14:paraId="3BBC9ACD"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ISG03 </w:t>
      </w:r>
      <w:r w:rsidRPr="00B845AF">
        <w:rPr>
          <w:rFonts w:asciiTheme="minorHAnsi" w:hAnsiTheme="minorHAnsi" w:cstheme="minorHAnsi"/>
          <w:b/>
          <w:bCs/>
          <w:szCs w:val="22"/>
        </w:rPr>
        <w:t>recommended</w:t>
      </w:r>
      <w:r w:rsidRPr="00B845AF">
        <w:rPr>
          <w:rFonts w:asciiTheme="minorHAnsi" w:hAnsiTheme="minorHAnsi" w:cstheme="minorHAnsi"/>
          <w:szCs w:val="22"/>
        </w:rPr>
        <w:t xml:space="preserve"> members to work cooperatively (and intersessionally) to identify external sources of funding for Project 123 to meet budget needs.</w:t>
      </w:r>
    </w:p>
    <w:p w14:paraId="4D8B8942" w14:textId="77777777" w:rsidR="005C7C77" w:rsidRPr="00B845AF" w:rsidRDefault="005C7C77" w:rsidP="005C7C77">
      <w:pPr>
        <w:jc w:val="both"/>
        <w:rPr>
          <w:rFonts w:asciiTheme="minorHAnsi" w:hAnsiTheme="minorHAnsi" w:cstheme="minorHAnsi"/>
          <w:szCs w:val="22"/>
        </w:rPr>
      </w:pPr>
    </w:p>
    <w:p w14:paraId="7D1D7A32"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ISG03 </w:t>
      </w:r>
      <w:r w:rsidRPr="00B845AF">
        <w:rPr>
          <w:rFonts w:asciiTheme="minorHAnsi" w:hAnsiTheme="minorHAnsi" w:cstheme="minorHAnsi"/>
          <w:b/>
          <w:bCs/>
          <w:szCs w:val="22"/>
        </w:rPr>
        <w:t>recommended</w:t>
      </w:r>
      <w:r w:rsidRPr="00B845AF">
        <w:rPr>
          <w:rFonts w:asciiTheme="minorHAnsi" w:hAnsiTheme="minorHAnsi" w:cstheme="minorHAnsi"/>
          <w:szCs w:val="22"/>
        </w:rPr>
        <w:t xml:space="preserve"> that the terms of reference and workplan for Project 123 be submitted to WCPFC23 for consideration and endorsement of Project 123. The project may be viewed as an essential strategic research project, with the first component of Project 123 (core software development) to be funded outside the standard SC science budget.</w:t>
      </w:r>
    </w:p>
    <w:p w14:paraId="6EE5CC78" w14:textId="77777777" w:rsidR="005C7C77" w:rsidRPr="00B845AF" w:rsidRDefault="005C7C77" w:rsidP="005C7C77">
      <w:pPr>
        <w:jc w:val="both"/>
        <w:rPr>
          <w:rFonts w:asciiTheme="minorHAnsi" w:hAnsiTheme="minorHAnsi" w:cstheme="minorHAnsi"/>
          <w:szCs w:val="22"/>
        </w:rPr>
      </w:pPr>
    </w:p>
    <w:p w14:paraId="00E1FEA0" w14:textId="77777777"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The SPC noted there is potential for joint DTU/SPC/IATTC collaboration and cost sharing on the proposed project for the continuation of the external skipjack tagging analysis. IATTC is working DTU on similar work. Those discussions have not progressed formally, but there is interest. </w:t>
      </w:r>
    </w:p>
    <w:p w14:paraId="78F1EA4E" w14:textId="6C99D27A" w:rsidR="005C7C77" w:rsidRPr="00B845AF" w:rsidRDefault="005C7C77" w:rsidP="005C7C77">
      <w:pPr>
        <w:jc w:val="both"/>
        <w:rPr>
          <w:rFonts w:asciiTheme="minorHAnsi" w:hAnsiTheme="minorHAnsi" w:cstheme="minorHAnsi"/>
          <w:szCs w:val="22"/>
        </w:rPr>
      </w:pPr>
      <w:r w:rsidRPr="00B845AF">
        <w:rPr>
          <w:rFonts w:asciiTheme="minorHAnsi" w:hAnsiTheme="minorHAnsi" w:cstheme="minorHAnsi"/>
          <w:szCs w:val="22"/>
        </w:rPr>
        <w:t xml:space="preserve">ISG03 </w:t>
      </w:r>
      <w:r w:rsidRPr="00B845AF">
        <w:rPr>
          <w:rFonts w:asciiTheme="minorHAnsi" w:hAnsiTheme="minorHAnsi" w:cstheme="minorHAnsi"/>
          <w:b/>
          <w:szCs w:val="22"/>
        </w:rPr>
        <w:t>recommended</w:t>
      </w:r>
      <w:r w:rsidRPr="00B845AF">
        <w:rPr>
          <w:rFonts w:asciiTheme="minorHAnsi" w:hAnsiTheme="minorHAnsi" w:cstheme="minorHAnsi"/>
          <w:szCs w:val="22"/>
        </w:rPr>
        <w:t xml:space="preserve"> the second component of Project 123 (external tagging analysis with the DTU) </w:t>
      </w:r>
      <w:proofErr w:type="gramStart"/>
      <w:r w:rsidRPr="00B845AF">
        <w:rPr>
          <w:rFonts w:asciiTheme="minorHAnsi" w:hAnsiTheme="minorHAnsi" w:cstheme="minorHAnsi"/>
          <w:szCs w:val="22"/>
        </w:rPr>
        <w:t>be</w:t>
      </w:r>
      <w:proofErr w:type="gramEnd"/>
      <w:r w:rsidRPr="00B845AF">
        <w:rPr>
          <w:rFonts w:asciiTheme="minorHAnsi" w:hAnsiTheme="minorHAnsi" w:cstheme="minorHAnsi"/>
          <w:szCs w:val="22"/>
        </w:rPr>
        <w:t xml:space="preserve"> submitted for priority ranking at SC22.</w:t>
      </w:r>
    </w:p>
    <w:p w14:paraId="23325D5A" w14:textId="58FDEEBF" w:rsidR="004A2594" w:rsidRPr="00B845AF" w:rsidRDefault="005C7C77" w:rsidP="00CB14B4">
      <w:pPr>
        <w:rPr>
          <w:rFonts w:asciiTheme="minorHAnsi" w:eastAsia="MS Mincho" w:hAnsiTheme="minorHAnsi" w:cstheme="minorHAnsi"/>
          <w:szCs w:val="22"/>
          <w:lang w:eastAsia="ja-JP"/>
        </w:rPr>
      </w:pPr>
      <w:r w:rsidRPr="00B845AF">
        <w:rPr>
          <w:rFonts w:asciiTheme="minorHAnsi" w:hAnsiTheme="minorHAnsi" w:cstheme="minorHAnsi"/>
          <w:szCs w:val="22"/>
        </w:rPr>
        <w:br w:type="page"/>
      </w:r>
      <w:bookmarkEnd w:id="96"/>
    </w:p>
    <w:p w14:paraId="2C8F33C6" w14:textId="77777777" w:rsidR="004A2594" w:rsidRPr="00B845AF" w:rsidRDefault="004A2594" w:rsidP="004A2594">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I</w:t>
      </w:r>
    </w:p>
    <w:p w14:paraId="0CC20A39" w14:textId="77777777" w:rsidR="004A2594" w:rsidRPr="00B845AF" w:rsidRDefault="004A2594" w:rsidP="004A2594">
      <w:pPr>
        <w:adjustRightInd w:val="0"/>
        <w:snapToGrid w:val="0"/>
        <w:jc w:val="center"/>
        <w:rPr>
          <w:rFonts w:asciiTheme="minorHAnsi" w:hAnsiTheme="minorHAnsi" w:cstheme="minorHAnsi"/>
          <w:b/>
          <w:bCs/>
          <w:szCs w:val="22"/>
          <w:lang w:eastAsia="en-NZ"/>
        </w:rPr>
      </w:pPr>
    </w:p>
    <w:p w14:paraId="27FC52B5" w14:textId="77777777" w:rsidR="00674822" w:rsidRPr="00B845AF" w:rsidRDefault="00674822" w:rsidP="00674822">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15FDB3B6" w14:textId="77777777" w:rsidR="00674822" w:rsidRPr="00B845AF" w:rsidRDefault="00674822" w:rsidP="00674822">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40E40B4F" w14:textId="77777777" w:rsidR="00674822" w:rsidRPr="00B845AF" w:rsidRDefault="00674822" w:rsidP="00674822">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0792A667" w14:textId="77777777" w:rsidR="00674822" w:rsidRPr="00B845AF" w:rsidRDefault="00674822" w:rsidP="00674822">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20066296" w14:textId="77777777" w:rsidR="00674822" w:rsidRPr="00B845AF" w:rsidRDefault="00674822" w:rsidP="00674822">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674822" w:rsidRPr="00B845AF" w14:paraId="298E408F" w14:textId="77777777" w:rsidTr="00835632">
        <w:tc>
          <w:tcPr>
            <w:tcW w:w="9576" w:type="dxa"/>
            <w:hideMark/>
          </w:tcPr>
          <w:p w14:paraId="3000CB91" w14:textId="77777777" w:rsidR="00674822" w:rsidRPr="00B845AF" w:rsidRDefault="00674822"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Theme="minorEastAsia" w:hAnsiTheme="minorHAnsi" w:cstheme="minorHAnsi"/>
                <w:b/>
                <w:bCs/>
                <w:sz w:val="24"/>
                <w:szCs w:val="28"/>
                <w:lang w:eastAsia="ko-KR"/>
              </w:rPr>
              <w:t>Report from ISG05</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97" w:name="_Toc239261445"/>
            <w:r w:rsidRPr="00B845AF">
              <w:rPr>
                <w:rFonts w:asciiTheme="minorHAnsi" w:eastAsiaTheme="minorEastAsia" w:hAnsiTheme="minorHAnsi" w:cstheme="minorHAnsi"/>
                <w:b/>
                <w:bCs/>
                <w:sz w:val="28"/>
                <w:szCs w:val="28"/>
                <w:lang w:eastAsia="ko-KR"/>
              </w:rPr>
              <w:instrText>SUMMARY REPORT</w:instrText>
            </w:r>
            <w:bookmarkEnd w:id="97"/>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4EFD8EF4" w14:textId="77777777" w:rsidR="004A2594" w:rsidRPr="00B845AF" w:rsidRDefault="004A2594" w:rsidP="004A2594">
      <w:pPr>
        <w:adjustRightInd w:val="0"/>
        <w:snapToGrid w:val="0"/>
        <w:jc w:val="center"/>
        <w:rPr>
          <w:rFonts w:asciiTheme="minorHAnsi" w:hAnsiTheme="minorHAnsi" w:cstheme="minorHAnsi"/>
          <w:bCs/>
          <w:szCs w:val="22"/>
        </w:rPr>
      </w:pPr>
    </w:p>
    <w:p w14:paraId="7061FAC8" w14:textId="77777777" w:rsidR="004A2594" w:rsidRPr="00B845AF" w:rsidRDefault="004A2594" w:rsidP="004A2594">
      <w:pPr>
        <w:adjustRightInd w:val="0"/>
        <w:snapToGrid w:val="0"/>
        <w:jc w:val="center"/>
        <w:rPr>
          <w:rFonts w:asciiTheme="minorHAnsi" w:hAnsiTheme="minorHAnsi" w:cstheme="minorHAnsi"/>
          <w:bCs/>
          <w:szCs w:val="22"/>
        </w:rPr>
      </w:pPr>
    </w:p>
    <w:p w14:paraId="5E1E3172" w14:textId="24278B61" w:rsidR="000F3B26" w:rsidRPr="00B845AF" w:rsidRDefault="000F3B26" w:rsidP="000F3B26">
      <w:pPr>
        <w:jc w:val="both"/>
        <w:rPr>
          <w:rFonts w:asciiTheme="minorHAnsi" w:hAnsiTheme="minorHAnsi" w:cstheme="minorHAnsi"/>
          <w:b/>
          <w:bCs/>
          <w:szCs w:val="22"/>
        </w:rPr>
      </w:pPr>
      <w:r w:rsidRPr="00B845AF">
        <w:rPr>
          <w:rFonts w:asciiTheme="minorHAnsi" w:hAnsiTheme="minorHAnsi" w:cstheme="minorHAnsi"/>
          <w:b/>
          <w:bCs/>
          <w:szCs w:val="22"/>
        </w:rPr>
        <w:t>ISG05-Billfish Summary Report</w:t>
      </w:r>
    </w:p>
    <w:p w14:paraId="475BC1B9" w14:textId="77777777" w:rsidR="000F3B26" w:rsidRPr="00B845AF" w:rsidRDefault="000F3B26" w:rsidP="000F3B26">
      <w:pPr>
        <w:jc w:val="both"/>
        <w:rPr>
          <w:rFonts w:asciiTheme="minorHAnsi" w:hAnsiTheme="minorHAnsi" w:cstheme="minorHAnsi"/>
          <w:szCs w:val="22"/>
        </w:rPr>
      </w:pPr>
    </w:p>
    <w:p w14:paraId="2623B1D9" w14:textId="77777777" w:rsidR="000F3B26" w:rsidRPr="00B845AF" w:rsidRDefault="000F3B26" w:rsidP="000F3B26">
      <w:pPr>
        <w:jc w:val="both"/>
        <w:rPr>
          <w:rFonts w:asciiTheme="minorHAnsi" w:hAnsiTheme="minorHAnsi" w:cstheme="minorHAnsi"/>
          <w:szCs w:val="22"/>
        </w:rPr>
      </w:pPr>
      <w:r w:rsidRPr="00B845AF">
        <w:rPr>
          <w:rFonts w:asciiTheme="minorHAnsi" w:hAnsiTheme="minorHAnsi" w:cstheme="minorHAnsi"/>
          <w:szCs w:val="22"/>
        </w:rPr>
        <w:t>The ISG</w:t>
      </w:r>
      <w:r w:rsidRPr="00B845AF">
        <w:rPr>
          <w:rFonts w:asciiTheme="minorHAnsi" w:eastAsiaTheme="minorEastAsia" w:hAnsiTheme="minorHAnsi" w:cstheme="minorHAnsi"/>
          <w:szCs w:val="22"/>
          <w:lang w:eastAsia="ko-KR"/>
        </w:rPr>
        <w:t>05 (</w:t>
      </w:r>
      <w:r w:rsidRPr="00B845AF">
        <w:rPr>
          <w:rFonts w:asciiTheme="minorHAnsi" w:hAnsiTheme="minorHAnsi" w:cstheme="minorHAnsi"/>
          <w:szCs w:val="22"/>
        </w:rPr>
        <w:t>Billfish</w:t>
      </w:r>
      <w:r w:rsidRPr="00B845AF">
        <w:rPr>
          <w:rFonts w:asciiTheme="minorHAnsi" w:eastAsiaTheme="minorEastAsia" w:hAnsiTheme="minorHAnsi" w:cstheme="minorHAnsi"/>
          <w:szCs w:val="22"/>
          <w:lang w:eastAsia="ko-KR"/>
        </w:rPr>
        <w:t xml:space="preserve"> Research Plan)</w:t>
      </w:r>
      <w:r w:rsidRPr="00B845AF">
        <w:rPr>
          <w:rFonts w:asciiTheme="minorHAnsi" w:hAnsiTheme="minorHAnsi" w:cstheme="minorHAnsi"/>
          <w:szCs w:val="22"/>
        </w:rPr>
        <w:t xml:space="preserve"> met</w:t>
      </w:r>
      <w:r w:rsidRPr="00B845AF">
        <w:rPr>
          <w:rFonts w:asciiTheme="minorHAnsi" w:eastAsiaTheme="minorEastAsia" w:hAnsiTheme="minorHAnsi" w:cstheme="minorHAnsi"/>
          <w:szCs w:val="22"/>
          <w:lang w:eastAsia="ko-KR"/>
        </w:rPr>
        <w:t xml:space="preserve"> on</w:t>
      </w:r>
      <w:r w:rsidRPr="00B845AF">
        <w:rPr>
          <w:rFonts w:asciiTheme="minorHAnsi" w:hAnsiTheme="minorHAnsi" w:cstheme="minorHAnsi"/>
          <w:szCs w:val="22"/>
        </w:rPr>
        <w:t xml:space="preserve"> Friday 14</w:t>
      </w:r>
      <w:r w:rsidRPr="00B845AF">
        <w:rPr>
          <w:rFonts w:asciiTheme="minorHAnsi" w:hAnsiTheme="minorHAnsi" w:cstheme="minorHAnsi"/>
          <w:szCs w:val="22"/>
          <w:vertAlign w:val="superscript"/>
        </w:rPr>
        <w:t>th</w:t>
      </w:r>
      <w:r w:rsidRPr="00B845AF">
        <w:rPr>
          <w:rFonts w:asciiTheme="minorHAnsi" w:hAnsiTheme="minorHAnsi" w:cstheme="minorHAnsi"/>
          <w:szCs w:val="22"/>
        </w:rPr>
        <w:t xml:space="preserve"> August. The group discussed the BRP noting that some updates were required. </w:t>
      </w:r>
    </w:p>
    <w:p w14:paraId="426A8AED" w14:textId="77777777" w:rsidR="000F3B26" w:rsidRPr="00B845AF" w:rsidRDefault="000F3B26" w:rsidP="000F3B26">
      <w:pPr>
        <w:jc w:val="both"/>
        <w:rPr>
          <w:rFonts w:asciiTheme="minorHAnsi" w:hAnsiTheme="minorHAnsi" w:cstheme="minorHAnsi"/>
          <w:szCs w:val="22"/>
        </w:rPr>
      </w:pPr>
    </w:p>
    <w:p w14:paraId="0C608FAD" w14:textId="77777777" w:rsidR="000F3B26" w:rsidRPr="00B845AF" w:rsidRDefault="000F3B26" w:rsidP="000F3B26">
      <w:pPr>
        <w:jc w:val="both"/>
        <w:rPr>
          <w:rFonts w:asciiTheme="minorHAnsi" w:hAnsiTheme="minorHAnsi" w:cstheme="minorHAnsi"/>
          <w:szCs w:val="22"/>
        </w:rPr>
      </w:pPr>
      <w:r w:rsidRPr="00B845AF">
        <w:rPr>
          <w:rFonts w:asciiTheme="minorHAnsi" w:hAnsiTheme="minorHAnsi" w:cstheme="minorHAnsi"/>
          <w:szCs w:val="22"/>
        </w:rPr>
        <w:t xml:space="preserve">FFA Members request </w:t>
      </w:r>
      <w:proofErr w:type="gramStart"/>
      <w:r w:rsidRPr="00B845AF">
        <w:rPr>
          <w:rFonts w:asciiTheme="minorHAnsi" w:hAnsiTheme="minorHAnsi" w:cstheme="minorHAnsi"/>
          <w:szCs w:val="22"/>
        </w:rPr>
        <w:t>a confirmation</w:t>
      </w:r>
      <w:proofErr w:type="gramEnd"/>
      <w:r w:rsidRPr="00B845AF">
        <w:rPr>
          <w:rFonts w:asciiTheme="minorHAnsi" w:hAnsiTheme="minorHAnsi" w:cstheme="minorHAnsi"/>
          <w:szCs w:val="22"/>
        </w:rPr>
        <w:t xml:space="preserve"> of the date and location of the billfish and shark workshop, expected expert and CCM participation, the agenda and deliverables of the workshop. Phil Neubauer (Dragonfly Data Science) presented the project proposal for </w:t>
      </w:r>
      <w:r w:rsidRPr="00B845AF">
        <w:rPr>
          <w:rFonts w:asciiTheme="minorHAnsi" w:hAnsiTheme="minorHAnsi" w:cstheme="minorHAnsi"/>
          <w:i/>
          <w:iCs/>
          <w:szCs w:val="22"/>
        </w:rPr>
        <w:t>Project 130 - Joint bycatch assessment workshop for billfish and sharks</w:t>
      </w:r>
      <w:r w:rsidRPr="00B845AF">
        <w:rPr>
          <w:rFonts w:asciiTheme="minorHAnsi" w:hAnsiTheme="minorHAnsi" w:cstheme="minorHAnsi"/>
          <w:szCs w:val="22"/>
        </w:rPr>
        <w:t>. The workshop was proposed for early 2027 and it was noted that it could be hosted in Hawaii or in Noumea in association with the SPA-PAW. But it was also noted that there may be a conflict with ISC-BWG that will be finalising the NP striped marlin assessment.  The proposed agenda and workplan were endorsed by the ISG. CCMs were encouraged to engage with the project leads and workshop steering committee to help finalize workshop organization and logistics.</w:t>
      </w:r>
    </w:p>
    <w:p w14:paraId="6F7490B3" w14:textId="77777777" w:rsidR="000F3B26" w:rsidRPr="00B845AF" w:rsidRDefault="000F3B26" w:rsidP="000F3B26">
      <w:pPr>
        <w:jc w:val="both"/>
        <w:rPr>
          <w:rFonts w:asciiTheme="minorHAnsi" w:hAnsiTheme="minorHAnsi" w:cstheme="minorHAnsi"/>
          <w:szCs w:val="22"/>
        </w:rPr>
      </w:pPr>
    </w:p>
    <w:p w14:paraId="65E00D59" w14:textId="77777777" w:rsidR="000F3B26" w:rsidRPr="00B845AF" w:rsidRDefault="000F3B26" w:rsidP="000F3B26">
      <w:pPr>
        <w:jc w:val="both"/>
        <w:rPr>
          <w:rFonts w:asciiTheme="minorHAnsi" w:hAnsiTheme="minorHAnsi" w:cstheme="minorHAnsi"/>
          <w:szCs w:val="22"/>
        </w:rPr>
      </w:pPr>
      <w:proofErr w:type="gramStart"/>
      <w:r w:rsidRPr="00B845AF">
        <w:rPr>
          <w:rFonts w:asciiTheme="minorHAnsi" w:hAnsiTheme="minorHAnsi" w:cstheme="minorHAnsi"/>
          <w:szCs w:val="22"/>
        </w:rPr>
        <w:t>With regard to</w:t>
      </w:r>
      <w:proofErr w:type="gramEnd"/>
      <w:r w:rsidRPr="00B845AF">
        <w:rPr>
          <w:rFonts w:asciiTheme="minorHAnsi" w:hAnsiTheme="minorHAnsi" w:cstheme="minorHAnsi"/>
          <w:szCs w:val="22"/>
        </w:rPr>
        <w:t xml:space="preserve"> the proposed 2027 projects, one project was tabled. The question was raised about SPC capacity to undertake that work. SPC noted that they probably have capacity internally for this </w:t>
      </w:r>
      <w:proofErr w:type="gramStart"/>
      <w:r w:rsidRPr="00B845AF">
        <w:rPr>
          <w:rFonts w:asciiTheme="minorHAnsi" w:hAnsiTheme="minorHAnsi" w:cstheme="minorHAnsi"/>
          <w:szCs w:val="22"/>
        </w:rPr>
        <w:t>work, but</w:t>
      </w:r>
      <w:proofErr w:type="gramEnd"/>
      <w:r w:rsidRPr="00B845AF">
        <w:rPr>
          <w:rFonts w:asciiTheme="minorHAnsi" w:hAnsiTheme="minorHAnsi" w:cstheme="minorHAnsi"/>
          <w:szCs w:val="22"/>
        </w:rPr>
        <w:t xml:space="preserve"> failing that outsourcing it is also a possibility. The spatial extent of the work was queried. It was noted that the project would use data held by SPC and cover the WCPO only. Data from the EPO held by IATTC </w:t>
      </w:r>
      <w:proofErr w:type="gramStart"/>
      <w:r w:rsidRPr="00B845AF">
        <w:rPr>
          <w:rFonts w:asciiTheme="minorHAnsi" w:hAnsiTheme="minorHAnsi" w:cstheme="minorHAnsi"/>
          <w:szCs w:val="22"/>
        </w:rPr>
        <w:t>would</w:t>
      </w:r>
      <w:proofErr w:type="gramEnd"/>
      <w:r w:rsidRPr="00B845AF">
        <w:rPr>
          <w:rFonts w:asciiTheme="minorHAnsi" w:hAnsiTheme="minorHAnsi" w:cstheme="minorHAnsi"/>
          <w:szCs w:val="22"/>
        </w:rPr>
        <w:t xml:space="preserve"> not be considered at this time.  The FFA members expressed support for this work noting that the work should define the spatial, gear, flag and data-source coverage, assess data quality and representativeness, and provide proposals to address critical gaps. They also noted that unstandardised catch or catch-rate trends should not be used to infer abundance or stock status. It was again noted that clearly defining the spatial boundaries of data is very important relative to population/stock structure and migration patterns and this would need to be </w:t>
      </w:r>
      <w:proofErr w:type="gramStart"/>
      <w:r w:rsidRPr="00B845AF">
        <w:rPr>
          <w:rFonts w:asciiTheme="minorHAnsi" w:hAnsiTheme="minorHAnsi" w:cstheme="minorHAnsi"/>
          <w:szCs w:val="22"/>
        </w:rPr>
        <w:t>taken into account</w:t>
      </w:r>
      <w:proofErr w:type="gramEnd"/>
      <w:r w:rsidRPr="00B845AF">
        <w:rPr>
          <w:rFonts w:asciiTheme="minorHAnsi" w:hAnsiTheme="minorHAnsi" w:cstheme="minorHAnsi"/>
          <w:szCs w:val="22"/>
        </w:rPr>
        <w:t xml:space="preserve"> of this and all other work. </w:t>
      </w:r>
    </w:p>
    <w:p w14:paraId="5F6D05F1" w14:textId="77777777" w:rsidR="000F3B26" w:rsidRPr="00B845AF" w:rsidRDefault="000F3B26" w:rsidP="000F3B26">
      <w:pPr>
        <w:jc w:val="both"/>
        <w:rPr>
          <w:rFonts w:asciiTheme="minorHAnsi" w:hAnsiTheme="minorHAnsi" w:cstheme="minorHAnsi"/>
          <w:szCs w:val="22"/>
        </w:rPr>
      </w:pPr>
    </w:p>
    <w:p w14:paraId="0EB672F3" w14:textId="7489DCFE" w:rsidR="004A2594" w:rsidRPr="00B845AF" w:rsidRDefault="000F3B26" w:rsidP="000F3B26">
      <w:pPr>
        <w:rPr>
          <w:rFonts w:asciiTheme="minorHAnsi" w:hAnsiTheme="minorHAnsi" w:cstheme="minorHAnsi"/>
          <w:bCs/>
          <w:szCs w:val="22"/>
        </w:rPr>
      </w:pPr>
      <w:proofErr w:type="gramStart"/>
      <w:r w:rsidRPr="00B845AF">
        <w:rPr>
          <w:rFonts w:asciiTheme="minorHAnsi" w:hAnsiTheme="minorHAnsi" w:cstheme="minorHAnsi"/>
          <w:szCs w:val="22"/>
        </w:rPr>
        <w:t>A number of</w:t>
      </w:r>
      <w:proofErr w:type="gramEnd"/>
      <w:r w:rsidRPr="00B845AF">
        <w:rPr>
          <w:rFonts w:asciiTheme="minorHAnsi" w:hAnsiTheme="minorHAnsi" w:cstheme="minorHAnsi"/>
          <w:szCs w:val="22"/>
        </w:rPr>
        <w:t xml:space="preserve"> amendments were suggested to the tables of work including shifting the NPO SWO assessment from 2028 to </w:t>
      </w:r>
      <w:proofErr w:type="gramStart"/>
      <w:r w:rsidRPr="00B845AF">
        <w:rPr>
          <w:rFonts w:asciiTheme="minorHAnsi" w:hAnsiTheme="minorHAnsi" w:cstheme="minorHAnsi"/>
          <w:szCs w:val="22"/>
        </w:rPr>
        <w:t>2029, and</w:t>
      </w:r>
      <w:proofErr w:type="gramEnd"/>
      <w:r w:rsidRPr="00B845AF">
        <w:rPr>
          <w:rFonts w:asciiTheme="minorHAnsi" w:hAnsiTheme="minorHAnsi" w:cstheme="minorHAnsi"/>
          <w:szCs w:val="22"/>
        </w:rPr>
        <w:t xml:space="preserve"> noting the development of MSEs for both NPO SWO and SWPO SWO. The authors of </w:t>
      </w:r>
      <w:r w:rsidRPr="00B845AF">
        <w:rPr>
          <w:rFonts w:asciiTheme="minorHAnsi" w:eastAsiaTheme="minorEastAsia" w:hAnsiTheme="minorHAnsi" w:cstheme="minorHAnsi"/>
          <w:szCs w:val="22"/>
          <w:lang w:eastAsia="ko-KR"/>
        </w:rPr>
        <w:t>SC22-</w:t>
      </w:r>
      <w:r w:rsidRPr="00B845AF">
        <w:rPr>
          <w:rFonts w:asciiTheme="minorHAnsi" w:hAnsiTheme="minorHAnsi" w:cstheme="minorHAnsi"/>
          <w:szCs w:val="22"/>
        </w:rPr>
        <w:t>SA-IP23 agreed to update the information paper and provide a revision of the paper.</w:t>
      </w:r>
      <w:r w:rsidR="004A2594" w:rsidRPr="00B845AF">
        <w:rPr>
          <w:rFonts w:asciiTheme="minorHAnsi" w:hAnsiTheme="minorHAnsi" w:cstheme="minorHAnsi"/>
          <w:bCs/>
          <w:szCs w:val="22"/>
        </w:rPr>
        <w:br w:type="page"/>
      </w:r>
    </w:p>
    <w:p w14:paraId="24E4B13E" w14:textId="77777777" w:rsidR="004A2594" w:rsidRPr="00B845AF" w:rsidRDefault="004A2594" w:rsidP="004A2594">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J</w:t>
      </w:r>
    </w:p>
    <w:p w14:paraId="74706E36" w14:textId="77777777" w:rsidR="004A2594" w:rsidRPr="00B845AF" w:rsidRDefault="004A2594" w:rsidP="004A2594">
      <w:pPr>
        <w:adjustRightInd w:val="0"/>
        <w:snapToGrid w:val="0"/>
        <w:jc w:val="center"/>
        <w:rPr>
          <w:rFonts w:asciiTheme="minorHAnsi" w:hAnsiTheme="minorHAnsi" w:cstheme="minorHAnsi"/>
          <w:b/>
          <w:bCs/>
          <w:szCs w:val="22"/>
          <w:lang w:eastAsia="en-NZ"/>
        </w:rPr>
      </w:pPr>
    </w:p>
    <w:p w14:paraId="1BABF9DE" w14:textId="77777777" w:rsidR="009A342C" w:rsidRPr="00B845AF" w:rsidRDefault="009A342C" w:rsidP="009A342C">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2F9D84F4" w14:textId="77777777" w:rsidR="009A342C" w:rsidRPr="00B845AF" w:rsidRDefault="009A342C" w:rsidP="009A342C">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49024D2C" w14:textId="77777777" w:rsidR="009A342C" w:rsidRPr="00B845AF" w:rsidRDefault="009A342C" w:rsidP="009A342C">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7857643A" w14:textId="77777777" w:rsidR="009A342C" w:rsidRPr="00B845AF" w:rsidRDefault="009A342C" w:rsidP="009A342C">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4BACFDB4" w14:textId="77777777" w:rsidR="009A342C" w:rsidRPr="00B845AF" w:rsidRDefault="009A342C" w:rsidP="009A342C">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9A342C" w:rsidRPr="00B845AF" w14:paraId="490A579E" w14:textId="77777777" w:rsidTr="00835632">
        <w:tc>
          <w:tcPr>
            <w:tcW w:w="9576" w:type="dxa"/>
            <w:hideMark/>
          </w:tcPr>
          <w:p w14:paraId="468DCD50" w14:textId="77777777" w:rsidR="009A342C" w:rsidRPr="00B845AF" w:rsidRDefault="009A342C"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Theme="minorEastAsia" w:hAnsiTheme="minorHAnsi" w:cstheme="minorHAnsi"/>
                <w:b/>
                <w:bCs/>
                <w:sz w:val="24"/>
                <w:szCs w:val="28"/>
                <w:lang w:eastAsia="ko-KR"/>
              </w:rPr>
              <w:t>Report from ISG06</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98" w:name="_Toc239261446"/>
            <w:r w:rsidRPr="00B845AF">
              <w:rPr>
                <w:rFonts w:asciiTheme="minorHAnsi" w:eastAsiaTheme="minorEastAsia" w:hAnsiTheme="minorHAnsi" w:cstheme="minorHAnsi"/>
                <w:b/>
                <w:bCs/>
                <w:sz w:val="28"/>
                <w:szCs w:val="28"/>
                <w:lang w:eastAsia="ko-KR"/>
              </w:rPr>
              <w:instrText>SUMMARY REPORT</w:instrText>
            </w:r>
            <w:bookmarkEnd w:id="98"/>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04045B1F" w14:textId="77777777" w:rsidR="004A2594" w:rsidRPr="00B845AF" w:rsidRDefault="004A2594" w:rsidP="004A2594">
      <w:pPr>
        <w:autoSpaceDE w:val="0"/>
        <w:autoSpaceDN w:val="0"/>
        <w:adjustRightInd w:val="0"/>
        <w:snapToGrid w:val="0"/>
        <w:jc w:val="both"/>
        <w:rPr>
          <w:rFonts w:asciiTheme="minorHAnsi" w:hAnsiTheme="minorHAnsi" w:cstheme="minorHAnsi"/>
          <w:szCs w:val="22"/>
        </w:rPr>
      </w:pPr>
    </w:p>
    <w:p w14:paraId="362876B9" w14:textId="77777777" w:rsidR="004A2594" w:rsidRPr="00B845AF" w:rsidRDefault="004A2594" w:rsidP="004A2594">
      <w:pPr>
        <w:autoSpaceDE w:val="0"/>
        <w:autoSpaceDN w:val="0"/>
        <w:adjustRightInd w:val="0"/>
        <w:snapToGrid w:val="0"/>
        <w:jc w:val="both"/>
        <w:rPr>
          <w:rFonts w:asciiTheme="minorHAnsi" w:hAnsiTheme="minorHAnsi" w:cstheme="minorHAnsi"/>
          <w:szCs w:val="22"/>
        </w:rPr>
      </w:pPr>
    </w:p>
    <w:p w14:paraId="2FDC1255" w14:textId="77777777" w:rsidR="00B93114" w:rsidRPr="00B845AF" w:rsidRDefault="00B93114" w:rsidP="00B93114">
      <w:pPr>
        <w:jc w:val="both"/>
        <w:rPr>
          <w:rFonts w:asciiTheme="minorHAnsi" w:hAnsiTheme="minorHAnsi" w:cstheme="minorHAnsi"/>
          <w:b/>
          <w:bCs/>
          <w:szCs w:val="22"/>
        </w:rPr>
      </w:pPr>
      <w:r w:rsidRPr="00B845AF">
        <w:rPr>
          <w:rFonts w:asciiTheme="minorHAnsi" w:hAnsiTheme="minorHAnsi" w:cstheme="minorHAnsi"/>
          <w:b/>
          <w:bCs/>
          <w:szCs w:val="22"/>
        </w:rPr>
        <w:t>ISG06-Sharks Research Plan Summary Report</w:t>
      </w:r>
    </w:p>
    <w:p w14:paraId="28B809A4" w14:textId="77777777" w:rsidR="00B93114" w:rsidRPr="00B845AF" w:rsidRDefault="00B93114" w:rsidP="00B93114">
      <w:pPr>
        <w:jc w:val="both"/>
        <w:rPr>
          <w:rFonts w:asciiTheme="minorHAnsi" w:hAnsiTheme="minorHAnsi" w:cstheme="minorHAnsi"/>
          <w:b/>
          <w:bCs/>
          <w:szCs w:val="22"/>
        </w:rPr>
      </w:pPr>
    </w:p>
    <w:p w14:paraId="3756AC59" w14:textId="77777777" w:rsidR="00B93114" w:rsidRPr="00B845AF" w:rsidRDefault="00B93114" w:rsidP="00B93114">
      <w:pPr>
        <w:jc w:val="both"/>
        <w:rPr>
          <w:rFonts w:asciiTheme="minorHAnsi" w:hAnsiTheme="minorHAnsi" w:cstheme="minorHAnsi"/>
          <w:b/>
          <w:bCs/>
          <w:szCs w:val="22"/>
        </w:rPr>
      </w:pPr>
      <w:r w:rsidRPr="00B845AF">
        <w:rPr>
          <w:rFonts w:asciiTheme="minorHAnsi" w:hAnsiTheme="minorHAnsi" w:cstheme="minorHAnsi"/>
          <w:b/>
          <w:bCs/>
          <w:szCs w:val="22"/>
        </w:rPr>
        <w:t>Convenor - Aoki Yoshinori</w:t>
      </w:r>
    </w:p>
    <w:p w14:paraId="131EAF05" w14:textId="77777777" w:rsidR="00B93114" w:rsidRPr="00B845AF" w:rsidRDefault="00B93114" w:rsidP="00B93114">
      <w:pPr>
        <w:jc w:val="both"/>
        <w:rPr>
          <w:rFonts w:asciiTheme="minorHAnsi" w:hAnsiTheme="minorHAnsi" w:cstheme="minorHAnsi"/>
          <w:b/>
          <w:bCs/>
          <w:szCs w:val="22"/>
        </w:rPr>
      </w:pPr>
    </w:p>
    <w:p w14:paraId="1B2D20BF"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The ISG</w:t>
      </w:r>
      <w:r w:rsidRPr="00B845AF">
        <w:rPr>
          <w:rFonts w:asciiTheme="minorHAnsi" w:eastAsiaTheme="minorEastAsia" w:hAnsiTheme="minorHAnsi" w:cstheme="minorHAnsi"/>
          <w:szCs w:val="22"/>
          <w:lang w:eastAsia="ko-KR"/>
        </w:rPr>
        <w:t>06 (</w:t>
      </w:r>
      <w:r w:rsidRPr="00B845AF">
        <w:rPr>
          <w:rFonts w:asciiTheme="minorHAnsi" w:hAnsiTheme="minorHAnsi" w:cstheme="minorHAnsi"/>
          <w:szCs w:val="22"/>
        </w:rPr>
        <w:t>Shark</w:t>
      </w:r>
      <w:r w:rsidRPr="00B845AF">
        <w:rPr>
          <w:rFonts w:asciiTheme="minorHAnsi" w:eastAsiaTheme="minorEastAsia" w:hAnsiTheme="minorHAnsi" w:cstheme="minorHAnsi"/>
          <w:szCs w:val="22"/>
          <w:lang w:eastAsia="ko-KR"/>
        </w:rPr>
        <w:t xml:space="preserve"> Research Plan)</w:t>
      </w:r>
      <w:r w:rsidRPr="00B845AF">
        <w:rPr>
          <w:rFonts w:asciiTheme="minorHAnsi" w:hAnsiTheme="minorHAnsi" w:cstheme="minorHAnsi"/>
          <w:szCs w:val="22"/>
        </w:rPr>
        <w:t xml:space="preserve"> met on Friday 14</w:t>
      </w:r>
      <w:r w:rsidRPr="00B845AF">
        <w:rPr>
          <w:rFonts w:asciiTheme="minorHAnsi" w:hAnsiTheme="minorHAnsi" w:cstheme="minorHAnsi"/>
          <w:szCs w:val="22"/>
          <w:vertAlign w:val="superscript"/>
        </w:rPr>
        <w:t>th</w:t>
      </w:r>
      <w:r w:rsidRPr="00B845AF">
        <w:rPr>
          <w:rFonts w:asciiTheme="minorHAnsi" w:hAnsiTheme="minorHAnsi" w:cstheme="minorHAnsi"/>
          <w:szCs w:val="22"/>
        </w:rPr>
        <w:t xml:space="preserve"> August. The group discussed the SRP noting that some updates were required. </w:t>
      </w:r>
    </w:p>
    <w:p w14:paraId="2D4DEF44" w14:textId="77777777" w:rsidR="00B93114" w:rsidRPr="00B845AF" w:rsidRDefault="00B93114" w:rsidP="00B93114">
      <w:pPr>
        <w:jc w:val="both"/>
        <w:rPr>
          <w:rFonts w:asciiTheme="minorHAnsi" w:hAnsiTheme="minorHAnsi" w:cstheme="minorHAnsi"/>
          <w:szCs w:val="22"/>
        </w:rPr>
      </w:pPr>
    </w:p>
    <w:p w14:paraId="21E0E02B"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Members recognise the important progress made under the 2021–2030 Shark Research Plan and reaffirmed the importance of this work in strengthening the scientific basis for shark conservation and management in the Convention Area. FFA Members placed a high priority on maintaining robust shark science, recognising that it underpins stock assessments, supports evaluation of conservation and management measures, and provides the scientific advice necessary for effective management decisions. They also considered it important to prioritise research that directly informs management advice, particularly post-release survival estimates for silky shark, oceanic whitetip shark and whale shark, which are essential for evaluating non-retention measures and strengthening future stock assessments.</w:t>
      </w:r>
    </w:p>
    <w:p w14:paraId="4B048AA4" w14:textId="77777777" w:rsidR="00B93114" w:rsidRPr="00B845AF" w:rsidRDefault="00B93114" w:rsidP="00B93114">
      <w:pPr>
        <w:jc w:val="both"/>
        <w:rPr>
          <w:rFonts w:asciiTheme="minorHAnsi" w:hAnsiTheme="minorHAnsi" w:cstheme="minorHAnsi"/>
          <w:szCs w:val="22"/>
        </w:rPr>
      </w:pPr>
    </w:p>
    <w:p w14:paraId="08479830"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Some CCMs </w:t>
      </w:r>
      <w:proofErr w:type="spellStart"/>
      <w:r w:rsidRPr="00B845AF">
        <w:rPr>
          <w:rFonts w:asciiTheme="minorHAnsi" w:hAnsiTheme="minorHAnsi" w:cstheme="minorHAnsi"/>
          <w:szCs w:val="22"/>
        </w:rPr>
        <w:t>favour</w:t>
      </w:r>
      <w:proofErr w:type="spellEnd"/>
      <w:r w:rsidRPr="00B845AF">
        <w:rPr>
          <w:rFonts w:asciiTheme="minorHAnsi" w:hAnsiTheme="minorHAnsi" w:cstheme="minorHAnsi"/>
          <w:szCs w:val="22"/>
        </w:rPr>
        <w:t xml:space="preserve"> a risk-based approach to future shark assessment scheduling, together with greater transparency in research investment and prioritisation across tuna, billfish, sharks and other ecosystem species. It was noted that the re-scheduling of assessment work would be taken up in the SC prioritisation work. </w:t>
      </w:r>
    </w:p>
    <w:p w14:paraId="3DA61E6A" w14:textId="77777777" w:rsidR="00B93114" w:rsidRPr="00B845AF" w:rsidRDefault="00B93114" w:rsidP="00B93114">
      <w:pPr>
        <w:jc w:val="both"/>
        <w:rPr>
          <w:rFonts w:asciiTheme="minorHAnsi" w:hAnsiTheme="minorHAnsi" w:cstheme="minorHAnsi"/>
          <w:szCs w:val="22"/>
        </w:rPr>
      </w:pPr>
    </w:p>
    <w:p w14:paraId="28E98C18"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The recommendations in WCPFC-</w:t>
      </w:r>
      <w:r w:rsidRPr="00B845AF">
        <w:rPr>
          <w:rFonts w:asciiTheme="minorHAnsi" w:eastAsiaTheme="minorEastAsia" w:hAnsiTheme="minorHAnsi" w:cstheme="minorHAnsi"/>
          <w:szCs w:val="22"/>
          <w:lang w:eastAsia="ko-KR"/>
        </w:rPr>
        <w:t>SC22-2026-</w:t>
      </w:r>
      <w:r w:rsidRPr="00B845AF">
        <w:rPr>
          <w:rFonts w:asciiTheme="minorHAnsi" w:hAnsiTheme="minorHAnsi" w:cstheme="minorHAnsi"/>
          <w:szCs w:val="22"/>
        </w:rPr>
        <w:t xml:space="preserve">SA-IP24 were tabled and the discussion largely focused on funding. Many CCMs and an observer expressed a desire to have some funding set aside for sharks specifically. Noting that this is a complex </w:t>
      </w:r>
      <w:proofErr w:type="gramStart"/>
      <w:r w:rsidRPr="00B845AF">
        <w:rPr>
          <w:rFonts w:asciiTheme="minorHAnsi" w:hAnsiTheme="minorHAnsi" w:cstheme="minorHAnsi"/>
          <w:szCs w:val="22"/>
        </w:rPr>
        <w:t>issue</w:t>
      </w:r>
      <w:proofErr w:type="gramEnd"/>
      <w:r w:rsidRPr="00B845AF">
        <w:rPr>
          <w:rFonts w:asciiTheme="minorHAnsi" w:hAnsiTheme="minorHAnsi" w:cstheme="minorHAnsi"/>
          <w:szCs w:val="22"/>
        </w:rPr>
        <w:t xml:space="preserve"> the convenor agreed to work with the authors and interested parties to find a way forward. After subsequent discussions in the margins the following recommendation was suggested to the SC:</w:t>
      </w:r>
    </w:p>
    <w:p w14:paraId="22B0486A" w14:textId="77777777" w:rsidR="00B93114" w:rsidRPr="00B845AF" w:rsidRDefault="00B93114" w:rsidP="00B93114">
      <w:pPr>
        <w:jc w:val="both"/>
        <w:rPr>
          <w:rFonts w:asciiTheme="minorHAnsi" w:hAnsiTheme="minorHAnsi" w:cstheme="minorHAnsi"/>
          <w:szCs w:val="22"/>
        </w:rPr>
      </w:pPr>
    </w:p>
    <w:p w14:paraId="5FD6E039" w14:textId="77777777" w:rsidR="00B93114" w:rsidRPr="00B845AF" w:rsidRDefault="00B93114" w:rsidP="00D47778">
      <w:pPr>
        <w:numPr>
          <w:ilvl w:val="0"/>
          <w:numId w:val="45"/>
        </w:numPr>
        <w:jc w:val="both"/>
        <w:rPr>
          <w:rFonts w:asciiTheme="minorHAnsi" w:hAnsiTheme="minorHAnsi" w:cstheme="minorHAnsi"/>
          <w:szCs w:val="22"/>
        </w:rPr>
      </w:pPr>
      <w:r w:rsidRPr="00B845AF">
        <w:rPr>
          <w:rFonts w:asciiTheme="minorHAnsi" w:hAnsiTheme="minorHAnsi" w:cstheme="minorHAnsi"/>
          <w:szCs w:val="22"/>
        </w:rPr>
        <w:t>Shark work often gets a lower priority than the tuna projects. As such, important work on sharks can fail to get funding in the commissions funding prioritisation process. However, this work is nevertheless essential for informing management decisions. Noting the process adopted at SC21 where some projects are designated as essential, and essential projects are allocated funding prior to the SC funding prioritisation process. The ISG</w:t>
      </w:r>
      <w:r w:rsidRPr="00B845AF">
        <w:rPr>
          <w:rFonts w:asciiTheme="minorHAnsi" w:eastAsiaTheme="minorEastAsia" w:hAnsiTheme="minorHAnsi" w:cstheme="minorHAnsi"/>
          <w:szCs w:val="22"/>
          <w:lang w:eastAsia="ko-KR"/>
        </w:rPr>
        <w:t>06</w:t>
      </w:r>
      <w:r w:rsidRPr="00B845AF">
        <w:rPr>
          <w:rFonts w:asciiTheme="minorHAnsi" w:hAnsiTheme="minorHAnsi" w:cstheme="minorHAnsi"/>
          <w:szCs w:val="22"/>
        </w:rPr>
        <w:t xml:space="preserve"> </w:t>
      </w:r>
      <w:r w:rsidRPr="00B845AF">
        <w:rPr>
          <w:rFonts w:asciiTheme="minorHAnsi" w:hAnsiTheme="minorHAnsi" w:cstheme="minorHAnsi"/>
          <w:b/>
          <w:bCs/>
          <w:szCs w:val="22"/>
        </w:rPr>
        <w:t>recommended</w:t>
      </w:r>
      <w:r w:rsidRPr="00B845AF">
        <w:rPr>
          <w:rFonts w:asciiTheme="minorHAnsi" w:hAnsiTheme="minorHAnsi" w:cstheme="minorHAnsi"/>
          <w:szCs w:val="22"/>
        </w:rPr>
        <w:t xml:space="preserve"> that in future the ISG</w:t>
      </w:r>
      <w:r w:rsidRPr="00B845AF">
        <w:rPr>
          <w:rFonts w:asciiTheme="minorHAnsi" w:eastAsiaTheme="minorEastAsia" w:hAnsiTheme="minorHAnsi" w:cstheme="minorHAnsi"/>
          <w:szCs w:val="22"/>
          <w:lang w:eastAsia="ko-KR"/>
        </w:rPr>
        <w:t>06</w:t>
      </w:r>
      <w:r w:rsidRPr="00B845AF">
        <w:rPr>
          <w:rFonts w:asciiTheme="minorHAnsi" w:hAnsiTheme="minorHAnsi" w:cstheme="minorHAnsi"/>
          <w:szCs w:val="22"/>
        </w:rPr>
        <w:t xml:space="preserve"> identify and propose essential work such as stock assessments for the SC consideration. </w:t>
      </w:r>
    </w:p>
    <w:p w14:paraId="5164E31E" w14:textId="77777777" w:rsidR="00B93114" w:rsidRPr="00B845AF" w:rsidRDefault="00B93114" w:rsidP="00B93114">
      <w:pPr>
        <w:ind w:left="360"/>
        <w:jc w:val="both"/>
        <w:rPr>
          <w:rFonts w:asciiTheme="minorHAnsi" w:hAnsiTheme="minorHAnsi" w:cstheme="minorHAnsi"/>
          <w:szCs w:val="22"/>
        </w:rPr>
      </w:pPr>
    </w:p>
    <w:p w14:paraId="2669CBC5"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It was further noted that the South Pacific blue shark stock assessment had already been postponed in 2025 due to a lack of funding, and there was a desire to see this work progress. The ISG</w:t>
      </w:r>
      <w:r w:rsidRPr="00B845AF">
        <w:rPr>
          <w:rFonts w:asciiTheme="minorHAnsi" w:eastAsiaTheme="minorEastAsia" w:hAnsiTheme="minorHAnsi" w:cstheme="minorHAnsi"/>
          <w:szCs w:val="22"/>
          <w:lang w:eastAsia="ko-KR"/>
        </w:rPr>
        <w:t>06</w:t>
      </w:r>
      <w:r w:rsidRPr="00B845AF">
        <w:rPr>
          <w:rFonts w:asciiTheme="minorHAnsi" w:hAnsiTheme="minorHAnsi" w:cstheme="minorHAnsi"/>
          <w:szCs w:val="22"/>
        </w:rPr>
        <w:t xml:space="preserve"> rejected the </w:t>
      </w:r>
      <w:r w:rsidRPr="00B845AF">
        <w:rPr>
          <w:rFonts w:asciiTheme="minorHAnsi" w:hAnsiTheme="minorHAnsi" w:cstheme="minorHAnsi"/>
          <w:szCs w:val="22"/>
        </w:rPr>
        <w:lastRenderedPageBreak/>
        <w:t xml:space="preserve">recommendation to postpone the </w:t>
      </w:r>
      <w:proofErr w:type="gramStart"/>
      <w:r w:rsidRPr="00B845AF">
        <w:rPr>
          <w:rFonts w:asciiTheme="minorHAnsi" w:hAnsiTheme="minorHAnsi" w:cstheme="minorHAnsi"/>
          <w:szCs w:val="22"/>
        </w:rPr>
        <w:t>assessment</w:t>
      </w:r>
      <w:proofErr w:type="gramEnd"/>
      <w:r w:rsidRPr="00B845AF">
        <w:rPr>
          <w:rFonts w:asciiTheme="minorHAnsi" w:hAnsiTheme="minorHAnsi" w:cstheme="minorHAnsi"/>
          <w:szCs w:val="22"/>
        </w:rPr>
        <w:t xml:space="preserve"> and it was retained in the project list for projects beginning in 2027. It was also noted that if the </w:t>
      </w:r>
      <w:r w:rsidRPr="00B845AF">
        <w:rPr>
          <w:rFonts w:asciiTheme="minorHAnsi" w:hAnsiTheme="minorHAnsi" w:cstheme="minorHAnsi"/>
          <w:i/>
          <w:iCs/>
          <w:szCs w:val="22"/>
        </w:rPr>
        <w:t>Joint bycatch assessment workshop for billfish and sharks</w:t>
      </w:r>
      <w:r w:rsidRPr="00B845AF">
        <w:rPr>
          <w:rFonts w:asciiTheme="minorHAnsi" w:hAnsiTheme="minorHAnsi" w:cstheme="minorHAnsi"/>
          <w:szCs w:val="22"/>
        </w:rPr>
        <w:t xml:space="preserve"> recommended any amendments to the approaches taken for that assessment, the workshop is early enough in the year that it would not hinder progress of that assessment and the workshop recommendations will still be able to be incorporated into the assessment. It was suggested that given the historic work on this project, one year would be enough for catch reconstruction and assessment work. Given that this project was delayed feedback indicated that this project be </w:t>
      </w:r>
      <w:proofErr w:type="gramStart"/>
      <w:r w:rsidRPr="00B845AF">
        <w:rPr>
          <w:rFonts w:asciiTheme="minorHAnsi" w:hAnsiTheme="minorHAnsi" w:cstheme="minorHAnsi"/>
          <w:szCs w:val="22"/>
        </w:rPr>
        <w:t>designated</w:t>
      </w:r>
      <w:proofErr w:type="gramEnd"/>
      <w:r w:rsidRPr="00B845AF">
        <w:rPr>
          <w:rFonts w:asciiTheme="minorHAnsi" w:hAnsiTheme="minorHAnsi" w:cstheme="minorHAnsi"/>
          <w:szCs w:val="22"/>
        </w:rPr>
        <w:t xml:space="preserve"> a </w:t>
      </w:r>
      <w:r w:rsidRPr="00B845AF">
        <w:rPr>
          <w:rFonts w:asciiTheme="minorHAnsi" w:hAnsiTheme="minorHAnsi" w:cstheme="minorHAnsi"/>
          <w:b/>
          <w:bCs/>
          <w:szCs w:val="22"/>
        </w:rPr>
        <w:t>priority of essential</w:t>
      </w:r>
      <w:r w:rsidRPr="00B845AF">
        <w:rPr>
          <w:rFonts w:asciiTheme="minorHAnsi" w:hAnsiTheme="minorHAnsi" w:cstheme="minorHAnsi"/>
          <w:szCs w:val="22"/>
        </w:rPr>
        <w:t xml:space="preserve">. </w:t>
      </w:r>
    </w:p>
    <w:p w14:paraId="43BAFE30" w14:textId="77777777" w:rsidR="00B93114" w:rsidRPr="00B845AF" w:rsidRDefault="00B93114" w:rsidP="00B93114">
      <w:pPr>
        <w:jc w:val="both"/>
        <w:rPr>
          <w:rFonts w:asciiTheme="minorHAnsi" w:hAnsiTheme="minorHAnsi" w:cstheme="minorHAnsi"/>
          <w:szCs w:val="22"/>
        </w:rPr>
      </w:pPr>
    </w:p>
    <w:p w14:paraId="77B6450F"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Support was also expressed for the proposed </w:t>
      </w:r>
      <w:r w:rsidRPr="00B845AF">
        <w:rPr>
          <w:rFonts w:asciiTheme="minorHAnsi" w:hAnsiTheme="minorHAnsi" w:cstheme="minorHAnsi"/>
          <w:i/>
          <w:iCs/>
          <w:szCs w:val="22"/>
        </w:rPr>
        <w:t>Characterisation of low information sharks and mobulids</w:t>
      </w:r>
      <w:r w:rsidRPr="00B845AF">
        <w:rPr>
          <w:rFonts w:asciiTheme="minorHAnsi" w:hAnsiTheme="minorHAnsi" w:cstheme="minorHAnsi"/>
          <w:szCs w:val="22"/>
        </w:rPr>
        <w:t xml:space="preserve"> project. </w:t>
      </w:r>
    </w:p>
    <w:p w14:paraId="2684578C" w14:textId="77777777" w:rsidR="00B93114" w:rsidRPr="00B845AF" w:rsidRDefault="00B93114" w:rsidP="00B93114">
      <w:pPr>
        <w:jc w:val="both"/>
        <w:rPr>
          <w:rFonts w:asciiTheme="minorHAnsi" w:hAnsiTheme="minorHAnsi" w:cstheme="minorHAnsi"/>
          <w:szCs w:val="22"/>
        </w:rPr>
      </w:pPr>
    </w:p>
    <w:p w14:paraId="3E1F5C84"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Some members expressed support for the unfunded project Global and regional environmental niche and </w:t>
      </w:r>
      <w:proofErr w:type="spellStart"/>
      <w:r w:rsidRPr="00B845AF">
        <w:rPr>
          <w:rFonts w:asciiTheme="minorHAnsi" w:hAnsiTheme="minorHAnsi" w:cstheme="minorHAnsi"/>
          <w:szCs w:val="22"/>
        </w:rPr>
        <w:t>favourable</w:t>
      </w:r>
      <w:proofErr w:type="spellEnd"/>
      <w:r w:rsidRPr="00B845AF">
        <w:rPr>
          <w:rFonts w:asciiTheme="minorHAnsi" w:hAnsiTheme="minorHAnsi" w:cstheme="minorHAnsi"/>
          <w:szCs w:val="22"/>
        </w:rPr>
        <w:t xml:space="preserve"> feeding habitat of silky shark (</w:t>
      </w:r>
      <w:r w:rsidRPr="00B845AF">
        <w:rPr>
          <w:rFonts w:asciiTheme="minorHAnsi" w:hAnsiTheme="minorHAnsi" w:cstheme="minorHAnsi"/>
          <w:i/>
          <w:iCs/>
          <w:szCs w:val="22"/>
        </w:rPr>
        <w:t>Carcharhinus falciformis</w:t>
      </w:r>
      <w:r w:rsidRPr="00B845AF">
        <w:rPr>
          <w:rFonts w:asciiTheme="minorHAnsi" w:hAnsiTheme="minorHAnsi" w:cstheme="minorHAnsi"/>
          <w:szCs w:val="22"/>
        </w:rPr>
        <w:t>) by size and sex: a step towards bycatch assessment and mitigation. They expressed their appreciation for the funding contribution.</w:t>
      </w:r>
    </w:p>
    <w:p w14:paraId="542D18CE" w14:textId="77777777" w:rsidR="00B93114" w:rsidRPr="00B845AF" w:rsidRDefault="00B93114" w:rsidP="00B93114">
      <w:pPr>
        <w:jc w:val="both"/>
        <w:rPr>
          <w:rFonts w:asciiTheme="minorHAnsi" w:hAnsiTheme="minorHAnsi" w:cstheme="minorHAnsi"/>
          <w:szCs w:val="22"/>
        </w:rPr>
      </w:pPr>
    </w:p>
    <w:p w14:paraId="611D8368"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The new project in Table 1.9(iii) (Comparisons of observer and logbook data for shark species) was not ranked nor was a start date agreed, as such, the authors designated the date and priority at TBD for consideration for ranking at SC23. One member questions the value of this work noting that </w:t>
      </w:r>
      <w:proofErr w:type="gramStart"/>
      <w:r w:rsidRPr="00B845AF">
        <w:rPr>
          <w:rFonts w:asciiTheme="minorHAnsi" w:hAnsiTheme="minorHAnsi" w:cstheme="minorHAnsi"/>
          <w:szCs w:val="22"/>
        </w:rPr>
        <w:t>In</w:t>
      </w:r>
      <w:proofErr w:type="gramEnd"/>
      <w:r w:rsidRPr="00B845AF">
        <w:rPr>
          <w:rFonts w:asciiTheme="minorHAnsi" w:hAnsiTheme="minorHAnsi" w:cstheme="minorHAnsi"/>
          <w:szCs w:val="22"/>
        </w:rPr>
        <w:t xml:space="preserve"> the case of silky and oceanic whitetip sharks, retention is prohibited </w:t>
      </w:r>
      <w:proofErr w:type="gramStart"/>
      <w:r w:rsidRPr="00B845AF">
        <w:rPr>
          <w:rFonts w:asciiTheme="minorHAnsi" w:hAnsiTheme="minorHAnsi" w:cstheme="minorHAnsi"/>
          <w:szCs w:val="22"/>
        </w:rPr>
        <w:t>under current</w:t>
      </w:r>
      <w:proofErr w:type="gramEnd"/>
      <w:r w:rsidRPr="00B845AF">
        <w:rPr>
          <w:rFonts w:asciiTheme="minorHAnsi" w:hAnsiTheme="minorHAnsi" w:cstheme="minorHAnsi"/>
          <w:szCs w:val="22"/>
        </w:rPr>
        <w:t xml:space="preserve"> WCPFC measures, and therefore observer data are generally the only reliable </w:t>
      </w:r>
      <w:proofErr w:type="gramStart"/>
      <w:r w:rsidRPr="00B845AF">
        <w:rPr>
          <w:rFonts w:asciiTheme="minorHAnsi" w:hAnsiTheme="minorHAnsi" w:cstheme="minorHAnsi"/>
          <w:szCs w:val="22"/>
        </w:rPr>
        <w:t>source</w:t>
      </w:r>
      <w:proofErr w:type="gramEnd"/>
      <w:r w:rsidRPr="00B845AF">
        <w:rPr>
          <w:rFonts w:asciiTheme="minorHAnsi" w:hAnsiTheme="minorHAnsi" w:cstheme="minorHAnsi"/>
          <w:szCs w:val="22"/>
        </w:rPr>
        <w:t xml:space="preserve"> of catch information. It is unclear what additional value would be gained from comparing observer and logbook data for these species. Even in other species, most sharks are listed in </w:t>
      </w:r>
      <w:proofErr w:type="spellStart"/>
      <w:r w:rsidRPr="00B845AF">
        <w:rPr>
          <w:rFonts w:asciiTheme="minorHAnsi" w:hAnsiTheme="minorHAnsi" w:cstheme="minorHAnsi"/>
          <w:szCs w:val="22"/>
        </w:rPr>
        <w:t>App.II</w:t>
      </w:r>
      <w:proofErr w:type="spellEnd"/>
      <w:r w:rsidRPr="00B845AF">
        <w:rPr>
          <w:rFonts w:asciiTheme="minorHAnsi" w:hAnsiTheme="minorHAnsi" w:cstheme="minorHAnsi"/>
          <w:szCs w:val="22"/>
        </w:rPr>
        <w:t xml:space="preserve"> of CITES, which affect the catch strategy and thus reports in the logbook data. It was clarified that the intent of this work would be to evaluate historic logbooks and observer data in order to scale the catch to the tuna and billfish, but it was also noted that this was done in the catch reconstructions so it should be considered for removal at SC23.  </w:t>
      </w:r>
    </w:p>
    <w:p w14:paraId="44470E30" w14:textId="77777777" w:rsidR="00B93114" w:rsidRPr="00B845AF" w:rsidRDefault="00B93114" w:rsidP="00B93114">
      <w:pPr>
        <w:jc w:val="both"/>
        <w:rPr>
          <w:rFonts w:asciiTheme="minorHAnsi" w:hAnsiTheme="minorHAnsi" w:cstheme="minorHAnsi"/>
          <w:szCs w:val="22"/>
        </w:rPr>
      </w:pPr>
    </w:p>
    <w:p w14:paraId="74F8265E" w14:textId="77777777" w:rsidR="00B93114" w:rsidRPr="00B845AF" w:rsidRDefault="00B93114" w:rsidP="00B93114">
      <w:pPr>
        <w:jc w:val="both"/>
        <w:rPr>
          <w:rFonts w:asciiTheme="minorHAnsi" w:hAnsiTheme="minorHAnsi" w:cstheme="minorHAnsi"/>
          <w:szCs w:val="22"/>
        </w:rPr>
      </w:pPr>
      <w:proofErr w:type="gramStart"/>
      <w:r w:rsidRPr="00B845AF">
        <w:rPr>
          <w:rFonts w:asciiTheme="minorHAnsi" w:hAnsiTheme="minorHAnsi" w:cstheme="minorHAnsi"/>
          <w:szCs w:val="22"/>
        </w:rPr>
        <w:t>A number of</w:t>
      </w:r>
      <w:proofErr w:type="gramEnd"/>
      <w:r w:rsidRPr="00B845AF">
        <w:rPr>
          <w:rFonts w:asciiTheme="minorHAnsi" w:hAnsiTheme="minorHAnsi" w:cstheme="minorHAnsi"/>
          <w:szCs w:val="22"/>
        </w:rPr>
        <w:t xml:space="preserve"> new projects were proposed as projects not requiring funding. The authors agreed to include these in Table 1.9. </w:t>
      </w:r>
    </w:p>
    <w:p w14:paraId="6EE4E9AB" w14:textId="77777777" w:rsidR="00B93114" w:rsidRPr="00B845AF" w:rsidRDefault="00B93114" w:rsidP="00B93114">
      <w:pPr>
        <w:jc w:val="both"/>
        <w:rPr>
          <w:rFonts w:asciiTheme="minorHAnsi" w:hAnsiTheme="minorHAnsi" w:cstheme="minorHAnsi"/>
          <w:szCs w:val="22"/>
        </w:rPr>
      </w:pPr>
    </w:p>
    <w:p w14:paraId="5EE53955"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One completed project was </w:t>
      </w:r>
      <w:proofErr w:type="gramStart"/>
      <w:r w:rsidRPr="00B845AF">
        <w:rPr>
          <w:rFonts w:asciiTheme="minorHAnsi" w:hAnsiTheme="minorHAnsi" w:cstheme="minorHAnsi"/>
          <w:szCs w:val="22"/>
        </w:rPr>
        <w:t>remove</w:t>
      </w:r>
      <w:proofErr w:type="gramEnd"/>
      <w:r w:rsidRPr="00B845AF">
        <w:rPr>
          <w:rFonts w:asciiTheme="minorHAnsi" w:hAnsiTheme="minorHAnsi" w:cstheme="minorHAnsi"/>
          <w:szCs w:val="22"/>
        </w:rPr>
        <w:t xml:space="preserve"> from the work list. </w:t>
      </w:r>
    </w:p>
    <w:p w14:paraId="1AD56798" w14:textId="77777777" w:rsidR="00B93114" w:rsidRPr="00B845AF" w:rsidRDefault="00B93114" w:rsidP="00B93114">
      <w:pPr>
        <w:jc w:val="both"/>
        <w:rPr>
          <w:rFonts w:asciiTheme="minorHAnsi" w:hAnsiTheme="minorHAnsi" w:cstheme="minorHAnsi"/>
          <w:szCs w:val="22"/>
        </w:rPr>
      </w:pPr>
    </w:p>
    <w:p w14:paraId="07F3F369" w14:textId="77777777" w:rsidR="00B93114" w:rsidRPr="00B845AF" w:rsidRDefault="00B93114" w:rsidP="00B93114">
      <w:pPr>
        <w:jc w:val="both"/>
        <w:rPr>
          <w:rFonts w:asciiTheme="minorHAnsi" w:hAnsiTheme="minorHAnsi" w:cstheme="minorHAnsi"/>
          <w:szCs w:val="22"/>
        </w:rPr>
      </w:pPr>
      <w:r w:rsidRPr="00B845AF">
        <w:rPr>
          <w:rFonts w:asciiTheme="minorHAnsi" w:hAnsiTheme="minorHAnsi" w:cstheme="minorHAnsi"/>
          <w:szCs w:val="22"/>
        </w:rPr>
        <w:t xml:space="preserve">The Authors of </w:t>
      </w:r>
      <w:r w:rsidRPr="00B845AF">
        <w:rPr>
          <w:rFonts w:asciiTheme="minorHAnsi" w:eastAsiaTheme="minorEastAsia" w:hAnsiTheme="minorHAnsi" w:cstheme="minorHAnsi"/>
          <w:szCs w:val="22"/>
          <w:lang w:eastAsia="ko-KR"/>
        </w:rPr>
        <w:t>SC22-</w:t>
      </w:r>
      <w:r w:rsidRPr="00B845AF">
        <w:rPr>
          <w:rFonts w:asciiTheme="minorHAnsi" w:hAnsiTheme="minorHAnsi" w:cstheme="minorHAnsi"/>
          <w:szCs w:val="22"/>
        </w:rPr>
        <w:t xml:space="preserve">SA-IP24 agreed to provide an update to the document taking all these suggestions into account. </w:t>
      </w:r>
    </w:p>
    <w:p w14:paraId="6F513331" w14:textId="77777777" w:rsidR="004A2594" w:rsidRPr="00B845AF" w:rsidRDefault="004A2594" w:rsidP="004A2594">
      <w:pPr>
        <w:autoSpaceDE w:val="0"/>
        <w:autoSpaceDN w:val="0"/>
        <w:adjustRightInd w:val="0"/>
        <w:snapToGrid w:val="0"/>
        <w:jc w:val="center"/>
        <w:rPr>
          <w:rFonts w:asciiTheme="minorHAnsi" w:hAnsiTheme="minorHAnsi" w:cstheme="minorHAnsi"/>
          <w:szCs w:val="22"/>
        </w:rPr>
      </w:pPr>
    </w:p>
    <w:p w14:paraId="5246A358" w14:textId="77777777" w:rsidR="004A2594" w:rsidRPr="00B845AF" w:rsidRDefault="004A2594" w:rsidP="002766DF">
      <w:pPr>
        <w:adjustRightInd w:val="0"/>
        <w:snapToGrid w:val="0"/>
        <w:jc w:val="center"/>
        <w:rPr>
          <w:rFonts w:asciiTheme="minorHAnsi" w:hAnsiTheme="minorHAnsi" w:cstheme="minorHAnsi"/>
          <w:bCs/>
          <w:szCs w:val="22"/>
        </w:rPr>
      </w:pPr>
    </w:p>
    <w:p w14:paraId="20822813" w14:textId="77777777" w:rsidR="004A2594" w:rsidRPr="00B845AF" w:rsidRDefault="004A2594" w:rsidP="002766DF">
      <w:pPr>
        <w:adjustRightInd w:val="0"/>
        <w:snapToGrid w:val="0"/>
        <w:jc w:val="center"/>
        <w:rPr>
          <w:rFonts w:asciiTheme="minorHAnsi" w:hAnsiTheme="minorHAnsi" w:cstheme="minorHAnsi"/>
          <w:bCs/>
          <w:szCs w:val="22"/>
        </w:rPr>
      </w:pPr>
    </w:p>
    <w:p w14:paraId="3503363F" w14:textId="77777777" w:rsidR="004A2594" w:rsidRPr="00B845AF" w:rsidRDefault="004A2594" w:rsidP="002766DF">
      <w:pPr>
        <w:adjustRightInd w:val="0"/>
        <w:snapToGrid w:val="0"/>
        <w:jc w:val="center"/>
        <w:rPr>
          <w:rFonts w:asciiTheme="minorHAnsi" w:hAnsiTheme="minorHAnsi" w:cstheme="minorHAnsi"/>
          <w:bCs/>
          <w:szCs w:val="22"/>
        </w:rPr>
      </w:pPr>
    </w:p>
    <w:p w14:paraId="086D6715" w14:textId="733143E1" w:rsidR="004A2594" w:rsidRPr="00B845AF" w:rsidRDefault="004A2594">
      <w:pPr>
        <w:rPr>
          <w:rFonts w:asciiTheme="minorHAnsi" w:hAnsiTheme="minorHAnsi" w:cstheme="minorHAnsi"/>
          <w:bCs/>
          <w:szCs w:val="22"/>
        </w:rPr>
      </w:pPr>
      <w:r w:rsidRPr="00B845AF">
        <w:rPr>
          <w:rFonts w:asciiTheme="minorHAnsi" w:hAnsiTheme="minorHAnsi" w:cstheme="minorHAnsi"/>
          <w:bCs/>
          <w:szCs w:val="22"/>
        </w:rPr>
        <w:br w:type="page"/>
      </w:r>
    </w:p>
    <w:p w14:paraId="632C5EE1" w14:textId="5D18A684" w:rsidR="004A2594" w:rsidRPr="00B845AF" w:rsidRDefault="004A2594" w:rsidP="004A2594">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K</w:t>
      </w:r>
    </w:p>
    <w:p w14:paraId="3840CDAF" w14:textId="77777777" w:rsidR="004A2594" w:rsidRPr="00B845AF" w:rsidRDefault="004A2594" w:rsidP="004A2594">
      <w:pPr>
        <w:adjustRightInd w:val="0"/>
        <w:snapToGrid w:val="0"/>
        <w:jc w:val="center"/>
        <w:rPr>
          <w:rFonts w:asciiTheme="minorHAnsi" w:hAnsiTheme="minorHAnsi" w:cstheme="minorHAnsi"/>
          <w:b/>
          <w:bCs/>
          <w:szCs w:val="22"/>
          <w:lang w:eastAsia="en-NZ"/>
        </w:rPr>
      </w:pPr>
    </w:p>
    <w:p w14:paraId="6A805ACB" w14:textId="77777777" w:rsidR="001C7629" w:rsidRPr="00B845AF" w:rsidRDefault="001C7629" w:rsidP="001C7629">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59281974" w14:textId="77777777" w:rsidR="001C7629" w:rsidRPr="00B845AF" w:rsidRDefault="001C7629" w:rsidP="001C7629">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72654CB5" w14:textId="77777777" w:rsidR="001C7629" w:rsidRPr="00B845AF" w:rsidRDefault="001C7629" w:rsidP="001C7629">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333CA63A" w14:textId="77777777" w:rsidR="001C7629" w:rsidRPr="00B845AF" w:rsidRDefault="001C7629" w:rsidP="001C7629">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38C1DD42" w14:textId="77777777" w:rsidR="001C7629" w:rsidRPr="00B845AF" w:rsidRDefault="001C7629" w:rsidP="001C7629">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1C7629" w:rsidRPr="00B845AF" w14:paraId="61F6DE79" w14:textId="77777777" w:rsidTr="00835632">
        <w:tc>
          <w:tcPr>
            <w:tcW w:w="9576" w:type="dxa"/>
            <w:hideMark/>
          </w:tcPr>
          <w:p w14:paraId="0051ECD2" w14:textId="77777777" w:rsidR="001C7629" w:rsidRPr="00B845AF" w:rsidRDefault="001C7629"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Theme="minorEastAsia" w:hAnsiTheme="minorHAnsi" w:cstheme="minorHAnsi"/>
                <w:b/>
                <w:bCs/>
                <w:sz w:val="24"/>
                <w:szCs w:val="28"/>
                <w:lang w:eastAsia="ko-KR"/>
              </w:rPr>
              <w:t>Report from ISG07</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99" w:name="_Toc239261447"/>
            <w:r w:rsidRPr="00B845AF">
              <w:rPr>
                <w:rFonts w:asciiTheme="minorHAnsi" w:eastAsiaTheme="minorEastAsia" w:hAnsiTheme="minorHAnsi" w:cstheme="minorHAnsi"/>
                <w:b/>
                <w:bCs/>
                <w:sz w:val="28"/>
                <w:szCs w:val="28"/>
                <w:lang w:eastAsia="ko-KR"/>
              </w:rPr>
              <w:instrText>SUMMARY REPORT</w:instrText>
            </w:r>
            <w:bookmarkEnd w:id="99"/>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2BEE7303" w14:textId="77777777" w:rsidR="002766DF" w:rsidRPr="00B845AF" w:rsidRDefault="002766DF" w:rsidP="001A23E2">
      <w:pPr>
        <w:autoSpaceDE w:val="0"/>
        <w:autoSpaceDN w:val="0"/>
        <w:adjustRightInd w:val="0"/>
        <w:snapToGrid w:val="0"/>
        <w:jc w:val="both"/>
        <w:rPr>
          <w:rFonts w:asciiTheme="minorHAnsi" w:eastAsia="MS Mincho" w:hAnsiTheme="minorHAnsi" w:cstheme="minorHAnsi"/>
          <w:szCs w:val="22"/>
          <w:lang w:eastAsia="ja-JP"/>
        </w:rPr>
      </w:pPr>
    </w:p>
    <w:p w14:paraId="6F673252" w14:textId="77777777" w:rsidR="00985E63" w:rsidRPr="00B845AF" w:rsidRDefault="00985E63" w:rsidP="001A23E2">
      <w:pPr>
        <w:autoSpaceDE w:val="0"/>
        <w:autoSpaceDN w:val="0"/>
        <w:adjustRightInd w:val="0"/>
        <w:snapToGrid w:val="0"/>
        <w:jc w:val="both"/>
        <w:rPr>
          <w:rFonts w:asciiTheme="minorHAnsi" w:eastAsia="MS Mincho" w:hAnsiTheme="minorHAnsi" w:cstheme="minorHAnsi"/>
          <w:szCs w:val="22"/>
          <w:lang w:eastAsia="ja-JP"/>
        </w:rPr>
      </w:pPr>
    </w:p>
    <w:p w14:paraId="1385E994" w14:textId="77777777" w:rsidR="00985E63" w:rsidRPr="00B845AF" w:rsidRDefault="00985E63" w:rsidP="00985E63">
      <w:pPr>
        <w:jc w:val="both"/>
        <w:rPr>
          <w:rFonts w:asciiTheme="minorHAnsi" w:hAnsiTheme="minorHAnsi" w:cstheme="minorHAnsi"/>
          <w:b/>
          <w:bCs/>
          <w:szCs w:val="22"/>
        </w:rPr>
      </w:pPr>
      <w:r w:rsidRPr="00B845AF">
        <w:rPr>
          <w:rFonts w:asciiTheme="minorHAnsi" w:hAnsiTheme="minorHAnsi" w:cstheme="minorHAnsi"/>
          <w:b/>
          <w:bCs/>
          <w:szCs w:val="22"/>
        </w:rPr>
        <w:t>Summary Report ISG07: Proposed Workplan on FAD Research and Environmental Mitigation (2027-2029)</w:t>
      </w:r>
    </w:p>
    <w:p w14:paraId="135E9C59" w14:textId="77777777" w:rsidR="00985E63" w:rsidRPr="00B845AF" w:rsidRDefault="00985E63" w:rsidP="00985E63">
      <w:pPr>
        <w:jc w:val="both"/>
        <w:rPr>
          <w:rFonts w:asciiTheme="minorHAnsi" w:hAnsiTheme="minorHAnsi" w:cstheme="minorHAnsi"/>
          <w:szCs w:val="22"/>
        </w:rPr>
      </w:pPr>
    </w:p>
    <w:p w14:paraId="2FA0C40C"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Introduction </w:t>
      </w:r>
    </w:p>
    <w:p w14:paraId="458DBF4D"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szCs w:val="22"/>
        </w:rPr>
        <w:t xml:space="preserve">Members reviewed the progress and proposed future directions of the FAD Research Workplan, with a particular focus on biodegradable and non-entangling dFADs, monitoring and data needs, mitigation measures, and recovery options. Overall, Members expressed strong support for the work undertaken to date and provided guidance on priorities for future research and implementation. </w:t>
      </w:r>
    </w:p>
    <w:p w14:paraId="69F0B6A0" w14:textId="77777777" w:rsidR="00985E63" w:rsidRPr="00B845AF" w:rsidRDefault="00985E63" w:rsidP="00985E63">
      <w:pPr>
        <w:jc w:val="both"/>
        <w:rPr>
          <w:rFonts w:asciiTheme="minorHAnsi" w:hAnsiTheme="minorHAnsi" w:cstheme="minorHAnsi"/>
          <w:szCs w:val="22"/>
        </w:rPr>
      </w:pPr>
    </w:p>
    <w:p w14:paraId="529B072B"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Key Discussion Points </w:t>
      </w:r>
    </w:p>
    <w:p w14:paraId="206EDDCE"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1. Overall Support and Recognition </w:t>
      </w:r>
      <w:r w:rsidRPr="00B845AF">
        <w:rPr>
          <w:rFonts w:asciiTheme="minorHAnsi" w:hAnsiTheme="minorHAnsi" w:cstheme="minorHAnsi"/>
          <w:szCs w:val="22"/>
        </w:rPr>
        <w:t xml:space="preserve">Members welcomed SPC’s leadership on biodegradable dFADs, recognised donor support, and commended the comprehensive analysis, options assessment, and stakeholder engagement. </w:t>
      </w:r>
    </w:p>
    <w:p w14:paraId="583FF1DD" w14:textId="77777777" w:rsidR="00985E63" w:rsidRPr="00B845AF" w:rsidRDefault="00985E63" w:rsidP="00985E63">
      <w:pPr>
        <w:jc w:val="both"/>
        <w:rPr>
          <w:rFonts w:asciiTheme="minorHAnsi" w:hAnsiTheme="minorHAnsi" w:cstheme="minorHAnsi"/>
          <w:szCs w:val="22"/>
        </w:rPr>
      </w:pPr>
    </w:p>
    <w:p w14:paraId="282E96CF"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2. Support for Biodegradable and Non-Entangling dFAD Trials </w:t>
      </w:r>
      <w:r w:rsidRPr="00B845AF">
        <w:rPr>
          <w:rFonts w:asciiTheme="minorHAnsi" w:hAnsiTheme="minorHAnsi" w:cstheme="minorHAnsi"/>
          <w:szCs w:val="22"/>
        </w:rPr>
        <w:t xml:space="preserve">Members supported SPC and ISSF trials of biodegradable and non-entangling dFADs and encouraged continued industry collaboration, training, and scientific evaluation, through prioritising funding of the project proposal submitted to SC22 (Part 1.a of project proposal). </w:t>
      </w:r>
    </w:p>
    <w:p w14:paraId="1E5C4FC7" w14:textId="77777777" w:rsidR="00985E63" w:rsidRPr="00B845AF" w:rsidRDefault="00985E63" w:rsidP="00985E63">
      <w:pPr>
        <w:jc w:val="both"/>
        <w:rPr>
          <w:rFonts w:asciiTheme="minorHAnsi" w:hAnsiTheme="minorHAnsi" w:cstheme="minorHAnsi"/>
          <w:szCs w:val="22"/>
        </w:rPr>
      </w:pPr>
    </w:p>
    <w:p w14:paraId="566D5132"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3. Improved Data and Monitoring </w:t>
      </w:r>
      <w:r w:rsidRPr="00B845AF">
        <w:rPr>
          <w:rFonts w:asciiTheme="minorHAnsi" w:hAnsiTheme="minorHAnsi" w:cstheme="minorHAnsi"/>
          <w:szCs w:val="22"/>
        </w:rPr>
        <w:t xml:space="preserve">Members highlighted the need for better data and supported development of FAD fishery indicators, with SPC invited to present a proposal to SC23, as highlighted in project proposal to be submitted to SC22 (Part 2 of project proposal). Members also emphasised the importance of a practical, effective, and cost-efficient monitoring framework to support management and evaluation of FAD mitigation measures. </w:t>
      </w:r>
    </w:p>
    <w:p w14:paraId="3AD0C514" w14:textId="77777777" w:rsidR="00985E63" w:rsidRPr="00B845AF" w:rsidRDefault="00985E63" w:rsidP="00985E63">
      <w:pPr>
        <w:jc w:val="both"/>
        <w:rPr>
          <w:rFonts w:asciiTheme="minorHAnsi" w:hAnsiTheme="minorHAnsi" w:cstheme="minorHAnsi"/>
          <w:szCs w:val="22"/>
        </w:rPr>
      </w:pPr>
    </w:p>
    <w:p w14:paraId="762568E7"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4. Priority for PNA Waters and Commission Work </w:t>
      </w:r>
      <w:r w:rsidRPr="00B845AF">
        <w:rPr>
          <w:rFonts w:asciiTheme="minorHAnsi" w:hAnsiTheme="minorHAnsi" w:cstheme="minorHAnsi"/>
          <w:szCs w:val="22"/>
        </w:rPr>
        <w:t xml:space="preserve">PNA and Vanuatu emphasised that FAD research is a key Commission priority, noting that about 90% of WCPO purse-seine FAD sets occur in PNA waters. </w:t>
      </w:r>
    </w:p>
    <w:p w14:paraId="1436618D" w14:textId="77777777" w:rsidR="00985E63" w:rsidRPr="00B845AF" w:rsidRDefault="00985E63" w:rsidP="00985E63">
      <w:pPr>
        <w:jc w:val="both"/>
        <w:rPr>
          <w:rFonts w:asciiTheme="minorHAnsi" w:hAnsiTheme="minorHAnsi" w:cstheme="minorHAnsi"/>
          <w:szCs w:val="22"/>
        </w:rPr>
      </w:pPr>
    </w:p>
    <w:p w14:paraId="05492CFA" w14:textId="77777777" w:rsidR="00985E63" w:rsidRPr="00B845AF" w:rsidRDefault="00985E63" w:rsidP="00985E63">
      <w:pPr>
        <w:jc w:val="both"/>
        <w:rPr>
          <w:rFonts w:asciiTheme="minorHAnsi" w:hAnsiTheme="minorHAnsi" w:cstheme="minorHAnsi"/>
          <w:i/>
          <w:iCs/>
          <w:szCs w:val="22"/>
        </w:rPr>
      </w:pPr>
      <w:r w:rsidRPr="00B845AF">
        <w:rPr>
          <w:rFonts w:asciiTheme="minorHAnsi" w:hAnsiTheme="minorHAnsi" w:cstheme="minorHAnsi"/>
          <w:b/>
          <w:bCs/>
          <w:szCs w:val="22"/>
        </w:rPr>
        <w:t xml:space="preserve">5. Workplan Comments for SC23 </w:t>
      </w:r>
      <w:r w:rsidRPr="00B845AF">
        <w:rPr>
          <w:rFonts w:asciiTheme="minorHAnsi" w:hAnsiTheme="minorHAnsi" w:cstheme="minorHAnsi"/>
          <w:szCs w:val="22"/>
        </w:rPr>
        <w:t xml:space="preserve">PNA and Vanuatu supported the proposed SC23 papers but preferred the term </w:t>
      </w:r>
      <w:r w:rsidRPr="00B845AF">
        <w:rPr>
          <w:rFonts w:asciiTheme="minorHAnsi" w:hAnsiTheme="minorHAnsi" w:cstheme="minorHAnsi"/>
          <w:i/>
          <w:iCs/>
          <w:szCs w:val="22"/>
        </w:rPr>
        <w:t xml:space="preserve">“further analysis of mitigation strategies” </w:t>
      </w:r>
      <w:r w:rsidRPr="00B845AF">
        <w:rPr>
          <w:rFonts w:asciiTheme="minorHAnsi" w:hAnsiTheme="minorHAnsi" w:cstheme="minorHAnsi"/>
          <w:szCs w:val="22"/>
        </w:rPr>
        <w:t xml:space="preserve">over </w:t>
      </w:r>
      <w:r w:rsidRPr="00B845AF">
        <w:rPr>
          <w:rFonts w:asciiTheme="minorHAnsi" w:hAnsiTheme="minorHAnsi" w:cstheme="minorHAnsi"/>
          <w:i/>
          <w:iCs/>
          <w:szCs w:val="22"/>
        </w:rPr>
        <w:t xml:space="preserve">“recommendations for mitigation strategies.” </w:t>
      </w:r>
    </w:p>
    <w:p w14:paraId="634F229F" w14:textId="77777777" w:rsidR="00985E63" w:rsidRPr="00B845AF" w:rsidRDefault="00985E63" w:rsidP="00985E63">
      <w:pPr>
        <w:jc w:val="both"/>
        <w:rPr>
          <w:rFonts w:asciiTheme="minorHAnsi" w:hAnsiTheme="minorHAnsi" w:cstheme="minorHAnsi"/>
          <w:szCs w:val="22"/>
        </w:rPr>
      </w:pPr>
    </w:p>
    <w:p w14:paraId="6DF0299E"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6. Assessment of FAD Use per Vessel </w:t>
      </w:r>
      <w:r w:rsidRPr="00B845AF">
        <w:rPr>
          <w:rFonts w:asciiTheme="minorHAnsi" w:hAnsiTheme="minorHAnsi" w:cstheme="minorHAnsi"/>
          <w:szCs w:val="22"/>
        </w:rPr>
        <w:t xml:space="preserve">PNA and Vanuatu recommended focusing on FAD deployments rather than active buoy numbers, while noting improved tracking data can still estimate active FAD trends. </w:t>
      </w:r>
    </w:p>
    <w:p w14:paraId="317975E8" w14:textId="77777777" w:rsidR="00985E63" w:rsidRPr="00B845AF" w:rsidRDefault="00985E63" w:rsidP="00985E63">
      <w:pPr>
        <w:jc w:val="both"/>
        <w:rPr>
          <w:rFonts w:asciiTheme="minorHAnsi" w:hAnsiTheme="minorHAnsi" w:cstheme="minorHAnsi"/>
          <w:szCs w:val="22"/>
        </w:rPr>
      </w:pPr>
    </w:p>
    <w:p w14:paraId="1BAD0127"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7. Value of Biodegradable and Non-Entangling FADs </w:t>
      </w:r>
      <w:r w:rsidRPr="00B845AF">
        <w:rPr>
          <w:rFonts w:asciiTheme="minorHAnsi" w:hAnsiTheme="minorHAnsi" w:cstheme="minorHAnsi"/>
          <w:szCs w:val="22"/>
        </w:rPr>
        <w:t xml:space="preserve">Members recognised biodegradable and non-entangling dFADs as mitigation measures that can reduce strandings, reef damage, and ghost fishing. </w:t>
      </w:r>
    </w:p>
    <w:p w14:paraId="5711EDAA" w14:textId="77777777" w:rsidR="00985E63" w:rsidRPr="00B845AF" w:rsidRDefault="00985E63" w:rsidP="00985E63">
      <w:pPr>
        <w:jc w:val="both"/>
        <w:rPr>
          <w:rFonts w:asciiTheme="minorHAnsi" w:hAnsiTheme="minorHAnsi" w:cstheme="minorHAnsi"/>
          <w:szCs w:val="22"/>
        </w:rPr>
      </w:pPr>
    </w:p>
    <w:p w14:paraId="65D76AF2"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8. Differentiated Mitigation and Recovery Approaches </w:t>
      </w:r>
      <w:r w:rsidRPr="00B845AF">
        <w:rPr>
          <w:rFonts w:asciiTheme="minorHAnsi" w:hAnsiTheme="minorHAnsi" w:cstheme="minorHAnsi"/>
          <w:szCs w:val="22"/>
        </w:rPr>
        <w:t xml:space="preserve">Members supported tailored recovery and mitigation approaches for different FAD types to encourage adoption of lower-impact designs, which could be better investigated under the project proposed by SPC to SC22 (Part 3 of project proposal). </w:t>
      </w:r>
    </w:p>
    <w:p w14:paraId="142EBE1A" w14:textId="77777777" w:rsidR="00985E63" w:rsidRPr="00B845AF" w:rsidRDefault="00985E63" w:rsidP="00985E63">
      <w:pPr>
        <w:jc w:val="both"/>
        <w:rPr>
          <w:rFonts w:asciiTheme="minorHAnsi" w:hAnsiTheme="minorHAnsi" w:cstheme="minorHAnsi"/>
          <w:szCs w:val="22"/>
        </w:rPr>
      </w:pPr>
    </w:p>
    <w:p w14:paraId="603FAC68"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9. Prevention of dFAD Loss </w:t>
      </w:r>
      <w:r w:rsidRPr="00B845AF">
        <w:rPr>
          <w:rFonts w:asciiTheme="minorHAnsi" w:hAnsiTheme="minorHAnsi" w:cstheme="minorHAnsi"/>
          <w:szCs w:val="22"/>
        </w:rPr>
        <w:t xml:space="preserve">Members emphasised placing greater focus on preventative measures to reduce dFAD loss, including improved designs, tracking, management practices, and operational measures to minimise abandonment, loss, and strandings. </w:t>
      </w:r>
    </w:p>
    <w:p w14:paraId="05C5FE22" w14:textId="77777777" w:rsidR="00985E63" w:rsidRPr="00B845AF" w:rsidRDefault="00985E63" w:rsidP="00985E63">
      <w:pPr>
        <w:jc w:val="both"/>
        <w:rPr>
          <w:rFonts w:asciiTheme="minorHAnsi" w:hAnsiTheme="minorHAnsi" w:cstheme="minorHAnsi"/>
          <w:szCs w:val="22"/>
        </w:rPr>
      </w:pPr>
    </w:p>
    <w:p w14:paraId="17B3047E"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10. dFAD Recovery Options and Practical Considerations </w:t>
      </w:r>
      <w:r w:rsidRPr="00B845AF">
        <w:rPr>
          <w:rFonts w:asciiTheme="minorHAnsi" w:hAnsiTheme="minorHAnsi" w:cstheme="minorHAnsi"/>
          <w:szCs w:val="22"/>
        </w:rPr>
        <w:t xml:space="preserve">Members supported evaluating cost-effective dFAD recovery options (Part 3 of project proposal), including dedicated recovery vessels and existing fleets, while recognising operational and sanitation challenges. Members emphasised that recovery and monitoring measures should be practical, effective, and economically feasible for industry implementation. </w:t>
      </w:r>
    </w:p>
    <w:p w14:paraId="49C01AB5" w14:textId="77777777" w:rsidR="00985E63" w:rsidRPr="00B845AF" w:rsidRDefault="00985E63" w:rsidP="00985E63">
      <w:pPr>
        <w:jc w:val="both"/>
        <w:rPr>
          <w:rFonts w:asciiTheme="minorHAnsi" w:hAnsiTheme="minorHAnsi" w:cstheme="minorHAnsi"/>
          <w:szCs w:val="22"/>
        </w:rPr>
      </w:pPr>
    </w:p>
    <w:p w14:paraId="69CD6FC9"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11. Next Steps and Way Forward </w:t>
      </w:r>
      <w:r w:rsidRPr="00B845AF">
        <w:rPr>
          <w:rFonts w:asciiTheme="minorHAnsi" w:hAnsiTheme="minorHAnsi" w:cstheme="minorHAnsi"/>
          <w:szCs w:val="22"/>
        </w:rPr>
        <w:t xml:space="preserve">Three project proposals will be developed and submitted through the Commission’s project ranking process for Member consideration and prioritisation, to support the continued implementation of FAD research and mitigation activities in the WCPO. </w:t>
      </w:r>
    </w:p>
    <w:p w14:paraId="094670A7" w14:textId="77777777" w:rsidR="00985E63" w:rsidRPr="00B845AF" w:rsidRDefault="00985E63" w:rsidP="00985E63">
      <w:pPr>
        <w:jc w:val="both"/>
        <w:rPr>
          <w:rFonts w:asciiTheme="minorHAnsi" w:hAnsiTheme="minorHAnsi" w:cstheme="minorHAnsi"/>
          <w:szCs w:val="22"/>
        </w:rPr>
      </w:pPr>
    </w:p>
    <w:p w14:paraId="6E5C6918"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b/>
          <w:bCs/>
          <w:szCs w:val="22"/>
        </w:rPr>
        <w:t xml:space="preserve">Conclusion </w:t>
      </w:r>
    </w:p>
    <w:p w14:paraId="6A38A0EC" w14:textId="77777777" w:rsidR="00985E63" w:rsidRPr="00B845AF" w:rsidRDefault="00985E63" w:rsidP="00985E63">
      <w:pPr>
        <w:jc w:val="both"/>
        <w:rPr>
          <w:rFonts w:asciiTheme="minorHAnsi" w:hAnsiTheme="minorHAnsi" w:cstheme="minorHAnsi"/>
          <w:szCs w:val="22"/>
        </w:rPr>
      </w:pPr>
      <w:r w:rsidRPr="00B845AF">
        <w:rPr>
          <w:rFonts w:asciiTheme="minorHAnsi" w:hAnsiTheme="minorHAnsi" w:cstheme="minorHAnsi"/>
          <w:szCs w:val="22"/>
        </w:rPr>
        <w:t>Members reaffirmed the importance of advancing FAD research and mitigation efforts in the WCPO, with particular emphasis on continuing the biodegradable dFAD work (monitoring framework, standards, availability of materials and industry support) [Part 1.a], developing a set of dFAD fishery indicators to support dFAD management, including quantifying number of deployments [Part 2]; and monitoring and reducing dFAD loss, abandonment and stranding ; as well as evaluating mitigation and recovery measures [Part 3]. The guidance provided will be used to refine the FAD Research Workplan and inform the development of project proposals for consideration through the Commission’s project prioritisation process.</w:t>
      </w:r>
    </w:p>
    <w:p w14:paraId="555D314C" w14:textId="77777777" w:rsidR="00715E6C" w:rsidRPr="00B845AF" w:rsidRDefault="00715E6C" w:rsidP="00715E6C">
      <w:pPr>
        <w:rPr>
          <w:rFonts w:asciiTheme="minorHAnsi" w:hAnsiTheme="minorHAnsi" w:cstheme="minorHAnsi"/>
          <w:szCs w:val="22"/>
        </w:rPr>
      </w:pPr>
      <w:r w:rsidRPr="00B845AF">
        <w:rPr>
          <w:rFonts w:asciiTheme="minorHAnsi" w:hAnsiTheme="minorHAnsi" w:cstheme="minorHAnsi"/>
          <w:szCs w:val="22"/>
        </w:rPr>
        <w:t xml:space="preserve"> </w:t>
      </w:r>
    </w:p>
    <w:p w14:paraId="753E67BF" w14:textId="77777777" w:rsidR="002766DF" w:rsidRPr="00B845AF" w:rsidRDefault="002766DF" w:rsidP="001A23E2">
      <w:pPr>
        <w:autoSpaceDE w:val="0"/>
        <w:autoSpaceDN w:val="0"/>
        <w:adjustRightInd w:val="0"/>
        <w:snapToGrid w:val="0"/>
        <w:jc w:val="both"/>
        <w:rPr>
          <w:rFonts w:asciiTheme="minorHAnsi" w:hAnsiTheme="minorHAnsi" w:cstheme="minorHAnsi"/>
          <w:szCs w:val="22"/>
        </w:rPr>
      </w:pPr>
    </w:p>
    <w:p w14:paraId="1E032A55" w14:textId="77777777" w:rsidR="002766DF" w:rsidRPr="00B845AF" w:rsidRDefault="002766DF" w:rsidP="001A23E2">
      <w:pPr>
        <w:autoSpaceDE w:val="0"/>
        <w:autoSpaceDN w:val="0"/>
        <w:adjustRightInd w:val="0"/>
        <w:snapToGrid w:val="0"/>
        <w:jc w:val="both"/>
        <w:rPr>
          <w:rFonts w:asciiTheme="minorHAnsi" w:hAnsiTheme="minorHAnsi" w:cstheme="minorHAnsi"/>
          <w:szCs w:val="22"/>
        </w:rPr>
      </w:pPr>
    </w:p>
    <w:p w14:paraId="77B8103E" w14:textId="77777777" w:rsidR="002766DF" w:rsidRPr="00B845AF" w:rsidRDefault="002766DF" w:rsidP="001A23E2">
      <w:pPr>
        <w:autoSpaceDE w:val="0"/>
        <w:autoSpaceDN w:val="0"/>
        <w:adjustRightInd w:val="0"/>
        <w:snapToGrid w:val="0"/>
        <w:jc w:val="both"/>
        <w:rPr>
          <w:rFonts w:asciiTheme="minorHAnsi" w:hAnsiTheme="minorHAnsi" w:cstheme="minorHAnsi"/>
          <w:szCs w:val="22"/>
        </w:rPr>
      </w:pPr>
    </w:p>
    <w:p w14:paraId="219323F7" w14:textId="77777777" w:rsidR="00261AF3" w:rsidRPr="00B845AF" w:rsidRDefault="00261AF3" w:rsidP="001A23E2">
      <w:pPr>
        <w:autoSpaceDE w:val="0"/>
        <w:autoSpaceDN w:val="0"/>
        <w:adjustRightInd w:val="0"/>
        <w:snapToGrid w:val="0"/>
        <w:jc w:val="both"/>
        <w:rPr>
          <w:rFonts w:asciiTheme="minorHAnsi" w:hAnsiTheme="minorHAnsi" w:cstheme="minorHAnsi"/>
          <w:szCs w:val="22"/>
        </w:rPr>
        <w:sectPr w:rsidR="00261AF3" w:rsidRPr="00B845AF" w:rsidSect="00F14811">
          <w:pgSz w:w="12240" w:h="15840" w:code="1"/>
          <w:pgMar w:top="1440" w:right="1440" w:bottom="1440" w:left="1440" w:header="720" w:footer="720" w:gutter="0"/>
          <w:cols w:space="720"/>
          <w:docGrid w:linePitch="360"/>
        </w:sectPr>
      </w:pPr>
    </w:p>
    <w:p w14:paraId="3B985F6D" w14:textId="17A2B589" w:rsidR="004A2594" w:rsidRPr="00B845AF" w:rsidRDefault="004A2594" w:rsidP="004A2594">
      <w:pPr>
        <w:adjustRightInd w:val="0"/>
        <w:snapToGrid w:val="0"/>
        <w:jc w:val="right"/>
        <w:rPr>
          <w:rFonts w:asciiTheme="minorHAnsi" w:hAnsiTheme="minorHAnsi" w:cstheme="minorHAnsi"/>
          <w:b/>
          <w:bCs/>
          <w:szCs w:val="22"/>
          <w:lang w:eastAsia="en-NZ"/>
        </w:rPr>
      </w:pPr>
      <w:r w:rsidRPr="00B845AF">
        <w:rPr>
          <w:rFonts w:asciiTheme="minorHAnsi" w:hAnsiTheme="minorHAnsi" w:cstheme="minorHAnsi"/>
          <w:b/>
          <w:bCs/>
          <w:szCs w:val="22"/>
          <w:lang w:eastAsia="en-NZ"/>
        </w:rPr>
        <w:lastRenderedPageBreak/>
        <w:t>Attachment L</w:t>
      </w:r>
    </w:p>
    <w:p w14:paraId="5F91A998" w14:textId="77777777" w:rsidR="004A2594" w:rsidRPr="00B845AF" w:rsidRDefault="004A2594" w:rsidP="004A2594">
      <w:pPr>
        <w:adjustRightInd w:val="0"/>
        <w:snapToGrid w:val="0"/>
        <w:jc w:val="center"/>
        <w:rPr>
          <w:rFonts w:asciiTheme="minorHAnsi" w:hAnsiTheme="minorHAnsi" w:cstheme="minorHAnsi"/>
          <w:b/>
          <w:bCs/>
          <w:szCs w:val="22"/>
          <w:lang w:eastAsia="en-NZ"/>
        </w:rPr>
      </w:pPr>
    </w:p>
    <w:p w14:paraId="0ADA3666" w14:textId="77777777" w:rsidR="00E16697" w:rsidRPr="00B845AF" w:rsidRDefault="00E16697" w:rsidP="00E16697">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7065A2FF" w14:textId="77777777" w:rsidR="00E16697" w:rsidRPr="00B845AF" w:rsidRDefault="00E16697" w:rsidP="00E16697">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062AF678" w14:textId="77777777" w:rsidR="00E16697" w:rsidRPr="00B845AF" w:rsidRDefault="00E16697" w:rsidP="00E16697">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393E0760" w14:textId="77777777" w:rsidR="00E16697" w:rsidRPr="00B845AF" w:rsidRDefault="00E16697" w:rsidP="00E16697">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1BADC70B" w14:textId="77777777" w:rsidR="00E16697" w:rsidRPr="00B845AF" w:rsidRDefault="00E16697" w:rsidP="00E16697">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E16697" w:rsidRPr="00B845AF" w14:paraId="11C7BD8B" w14:textId="77777777" w:rsidTr="00835632">
        <w:tc>
          <w:tcPr>
            <w:tcW w:w="9576" w:type="dxa"/>
            <w:hideMark/>
          </w:tcPr>
          <w:p w14:paraId="74B9AA50" w14:textId="77777777" w:rsidR="00E16697" w:rsidRPr="00B845AF" w:rsidRDefault="00E16697"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Theme="minorEastAsia" w:hAnsiTheme="minorHAnsi" w:cstheme="minorHAnsi"/>
                <w:b/>
                <w:bCs/>
                <w:sz w:val="24"/>
                <w:szCs w:val="28"/>
                <w:lang w:eastAsia="ko-KR"/>
              </w:rPr>
              <w:t>Report from ISG08</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100" w:name="_Toc239261448"/>
            <w:r w:rsidRPr="00B845AF">
              <w:rPr>
                <w:rFonts w:asciiTheme="minorHAnsi" w:eastAsiaTheme="minorEastAsia" w:hAnsiTheme="minorHAnsi" w:cstheme="minorHAnsi"/>
                <w:b/>
                <w:bCs/>
                <w:sz w:val="28"/>
                <w:szCs w:val="28"/>
                <w:lang w:eastAsia="ko-KR"/>
              </w:rPr>
              <w:instrText>SUMMARY REPORT</w:instrText>
            </w:r>
            <w:bookmarkEnd w:id="100"/>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29574544" w14:textId="77777777" w:rsidR="002766DF" w:rsidRPr="00B845AF" w:rsidRDefault="002766DF" w:rsidP="001A23E2">
      <w:pPr>
        <w:autoSpaceDE w:val="0"/>
        <w:autoSpaceDN w:val="0"/>
        <w:adjustRightInd w:val="0"/>
        <w:snapToGrid w:val="0"/>
        <w:jc w:val="both"/>
        <w:rPr>
          <w:rFonts w:asciiTheme="minorHAnsi" w:hAnsiTheme="minorHAnsi" w:cstheme="minorHAnsi"/>
          <w:szCs w:val="22"/>
        </w:rPr>
      </w:pPr>
    </w:p>
    <w:p w14:paraId="1A806B98" w14:textId="77777777" w:rsidR="004A2594" w:rsidRPr="00B845AF" w:rsidRDefault="004A2594" w:rsidP="001A23E2">
      <w:pPr>
        <w:autoSpaceDE w:val="0"/>
        <w:autoSpaceDN w:val="0"/>
        <w:adjustRightInd w:val="0"/>
        <w:snapToGrid w:val="0"/>
        <w:jc w:val="both"/>
        <w:rPr>
          <w:rFonts w:asciiTheme="minorHAnsi" w:hAnsiTheme="minorHAnsi" w:cstheme="minorHAnsi"/>
          <w:szCs w:val="22"/>
        </w:rPr>
      </w:pPr>
    </w:p>
    <w:p w14:paraId="5FD042AF"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b/>
          <w:bCs/>
          <w:szCs w:val="22"/>
        </w:rPr>
        <w:t>Summary Report of ISG08 Sea Turtles (Rev02)</w:t>
      </w:r>
    </w:p>
    <w:p w14:paraId="539B0E76"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 xml:space="preserve">ISG08 (Sea Turtles) discussed proposed future work to continue exploration of leatherback sea turtle interactions in WCPO deep-set longline fisheries, as included in WCPFC-SC22-2026-EB-WP08 and WCPFC-SC22-2026-EB-WP10.  </w:t>
      </w:r>
    </w:p>
    <w:p w14:paraId="7E86AB5E" w14:textId="77777777" w:rsidR="00434B2C" w:rsidRPr="00B845AF" w:rsidRDefault="00434B2C" w:rsidP="00434B2C">
      <w:pPr>
        <w:jc w:val="both"/>
        <w:rPr>
          <w:rFonts w:asciiTheme="minorHAnsi" w:hAnsiTheme="minorHAnsi" w:cstheme="minorHAnsi"/>
          <w:szCs w:val="22"/>
        </w:rPr>
      </w:pPr>
    </w:p>
    <w:p w14:paraId="0F692193"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rPr>
        <w:t>WCPFC-</w:t>
      </w:r>
      <w:hyperlink r:id="rId145">
        <w:r w:rsidRPr="00B845AF">
          <w:rPr>
            <w:rStyle w:val="Hyperlink"/>
            <w:rFonts w:asciiTheme="minorHAnsi" w:hAnsiTheme="minorHAnsi" w:cstheme="minorHAnsi"/>
            <w:szCs w:val="22"/>
          </w:rPr>
          <w:t>SC22-2026-EB-WP08 - Identifying risk factors in leatherback bycatch in Hawaii’s deep-set longline fishery</w:t>
        </w:r>
      </w:hyperlink>
    </w:p>
    <w:p w14:paraId="4F39B195" w14:textId="77777777" w:rsidR="00434B2C" w:rsidRPr="00B845AF" w:rsidRDefault="00434B2C" w:rsidP="00434B2C">
      <w:pPr>
        <w:jc w:val="both"/>
        <w:rPr>
          <w:rFonts w:asciiTheme="minorHAnsi" w:hAnsiTheme="minorHAnsi" w:cstheme="minorHAnsi"/>
          <w:szCs w:val="22"/>
        </w:rPr>
      </w:pPr>
    </w:p>
    <w:p w14:paraId="735E8F45"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 xml:space="preserve">Regarding WCPFC-SC22-2026-EB-WP08, ISG08 discussed the following questions: </w:t>
      </w:r>
    </w:p>
    <w:p w14:paraId="0DAB4AB9" w14:textId="77777777" w:rsidR="00434B2C" w:rsidRPr="00B845AF" w:rsidRDefault="00434B2C" w:rsidP="00D47778">
      <w:pPr>
        <w:numPr>
          <w:ilvl w:val="0"/>
          <w:numId w:val="46"/>
        </w:numPr>
        <w:jc w:val="both"/>
        <w:rPr>
          <w:rFonts w:asciiTheme="minorHAnsi" w:hAnsiTheme="minorHAnsi" w:cstheme="minorHAnsi"/>
          <w:szCs w:val="22"/>
        </w:rPr>
      </w:pPr>
      <w:r w:rsidRPr="00B845AF">
        <w:rPr>
          <w:rFonts w:asciiTheme="minorHAnsi" w:hAnsiTheme="minorHAnsi" w:cstheme="minorHAnsi"/>
          <w:szCs w:val="22"/>
        </w:rPr>
        <w:t>Answer any questions on the modeling approach</w:t>
      </w:r>
    </w:p>
    <w:p w14:paraId="7F5E4A09" w14:textId="77777777" w:rsidR="00434B2C" w:rsidRPr="00B845AF" w:rsidRDefault="00434B2C" w:rsidP="00D47778">
      <w:pPr>
        <w:numPr>
          <w:ilvl w:val="0"/>
          <w:numId w:val="46"/>
        </w:numPr>
        <w:jc w:val="both"/>
        <w:rPr>
          <w:rFonts w:asciiTheme="minorHAnsi" w:hAnsiTheme="minorHAnsi" w:cstheme="minorHAnsi"/>
          <w:szCs w:val="22"/>
        </w:rPr>
      </w:pPr>
      <w:r w:rsidRPr="00B845AF">
        <w:rPr>
          <w:rFonts w:asciiTheme="minorHAnsi" w:hAnsiTheme="minorHAnsi" w:cstheme="minorHAnsi"/>
          <w:szCs w:val="22"/>
        </w:rPr>
        <w:t>Discuss data standardization</w:t>
      </w:r>
    </w:p>
    <w:p w14:paraId="5F4B2943" w14:textId="77777777" w:rsidR="00434B2C" w:rsidRPr="00B845AF" w:rsidRDefault="00434B2C" w:rsidP="00D47778">
      <w:pPr>
        <w:numPr>
          <w:ilvl w:val="0"/>
          <w:numId w:val="46"/>
        </w:numPr>
        <w:jc w:val="both"/>
        <w:rPr>
          <w:rFonts w:asciiTheme="minorHAnsi" w:hAnsiTheme="minorHAnsi" w:cstheme="minorHAnsi"/>
          <w:szCs w:val="22"/>
        </w:rPr>
      </w:pPr>
      <w:r w:rsidRPr="00B845AF">
        <w:rPr>
          <w:rFonts w:asciiTheme="minorHAnsi" w:hAnsiTheme="minorHAnsi" w:cstheme="minorHAnsi"/>
          <w:szCs w:val="22"/>
        </w:rPr>
        <w:t>Request ROP data from interested CCMs that have not yet provided ROP data</w:t>
      </w:r>
    </w:p>
    <w:p w14:paraId="617AE20E"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 xml:space="preserve">Participants in ISG08 expressed general overall support for the ongoing ROP data analysis, led by the United States, to further explore leatherback sea turtle interactions in WCPO longline fisheries. There were </w:t>
      </w:r>
      <w:proofErr w:type="gramStart"/>
      <w:r w:rsidRPr="00B845AF">
        <w:rPr>
          <w:rFonts w:asciiTheme="minorHAnsi" w:hAnsiTheme="minorHAnsi" w:cstheme="minorHAnsi"/>
          <w:szCs w:val="22"/>
        </w:rPr>
        <w:t>a number of</w:t>
      </w:r>
      <w:proofErr w:type="gramEnd"/>
      <w:r w:rsidRPr="00B845AF">
        <w:rPr>
          <w:rFonts w:asciiTheme="minorHAnsi" w:hAnsiTheme="minorHAnsi" w:cstheme="minorHAnsi"/>
          <w:szCs w:val="22"/>
        </w:rPr>
        <w:t xml:space="preserve"> questions regarding data to be included and assumptions in the model. The United States expressed the intention to convene a virtual meeting to continue discussions with interested CCMs regarding the model assumptions and data standardization (e.g., hook type and definition of deep-set) following the conclusion of SC.</w:t>
      </w:r>
    </w:p>
    <w:p w14:paraId="423F1072" w14:textId="77777777" w:rsidR="00434B2C" w:rsidRPr="00B845AF" w:rsidRDefault="00434B2C" w:rsidP="00434B2C">
      <w:pPr>
        <w:jc w:val="both"/>
        <w:rPr>
          <w:rFonts w:asciiTheme="minorHAnsi" w:hAnsiTheme="minorHAnsi" w:cstheme="minorHAnsi"/>
          <w:szCs w:val="22"/>
        </w:rPr>
      </w:pPr>
    </w:p>
    <w:p w14:paraId="0866CBB2"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Japan also noted plans to pursue independent analysis, as described in WCPFC-</w:t>
      </w:r>
      <w:hyperlink r:id="rId146">
        <w:r w:rsidRPr="00B845AF">
          <w:rPr>
            <w:rStyle w:val="Hyperlink"/>
            <w:rFonts w:asciiTheme="minorHAnsi" w:hAnsiTheme="minorHAnsi" w:cstheme="minorHAnsi"/>
            <w:szCs w:val="22"/>
          </w:rPr>
          <w:t>SC22-2026-EB-IP10</w:t>
        </w:r>
      </w:hyperlink>
      <w:r w:rsidRPr="00B845AF">
        <w:rPr>
          <w:rFonts w:asciiTheme="minorHAnsi" w:hAnsiTheme="minorHAnsi" w:cstheme="minorHAnsi"/>
          <w:szCs w:val="22"/>
        </w:rPr>
        <w:t>.</w:t>
      </w:r>
    </w:p>
    <w:p w14:paraId="6AA11CD1" w14:textId="77777777" w:rsidR="00434B2C" w:rsidRPr="00B845AF" w:rsidRDefault="00434B2C" w:rsidP="00434B2C">
      <w:pPr>
        <w:jc w:val="both"/>
        <w:rPr>
          <w:rFonts w:asciiTheme="minorHAnsi" w:hAnsiTheme="minorHAnsi" w:cstheme="minorHAnsi"/>
          <w:szCs w:val="22"/>
        </w:rPr>
      </w:pPr>
    </w:p>
    <w:p w14:paraId="41DB5DC2"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rPr>
        <w:t>WCPFC-</w:t>
      </w:r>
      <w:hyperlink r:id="rId147">
        <w:r w:rsidRPr="00B845AF">
          <w:rPr>
            <w:rStyle w:val="Hyperlink"/>
            <w:rFonts w:asciiTheme="minorHAnsi" w:hAnsiTheme="minorHAnsi" w:cstheme="minorHAnsi"/>
            <w:szCs w:val="22"/>
          </w:rPr>
          <w:t>SC22-2026-EB-WP10 - Proposal to Amend the Regional Observer Programme Minimum Standard Data Fields and Sci Data to Support Sea Turtle Conservation and Management</w:t>
        </w:r>
      </w:hyperlink>
    </w:p>
    <w:p w14:paraId="17A8C188" w14:textId="77777777" w:rsidR="00434B2C" w:rsidRPr="00B845AF" w:rsidRDefault="00434B2C" w:rsidP="00434B2C">
      <w:pPr>
        <w:jc w:val="both"/>
        <w:rPr>
          <w:rFonts w:asciiTheme="minorHAnsi" w:hAnsiTheme="minorHAnsi" w:cstheme="minorHAnsi"/>
          <w:szCs w:val="22"/>
        </w:rPr>
      </w:pPr>
    </w:p>
    <w:p w14:paraId="40154105"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Regarding WCPFC-SC22</w:t>
      </w:r>
      <w:r w:rsidRPr="00B845AF">
        <w:rPr>
          <w:rFonts w:asciiTheme="minorHAnsi" w:eastAsiaTheme="minorEastAsia" w:hAnsiTheme="minorHAnsi" w:cstheme="minorHAnsi"/>
          <w:szCs w:val="22"/>
          <w:lang w:eastAsia="ko-KR"/>
        </w:rPr>
        <w:t>-2026-EB</w:t>
      </w:r>
      <w:r w:rsidRPr="00B845AF">
        <w:rPr>
          <w:rFonts w:asciiTheme="minorHAnsi" w:hAnsiTheme="minorHAnsi" w:cstheme="minorHAnsi"/>
          <w:szCs w:val="22"/>
        </w:rPr>
        <w:t xml:space="preserve">-WP10, ISG08 discussed proposed modifications to the Scientific Data to be Provided to the Commission (SciData) and ROP Minimum Standard Data Fields (MSDF). Regarding the proposed revisions to </w:t>
      </w:r>
      <w:proofErr w:type="gramStart"/>
      <w:r w:rsidRPr="00B845AF">
        <w:rPr>
          <w:rFonts w:asciiTheme="minorHAnsi" w:hAnsiTheme="minorHAnsi" w:cstheme="minorHAnsi"/>
          <w:szCs w:val="22"/>
        </w:rPr>
        <w:t>the SciData</w:t>
      </w:r>
      <w:proofErr w:type="gramEnd"/>
      <w:r w:rsidRPr="00B845AF">
        <w:rPr>
          <w:rFonts w:asciiTheme="minorHAnsi" w:hAnsiTheme="minorHAnsi" w:cstheme="minorHAnsi"/>
          <w:szCs w:val="22"/>
        </w:rPr>
        <w:t xml:space="preserve"> </w:t>
      </w:r>
      <w:proofErr w:type="gramStart"/>
      <w:r w:rsidRPr="00B845AF">
        <w:rPr>
          <w:rFonts w:asciiTheme="minorHAnsi" w:hAnsiTheme="minorHAnsi" w:cstheme="minorHAnsi"/>
          <w:szCs w:val="22"/>
        </w:rPr>
        <w:t>in order to</w:t>
      </w:r>
      <w:proofErr w:type="gramEnd"/>
      <w:r w:rsidRPr="00B845AF">
        <w:rPr>
          <w:rFonts w:asciiTheme="minorHAnsi" w:hAnsiTheme="minorHAnsi" w:cstheme="minorHAnsi"/>
          <w:szCs w:val="22"/>
        </w:rPr>
        <w:t xml:space="preserve"> reflect current reporting requirements in CMM 2018-04, there continues to be some confusion regarding the current requirements. It was suggested that some additional discussions should occur in the margins to clarify understanding of current requirements. There was general agreement that </w:t>
      </w:r>
      <w:proofErr w:type="gramStart"/>
      <w:r w:rsidRPr="00B845AF">
        <w:rPr>
          <w:rFonts w:asciiTheme="minorHAnsi" w:hAnsiTheme="minorHAnsi" w:cstheme="minorHAnsi"/>
          <w:szCs w:val="22"/>
        </w:rPr>
        <w:t>hook</w:t>
      </w:r>
      <w:proofErr w:type="gramEnd"/>
      <w:r w:rsidRPr="00B845AF">
        <w:rPr>
          <w:rFonts w:asciiTheme="minorHAnsi" w:hAnsiTheme="minorHAnsi" w:cstheme="minorHAnsi"/>
          <w:szCs w:val="22"/>
        </w:rPr>
        <w:t xml:space="preserve"> size and type could be added to the SciData as a voluntary/non-binding submission. Regarding the proposed revisions to the ROP MSDF to collect details on hook, bait, and remaining gear when a sea turtle is brought on deck. There was also a recommendation that such information should only be linked to actual sea turtle interaction records rather than in the SciData.</w:t>
      </w:r>
    </w:p>
    <w:p w14:paraId="0A6C22A7" w14:textId="77777777" w:rsidR="00434B2C" w:rsidRPr="00B845AF" w:rsidRDefault="00434B2C" w:rsidP="00434B2C">
      <w:pPr>
        <w:jc w:val="both"/>
        <w:rPr>
          <w:rFonts w:asciiTheme="minorHAnsi" w:hAnsiTheme="minorHAnsi" w:cstheme="minorHAnsi"/>
          <w:szCs w:val="22"/>
        </w:rPr>
      </w:pPr>
    </w:p>
    <w:p w14:paraId="717A1F3B"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 xml:space="preserve">There was a suggestion that the ROP MSDF should be modified to record information regarding remaining gear left on sea turtles both after they had </w:t>
      </w:r>
      <w:proofErr w:type="gramStart"/>
      <w:r w:rsidRPr="00B845AF">
        <w:rPr>
          <w:rFonts w:asciiTheme="minorHAnsi" w:hAnsiTheme="minorHAnsi" w:cstheme="minorHAnsi"/>
          <w:szCs w:val="22"/>
        </w:rPr>
        <w:t>line removed</w:t>
      </w:r>
      <w:proofErr w:type="gramEnd"/>
      <w:r w:rsidRPr="00B845AF">
        <w:rPr>
          <w:rFonts w:asciiTheme="minorHAnsi" w:hAnsiTheme="minorHAnsi" w:cstheme="minorHAnsi"/>
          <w:szCs w:val="22"/>
        </w:rPr>
        <w:t xml:space="preserve"> while in the water as well as if they had been </w:t>
      </w:r>
      <w:r w:rsidRPr="00B845AF">
        <w:rPr>
          <w:rFonts w:asciiTheme="minorHAnsi" w:hAnsiTheme="minorHAnsi" w:cstheme="minorHAnsi"/>
          <w:szCs w:val="22"/>
        </w:rPr>
        <w:lastRenderedPageBreak/>
        <w:t xml:space="preserve">brought on deck. Specifically, because the current sea turtle handling guidelines suggest that it is preferable to release the animal </w:t>
      </w:r>
      <w:proofErr w:type="gramStart"/>
      <w:r w:rsidRPr="00B845AF">
        <w:rPr>
          <w:rFonts w:asciiTheme="minorHAnsi" w:hAnsiTheme="minorHAnsi" w:cstheme="minorHAnsi"/>
          <w:szCs w:val="22"/>
        </w:rPr>
        <w:t>in</w:t>
      </w:r>
      <w:proofErr w:type="gramEnd"/>
      <w:r w:rsidRPr="00B845AF">
        <w:rPr>
          <w:rFonts w:asciiTheme="minorHAnsi" w:hAnsiTheme="minorHAnsi" w:cstheme="minorHAnsi"/>
          <w:szCs w:val="22"/>
        </w:rPr>
        <w:t xml:space="preserve"> the water.</w:t>
      </w:r>
    </w:p>
    <w:p w14:paraId="750D0DF8" w14:textId="77777777" w:rsidR="00434B2C" w:rsidRPr="00B845AF" w:rsidRDefault="00434B2C" w:rsidP="00434B2C">
      <w:pPr>
        <w:jc w:val="both"/>
        <w:rPr>
          <w:rFonts w:asciiTheme="minorHAnsi" w:hAnsiTheme="minorHAnsi" w:cstheme="minorHAnsi"/>
          <w:szCs w:val="22"/>
        </w:rPr>
      </w:pPr>
    </w:p>
    <w:p w14:paraId="10DDE6E5"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szCs w:val="22"/>
        </w:rPr>
        <w:t xml:space="preserve">The following recommendations are suggested for consideration by the EB theme based on discussions in ISG08: </w:t>
      </w:r>
    </w:p>
    <w:p w14:paraId="2BEFA626" w14:textId="77777777" w:rsidR="00434B2C" w:rsidRPr="00B845AF" w:rsidRDefault="00434B2C" w:rsidP="00434B2C">
      <w:pPr>
        <w:jc w:val="both"/>
        <w:rPr>
          <w:rFonts w:asciiTheme="minorHAnsi" w:hAnsiTheme="minorHAnsi" w:cstheme="minorHAnsi"/>
          <w:szCs w:val="22"/>
        </w:rPr>
      </w:pPr>
    </w:p>
    <w:p w14:paraId="23C5DA2C" w14:textId="77777777" w:rsidR="00434B2C" w:rsidRPr="00B845AF" w:rsidRDefault="00434B2C" w:rsidP="00434B2C">
      <w:pPr>
        <w:jc w:val="both"/>
        <w:rPr>
          <w:rFonts w:asciiTheme="minorHAnsi" w:hAnsiTheme="minorHAnsi" w:cstheme="minorHAnsi"/>
          <w:i/>
          <w:iCs/>
          <w:szCs w:val="22"/>
        </w:rPr>
      </w:pPr>
      <w:r w:rsidRPr="00B845AF">
        <w:rPr>
          <w:rFonts w:asciiTheme="minorHAnsi" w:hAnsiTheme="minorHAnsi" w:cstheme="minorHAnsi"/>
          <w:i/>
          <w:iCs/>
          <w:szCs w:val="22"/>
        </w:rPr>
        <w:t xml:space="preserve">SC22 recommended an analysis of leatherback sea turtle bycatch in longline fisheries in the WCPO led by the United States in collaboration with participating CCMs using joint ROP data, with results to be presented at SC23. </w:t>
      </w:r>
    </w:p>
    <w:p w14:paraId="784F7FB4" w14:textId="77777777" w:rsidR="00434B2C" w:rsidRPr="00B845AF" w:rsidRDefault="00434B2C" w:rsidP="00434B2C">
      <w:pPr>
        <w:jc w:val="both"/>
        <w:rPr>
          <w:rFonts w:asciiTheme="minorHAnsi" w:hAnsiTheme="minorHAnsi" w:cstheme="minorHAnsi"/>
          <w:i/>
          <w:iCs/>
          <w:szCs w:val="22"/>
        </w:rPr>
      </w:pPr>
    </w:p>
    <w:p w14:paraId="1CE325A9" w14:textId="77777777" w:rsidR="00434B2C" w:rsidRPr="00B845AF" w:rsidRDefault="00434B2C" w:rsidP="00434B2C">
      <w:pPr>
        <w:jc w:val="both"/>
        <w:rPr>
          <w:rFonts w:asciiTheme="minorHAnsi" w:hAnsiTheme="minorHAnsi" w:cstheme="minorHAnsi"/>
          <w:i/>
          <w:iCs/>
          <w:szCs w:val="22"/>
        </w:rPr>
      </w:pPr>
      <w:r w:rsidRPr="00B845AF">
        <w:rPr>
          <w:rFonts w:asciiTheme="minorHAnsi" w:hAnsiTheme="minorHAnsi" w:cstheme="minorHAnsi"/>
          <w:i/>
          <w:iCs/>
          <w:szCs w:val="22"/>
        </w:rPr>
        <w:t>SC22 encourage</w:t>
      </w:r>
      <w:r w:rsidRPr="00B845AF">
        <w:rPr>
          <w:rFonts w:asciiTheme="minorHAnsi" w:eastAsiaTheme="minorEastAsia" w:hAnsiTheme="minorHAnsi" w:cstheme="minorHAnsi"/>
          <w:i/>
          <w:iCs/>
          <w:szCs w:val="22"/>
          <w:lang w:eastAsia="ko-KR"/>
        </w:rPr>
        <w:t>d</w:t>
      </w:r>
      <w:r w:rsidRPr="00B845AF">
        <w:rPr>
          <w:rFonts w:asciiTheme="minorHAnsi" w:hAnsiTheme="minorHAnsi" w:cstheme="minorHAnsi"/>
          <w:i/>
          <w:iCs/>
          <w:szCs w:val="22"/>
        </w:rPr>
        <w:t xml:space="preserve"> CCMs to share ROP data in support of this analysis.</w:t>
      </w:r>
    </w:p>
    <w:p w14:paraId="5128953E" w14:textId="77777777" w:rsidR="00434B2C" w:rsidRPr="00B845AF" w:rsidRDefault="00434B2C" w:rsidP="00434B2C">
      <w:pPr>
        <w:jc w:val="both"/>
        <w:rPr>
          <w:rFonts w:asciiTheme="minorHAnsi" w:hAnsiTheme="minorHAnsi" w:cstheme="minorHAnsi"/>
          <w:i/>
          <w:iCs/>
          <w:szCs w:val="22"/>
        </w:rPr>
      </w:pPr>
    </w:p>
    <w:p w14:paraId="1CF244FE" w14:textId="77777777" w:rsidR="00434B2C" w:rsidRPr="00B845AF" w:rsidRDefault="00434B2C" w:rsidP="00434B2C">
      <w:pPr>
        <w:jc w:val="both"/>
        <w:rPr>
          <w:rFonts w:asciiTheme="minorHAnsi" w:hAnsiTheme="minorHAnsi" w:cstheme="minorHAnsi"/>
          <w:szCs w:val="22"/>
        </w:rPr>
      </w:pPr>
      <w:r w:rsidRPr="00B845AF">
        <w:rPr>
          <w:rFonts w:asciiTheme="minorHAnsi" w:hAnsiTheme="minorHAnsi" w:cstheme="minorHAnsi"/>
          <w:i/>
          <w:iCs/>
          <w:szCs w:val="22"/>
        </w:rPr>
        <w:t>SC22 recommended modifications to the ROP MSDF to, where possible, collect hook type and hook size, bait type, branch line material, and estimated amount of remaining gear on sea turtles released to sea.</w:t>
      </w:r>
    </w:p>
    <w:p w14:paraId="154D731B" w14:textId="77777777" w:rsidR="00434B2C" w:rsidRPr="00B845AF" w:rsidRDefault="00434B2C" w:rsidP="00434B2C">
      <w:pPr>
        <w:jc w:val="both"/>
        <w:rPr>
          <w:rFonts w:asciiTheme="minorHAnsi" w:hAnsiTheme="minorHAnsi" w:cstheme="minorHAnsi"/>
          <w:szCs w:val="22"/>
        </w:rPr>
      </w:pPr>
    </w:p>
    <w:p w14:paraId="57459A70" w14:textId="77777777" w:rsidR="00434B2C" w:rsidRPr="00B845AF" w:rsidRDefault="00434B2C" w:rsidP="00434B2C">
      <w:pPr>
        <w:jc w:val="both"/>
        <w:rPr>
          <w:rFonts w:asciiTheme="minorHAnsi" w:hAnsiTheme="minorHAnsi" w:cstheme="minorHAnsi"/>
          <w:i/>
          <w:iCs/>
          <w:szCs w:val="22"/>
        </w:rPr>
      </w:pPr>
      <w:r w:rsidRPr="00B845AF">
        <w:rPr>
          <w:rFonts w:asciiTheme="minorHAnsi" w:hAnsiTheme="minorHAnsi" w:cstheme="minorHAnsi"/>
          <w:i/>
          <w:iCs/>
          <w:szCs w:val="22"/>
        </w:rPr>
        <w:t xml:space="preserve">SC22 noted that some CCMs recommend that hook type and hook size be added to the SciData as a voluntary/non-binding element, </w:t>
      </w:r>
      <w:proofErr w:type="gramStart"/>
      <w:r w:rsidRPr="00B845AF">
        <w:rPr>
          <w:rFonts w:asciiTheme="minorHAnsi" w:hAnsiTheme="minorHAnsi" w:cstheme="minorHAnsi"/>
          <w:i/>
          <w:iCs/>
          <w:szCs w:val="22"/>
        </w:rPr>
        <w:t>similar to</w:t>
      </w:r>
      <w:proofErr w:type="gramEnd"/>
      <w:r w:rsidRPr="00B845AF">
        <w:rPr>
          <w:rFonts w:asciiTheme="minorHAnsi" w:hAnsiTheme="minorHAnsi" w:cstheme="minorHAnsi"/>
          <w:i/>
          <w:iCs/>
          <w:szCs w:val="22"/>
        </w:rPr>
        <w:t xml:space="preserve"> bait type. </w:t>
      </w:r>
    </w:p>
    <w:p w14:paraId="2442AD68" w14:textId="77777777" w:rsidR="00434B2C" w:rsidRPr="00B845AF" w:rsidRDefault="00434B2C" w:rsidP="00434B2C">
      <w:pPr>
        <w:jc w:val="both"/>
        <w:rPr>
          <w:rFonts w:asciiTheme="minorHAnsi" w:hAnsiTheme="minorHAnsi" w:cstheme="minorHAnsi"/>
          <w:szCs w:val="22"/>
        </w:rPr>
      </w:pPr>
    </w:p>
    <w:p w14:paraId="2D0325C8" w14:textId="77777777" w:rsidR="00434B2C" w:rsidRPr="00B845AF" w:rsidRDefault="00434B2C" w:rsidP="00434B2C">
      <w:pPr>
        <w:jc w:val="both"/>
        <w:rPr>
          <w:rFonts w:asciiTheme="minorHAnsi" w:hAnsiTheme="minorHAnsi" w:cstheme="minorHAnsi"/>
          <w:i/>
          <w:iCs/>
          <w:szCs w:val="22"/>
        </w:rPr>
      </w:pPr>
      <w:r w:rsidRPr="00B845AF">
        <w:rPr>
          <w:rFonts w:asciiTheme="minorHAnsi" w:hAnsiTheme="minorHAnsi" w:cstheme="minorHAnsi"/>
          <w:i/>
          <w:iCs/>
          <w:szCs w:val="22"/>
        </w:rPr>
        <w:t xml:space="preserve">SC22 recommended further </w:t>
      </w:r>
      <w:proofErr w:type="gramStart"/>
      <w:r w:rsidRPr="00B845AF">
        <w:rPr>
          <w:rFonts w:asciiTheme="minorHAnsi" w:hAnsiTheme="minorHAnsi" w:cstheme="minorHAnsi"/>
          <w:i/>
          <w:iCs/>
          <w:szCs w:val="22"/>
        </w:rPr>
        <w:t>work</w:t>
      </w:r>
      <w:proofErr w:type="gramEnd"/>
      <w:r w:rsidRPr="00B845AF">
        <w:rPr>
          <w:rFonts w:asciiTheme="minorHAnsi" w:hAnsiTheme="minorHAnsi" w:cstheme="minorHAnsi"/>
          <w:i/>
          <w:iCs/>
          <w:szCs w:val="22"/>
        </w:rPr>
        <w:t xml:space="preserve"> to explore ways to collect information regarding the amount of remaining gear when a sea turtle is released </w:t>
      </w:r>
      <w:proofErr w:type="gramStart"/>
      <w:r w:rsidRPr="00B845AF">
        <w:rPr>
          <w:rFonts w:asciiTheme="minorHAnsi" w:hAnsiTheme="minorHAnsi" w:cstheme="minorHAnsi"/>
          <w:i/>
          <w:iCs/>
          <w:szCs w:val="22"/>
        </w:rPr>
        <w:t>in</w:t>
      </w:r>
      <w:proofErr w:type="gramEnd"/>
      <w:r w:rsidRPr="00B845AF">
        <w:rPr>
          <w:rFonts w:asciiTheme="minorHAnsi" w:hAnsiTheme="minorHAnsi" w:cstheme="minorHAnsi"/>
          <w:i/>
          <w:iCs/>
          <w:szCs w:val="22"/>
        </w:rPr>
        <w:t xml:space="preserve"> the water after an interaction with longline gear (</w:t>
      </w:r>
      <w:proofErr w:type="spellStart"/>
      <w:r w:rsidRPr="00B845AF">
        <w:rPr>
          <w:rFonts w:asciiTheme="minorHAnsi" w:hAnsiTheme="minorHAnsi" w:cstheme="minorHAnsi"/>
          <w:i/>
          <w:iCs/>
          <w:szCs w:val="22"/>
        </w:rPr>
        <w:t>ie</w:t>
      </w:r>
      <w:proofErr w:type="spellEnd"/>
      <w:r w:rsidRPr="00B845AF">
        <w:rPr>
          <w:rFonts w:asciiTheme="minorHAnsi" w:hAnsiTheme="minorHAnsi" w:cstheme="minorHAnsi"/>
          <w:i/>
          <w:iCs/>
          <w:szCs w:val="22"/>
        </w:rPr>
        <w:t>., not limited to when an animal is brought on board).</w:t>
      </w:r>
    </w:p>
    <w:p w14:paraId="4DF91968" w14:textId="77777777" w:rsidR="00B63833" w:rsidRPr="00B845AF" w:rsidRDefault="00B63833" w:rsidP="00B63833">
      <w:pPr>
        <w:rPr>
          <w:rFonts w:asciiTheme="minorHAnsi" w:hAnsiTheme="minorHAnsi" w:cstheme="minorHAnsi"/>
        </w:rPr>
        <w:sectPr w:rsidR="00B63833" w:rsidRPr="00B845AF" w:rsidSect="00F14811">
          <w:pgSz w:w="12240" w:h="15840" w:code="1"/>
          <w:pgMar w:top="1440" w:right="1440" w:bottom="1440" w:left="1440" w:header="708" w:footer="708" w:gutter="0"/>
          <w:cols w:space="708"/>
          <w:docGrid w:linePitch="360"/>
        </w:sectPr>
      </w:pPr>
    </w:p>
    <w:p w14:paraId="28BB5432" w14:textId="0A71EB62" w:rsidR="00D30634" w:rsidRPr="00B845AF" w:rsidRDefault="00D30634" w:rsidP="00D30634">
      <w:pPr>
        <w:adjustRightInd w:val="0"/>
        <w:snapToGrid w:val="0"/>
        <w:jc w:val="right"/>
        <w:rPr>
          <w:rFonts w:asciiTheme="minorHAnsi" w:eastAsia="MS Mincho" w:hAnsiTheme="minorHAnsi" w:cstheme="minorHAnsi"/>
          <w:b/>
          <w:bCs/>
          <w:szCs w:val="22"/>
          <w:lang w:eastAsia="ja-JP"/>
        </w:rPr>
      </w:pPr>
      <w:r w:rsidRPr="00B845AF">
        <w:rPr>
          <w:rFonts w:asciiTheme="minorHAnsi" w:hAnsiTheme="minorHAnsi" w:cstheme="minorHAnsi"/>
          <w:b/>
          <w:bCs/>
          <w:szCs w:val="22"/>
          <w:lang w:eastAsia="en-NZ"/>
        </w:rPr>
        <w:lastRenderedPageBreak/>
        <w:t xml:space="preserve">Attachment </w:t>
      </w:r>
      <w:r w:rsidR="002A0F04" w:rsidRPr="00B845AF">
        <w:rPr>
          <w:rFonts w:asciiTheme="minorHAnsi" w:eastAsia="MS Mincho" w:hAnsiTheme="minorHAnsi" w:cstheme="minorHAnsi"/>
          <w:b/>
          <w:bCs/>
          <w:szCs w:val="22"/>
          <w:lang w:eastAsia="ja-JP"/>
        </w:rPr>
        <w:t>M</w:t>
      </w:r>
    </w:p>
    <w:p w14:paraId="3599CC58" w14:textId="77777777" w:rsidR="00D30634" w:rsidRPr="00B845AF" w:rsidRDefault="00D30634" w:rsidP="00D30634">
      <w:pPr>
        <w:adjustRightInd w:val="0"/>
        <w:snapToGrid w:val="0"/>
        <w:jc w:val="center"/>
        <w:rPr>
          <w:rFonts w:asciiTheme="minorHAnsi" w:hAnsiTheme="minorHAnsi" w:cstheme="minorHAnsi"/>
          <w:b/>
          <w:bCs/>
          <w:szCs w:val="22"/>
          <w:lang w:eastAsia="en-NZ"/>
        </w:rPr>
      </w:pPr>
    </w:p>
    <w:p w14:paraId="1DED6EF8" w14:textId="77777777" w:rsidR="002A0F04" w:rsidRPr="00B845AF" w:rsidRDefault="002A0F04" w:rsidP="002A0F04">
      <w:pPr>
        <w:adjustRightInd w:val="0"/>
        <w:snapToGrid w:val="0"/>
        <w:jc w:val="center"/>
        <w:rPr>
          <w:rFonts w:asciiTheme="minorHAnsi" w:hAnsiTheme="minorHAnsi" w:cstheme="minorHAnsi"/>
          <w:b/>
          <w:bCs/>
          <w:sz w:val="24"/>
          <w:szCs w:val="28"/>
        </w:rPr>
      </w:pPr>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38C6EE65" w14:textId="77777777" w:rsidR="002A0F04" w:rsidRPr="00B845AF" w:rsidRDefault="002A0F04" w:rsidP="002A0F04">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42B46B6A" w14:textId="77777777" w:rsidR="002A0F04" w:rsidRPr="00B845AF" w:rsidRDefault="002A0F04" w:rsidP="002A0F04">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1E89895E" w14:textId="77777777" w:rsidR="002A0F04" w:rsidRPr="00B845AF" w:rsidRDefault="002A0F04" w:rsidP="002A0F04">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1D67960B" w14:textId="77777777" w:rsidR="002A0F04" w:rsidRPr="00B845AF" w:rsidRDefault="002A0F04" w:rsidP="002A0F04">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2A0F04" w:rsidRPr="00B845AF" w14:paraId="0F0A9BAE" w14:textId="77777777" w:rsidTr="00835632">
        <w:tc>
          <w:tcPr>
            <w:tcW w:w="9576" w:type="dxa"/>
            <w:hideMark/>
          </w:tcPr>
          <w:p w14:paraId="29F3F4FF" w14:textId="6BE73494" w:rsidR="002A0F04" w:rsidRPr="00B845AF" w:rsidRDefault="002A0F04"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lang w:eastAsia="ja-JP"/>
              </w:rPr>
              <w:t>Summary of the SC22 Online Discussion Forum</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101" w:name="_Toc239261449"/>
            <w:r w:rsidRPr="00B845AF">
              <w:rPr>
                <w:rFonts w:asciiTheme="minorHAnsi" w:eastAsiaTheme="minorEastAsia" w:hAnsiTheme="minorHAnsi" w:cstheme="minorHAnsi"/>
                <w:b/>
                <w:bCs/>
                <w:sz w:val="28"/>
                <w:szCs w:val="28"/>
                <w:lang w:eastAsia="ko-KR"/>
              </w:rPr>
              <w:instrText>SUMMARY REPORT</w:instrText>
            </w:r>
            <w:bookmarkEnd w:id="101"/>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tbl>
    <w:p w14:paraId="47E1B2D1" w14:textId="691E549D" w:rsidR="00357642" w:rsidRPr="00B845AF" w:rsidRDefault="00357642" w:rsidP="00357642">
      <w:pPr>
        <w:ind w:left="10" w:right="-4" w:hanging="10"/>
        <w:jc w:val="right"/>
        <w:rPr>
          <w:rFonts w:asciiTheme="minorHAnsi" w:hAnsiTheme="minorHAnsi" w:cstheme="minorHAnsi"/>
        </w:rPr>
      </w:pPr>
      <w:r w:rsidRPr="00B845AF">
        <w:rPr>
          <w:rFonts w:asciiTheme="minorHAnsi" w:hAnsiTheme="minorHAnsi" w:cstheme="minorHAnsi"/>
          <w:szCs w:val="22"/>
        </w:rPr>
        <w:tab/>
      </w:r>
      <w:r w:rsidRPr="00B845AF">
        <w:rPr>
          <w:rFonts w:asciiTheme="minorHAnsi" w:hAnsiTheme="minorHAnsi" w:cstheme="minorHAnsi"/>
          <w:b/>
          <w:sz w:val="24"/>
          <w:szCs w:val="28"/>
        </w:rPr>
        <w:t>WCPFC-SC2</w:t>
      </w:r>
      <w:r w:rsidR="002A0F04" w:rsidRPr="00B845AF">
        <w:rPr>
          <w:rFonts w:asciiTheme="minorHAnsi" w:eastAsia="MS Mincho" w:hAnsiTheme="minorHAnsi" w:cstheme="minorHAnsi"/>
          <w:b/>
          <w:sz w:val="24"/>
          <w:szCs w:val="28"/>
          <w:lang w:eastAsia="ja-JP"/>
        </w:rPr>
        <w:t>2</w:t>
      </w:r>
      <w:r w:rsidRPr="00B845AF">
        <w:rPr>
          <w:rFonts w:asciiTheme="minorHAnsi" w:hAnsiTheme="minorHAnsi" w:cstheme="minorHAnsi"/>
          <w:b/>
          <w:sz w:val="24"/>
          <w:szCs w:val="28"/>
        </w:rPr>
        <w:t>-202</w:t>
      </w:r>
      <w:r w:rsidR="002A0F04" w:rsidRPr="00B845AF">
        <w:rPr>
          <w:rFonts w:asciiTheme="minorHAnsi" w:eastAsia="MS Mincho" w:hAnsiTheme="minorHAnsi" w:cstheme="minorHAnsi"/>
          <w:b/>
          <w:sz w:val="24"/>
          <w:szCs w:val="28"/>
          <w:lang w:eastAsia="ja-JP"/>
        </w:rPr>
        <w:t>6</w:t>
      </w:r>
      <w:r w:rsidRPr="00B845AF">
        <w:rPr>
          <w:rFonts w:asciiTheme="minorHAnsi" w:hAnsiTheme="minorHAnsi" w:cstheme="minorHAnsi"/>
          <w:b/>
          <w:sz w:val="24"/>
          <w:szCs w:val="28"/>
        </w:rPr>
        <w:t>/ODF-01</w:t>
      </w:r>
      <w:r w:rsidRPr="00B845AF">
        <w:rPr>
          <w:rFonts w:asciiTheme="minorHAnsi" w:hAnsiTheme="minorHAnsi" w:cstheme="minorHAnsi"/>
        </w:rPr>
        <w:t xml:space="preserve"> </w:t>
      </w:r>
    </w:p>
    <w:p w14:paraId="76D5C7B5" w14:textId="420DEBD2" w:rsidR="009838A1" w:rsidRPr="00B845AF" w:rsidRDefault="009838A1" w:rsidP="009838A1">
      <w:pPr>
        <w:ind w:left="14"/>
        <w:rPr>
          <w:rFonts w:asciiTheme="minorHAnsi" w:hAnsiTheme="minorHAnsi" w:cstheme="minorHAnsi"/>
          <w:color w:val="000000"/>
          <w:szCs w:val="22"/>
        </w:rPr>
      </w:pPr>
      <w:r w:rsidRPr="00B845AF">
        <w:rPr>
          <w:rFonts w:asciiTheme="minorHAnsi" w:hAnsiTheme="minorHAnsi" w:cstheme="minorHAnsi"/>
          <w:color w:val="000000"/>
          <w:szCs w:val="22"/>
        </w:rPr>
        <w:t xml:space="preserve"> </w:t>
      </w:r>
    </w:p>
    <w:p w14:paraId="7B1364D1" w14:textId="77777777" w:rsidR="004A2594" w:rsidRPr="00B845AF" w:rsidRDefault="004A2594" w:rsidP="009838A1">
      <w:pPr>
        <w:ind w:left="14"/>
        <w:rPr>
          <w:rFonts w:asciiTheme="minorHAnsi" w:hAnsiTheme="minorHAnsi" w:cstheme="minorHAnsi"/>
          <w:color w:val="000000"/>
          <w:szCs w:val="22"/>
        </w:rPr>
      </w:pPr>
    </w:p>
    <w:p w14:paraId="734997A9" w14:textId="77777777" w:rsidR="00D47778" w:rsidRPr="00B845AF" w:rsidRDefault="00D47778" w:rsidP="00B92812">
      <w:pPr>
        <w:keepNext/>
        <w:keepLines/>
        <w:pBdr>
          <w:top w:val="single" w:sz="4" w:space="1" w:color="auto"/>
          <w:bottom w:val="single" w:sz="4" w:space="1" w:color="auto"/>
        </w:pBdr>
        <w:tabs>
          <w:tab w:val="left" w:pos="1440"/>
        </w:tabs>
        <w:spacing w:after="9" w:line="248" w:lineRule="auto"/>
        <w:ind w:left="9"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 xml:space="preserve">INTRODUCTION </w:t>
      </w:r>
    </w:p>
    <w:p w14:paraId="694C1844"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b/>
          <w:color w:val="000000"/>
          <w:szCs w:val="22"/>
        </w:rPr>
        <w:t xml:space="preserve"> </w:t>
      </w:r>
      <w:r w:rsidRPr="00B845AF">
        <w:rPr>
          <w:rFonts w:asciiTheme="minorHAnsi" w:hAnsiTheme="minorHAnsi" w:cstheme="minorHAnsi"/>
          <w:color w:val="000000"/>
          <w:szCs w:val="22"/>
        </w:rPr>
        <w:t xml:space="preserve"> </w:t>
      </w:r>
    </w:p>
    <w:p w14:paraId="5EBB164E" w14:textId="77777777" w:rsidR="00D77543" w:rsidRPr="00B845AF" w:rsidRDefault="00D77543" w:rsidP="00D77543">
      <w:pPr>
        <w:pStyle w:val="ODFText"/>
        <w:rPr>
          <w:rFonts w:asciiTheme="minorHAnsi" w:hAnsiTheme="minorHAnsi" w:cstheme="minorHAnsi"/>
        </w:rPr>
      </w:pPr>
      <w:r w:rsidRPr="00B845AF">
        <w:rPr>
          <w:rFonts w:asciiTheme="minorHAnsi" w:hAnsiTheme="minorHAnsi" w:cstheme="minorHAnsi"/>
        </w:rPr>
        <w:t xml:space="preserve">The twenty-second meeting of the Scientific Committee (SC22) was held in </w:t>
      </w:r>
      <w:r w:rsidRPr="00B845AF">
        <w:rPr>
          <w:rFonts w:asciiTheme="minorHAnsi" w:hAnsiTheme="minorHAnsi" w:cstheme="minorHAnsi"/>
          <w:bCs w:val="0"/>
        </w:rPr>
        <w:t>Apia, Samoa</w:t>
      </w:r>
      <w:r w:rsidRPr="00B845AF">
        <w:rPr>
          <w:rFonts w:asciiTheme="minorHAnsi" w:hAnsiTheme="minorHAnsi" w:cstheme="minorHAnsi"/>
        </w:rPr>
        <w:t xml:space="preserve">. SC22 made use of an online discussion forum (ODF) to facilitate consideration of discussions on 2026 SC projects and other items. The ODF was closed on 16 August 2026, during SC22, to allow the outcomes of the ODF discussions to be considered by CCMs at SC22. </w:t>
      </w:r>
    </w:p>
    <w:p w14:paraId="05398E61" w14:textId="77777777" w:rsidR="00D77543" w:rsidRPr="00B845AF" w:rsidRDefault="00D77543" w:rsidP="00D77543">
      <w:pPr>
        <w:pStyle w:val="ODFText"/>
        <w:numPr>
          <w:ilvl w:val="0"/>
          <w:numId w:val="0"/>
        </w:numPr>
        <w:ind w:left="374"/>
        <w:rPr>
          <w:rFonts w:asciiTheme="minorHAnsi" w:hAnsiTheme="minorHAnsi" w:cstheme="minorHAnsi"/>
        </w:rPr>
      </w:pPr>
    </w:p>
    <w:p w14:paraId="01F784DB" w14:textId="1D263B3B" w:rsidR="00D47778" w:rsidRPr="00B845AF" w:rsidRDefault="00D77543" w:rsidP="00D77543">
      <w:pPr>
        <w:pStyle w:val="ODFText"/>
        <w:rPr>
          <w:rFonts w:asciiTheme="minorHAnsi" w:hAnsiTheme="minorHAnsi" w:cstheme="minorHAnsi"/>
        </w:rPr>
      </w:pPr>
      <w:r w:rsidRPr="00B845AF">
        <w:rPr>
          <w:rFonts w:asciiTheme="minorHAnsi" w:hAnsiTheme="minorHAnsi" w:cstheme="minorHAnsi"/>
        </w:rPr>
        <w:t>For reference during the SC22 Work Programme and Budget discussions, the table below summarizes the input provided by SC participants on ODF Topics related to WCPFC projects. The full comments are presented in this paper under each Topic.</w:t>
      </w:r>
    </w:p>
    <w:p w14:paraId="0B45EDC6" w14:textId="77777777" w:rsidR="00D77543" w:rsidRPr="00B845AF" w:rsidRDefault="00D77543" w:rsidP="00D77543">
      <w:pPr>
        <w:pStyle w:val="ODFText"/>
        <w:numPr>
          <w:ilvl w:val="0"/>
          <w:numId w:val="0"/>
        </w:numPr>
        <w:rPr>
          <w:rFonts w:asciiTheme="minorHAnsi" w:hAnsiTheme="minorHAnsi" w:cstheme="minorHAnsi"/>
        </w:rPr>
      </w:pPr>
    </w:p>
    <w:p w14:paraId="0FB069E7" w14:textId="77777777" w:rsidR="00D47778" w:rsidRPr="00B845AF" w:rsidRDefault="00D47778" w:rsidP="00D47778">
      <w:pPr>
        <w:jc w:val="center"/>
        <w:rPr>
          <w:rFonts w:asciiTheme="minorHAnsi" w:hAnsiTheme="minorHAnsi" w:cstheme="minorHAnsi"/>
          <w:b/>
          <w:color w:val="000000"/>
          <w:szCs w:val="22"/>
        </w:rPr>
      </w:pPr>
      <w:r w:rsidRPr="00B845AF">
        <w:rPr>
          <w:rFonts w:asciiTheme="minorHAnsi" w:hAnsiTheme="minorHAnsi" w:cstheme="minorHAnsi"/>
          <w:b/>
          <w:color w:val="000000"/>
          <w:szCs w:val="22"/>
        </w:rPr>
        <w:t>SUMMARY OF INPUT FROM SC22 ON SC PROJECTS</w:t>
      </w:r>
    </w:p>
    <w:tbl>
      <w:tblPr>
        <w:tblStyle w:val="TableGrid0"/>
        <w:tblW w:w="9347" w:type="dxa"/>
        <w:tblInd w:w="29" w:type="dxa"/>
        <w:tblCellMar>
          <w:top w:w="29" w:type="dxa"/>
          <w:left w:w="29" w:type="dxa"/>
          <w:bottom w:w="29" w:type="dxa"/>
          <w:right w:w="72" w:type="dxa"/>
        </w:tblCellMar>
        <w:tblLook w:val="04A0" w:firstRow="1" w:lastRow="0" w:firstColumn="1" w:lastColumn="0" w:noHBand="0" w:noVBand="1"/>
      </w:tblPr>
      <w:tblGrid>
        <w:gridCol w:w="866"/>
        <w:gridCol w:w="3269"/>
        <w:gridCol w:w="5212"/>
      </w:tblGrid>
      <w:tr w:rsidR="00D47778" w:rsidRPr="00B845AF" w14:paraId="714689AE" w14:textId="77777777" w:rsidTr="00D47778">
        <w:trPr>
          <w:trHeight w:val="283"/>
          <w:tblHeader/>
        </w:trPr>
        <w:tc>
          <w:tcPr>
            <w:tcW w:w="866" w:type="dxa"/>
            <w:tcBorders>
              <w:top w:val="single" w:sz="4" w:space="0" w:color="000000"/>
              <w:left w:val="single" w:sz="4" w:space="0" w:color="000000"/>
              <w:bottom w:val="single" w:sz="4" w:space="0" w:color="000000"/>
              <w:right w:val="single" w:sz="4" w:space="0" w:color="000000"/>
            </w:tcBorders>
            <w:shd w:val="clear" w:color="auto" w:fill="D9D9D9"/>
          </w:tcPr>
          <w:p w14:paraId="7DDB7A10" w14:textId="77777777" w:rsidR="00D47778" w:rsidRPr="00B845AF" w:rsidRDefault="00D47778" w:rsidP="00D47778">
            <w:pPr>
              <w:ind w:left="70"/>
              <w:jc w:val="center"/>
              <w:rPr>
                <w:rFonts w:asciiTheme="minorHAnsi" w:hAnsiTheme="minorHAnsi" w:cstheme="minorHAnsi"/>
                <w:color w:val="000000"/>
                <w:sz w:val="20"/>
                <w:szCs w:val="20"/>
              </w:rPr>
            </w:pPr>
            <w:r w:rsidRPr="00B845AF">
              <w:rPr>
                <w:rFonts w:asciiTheme="minorHAnsi" w:hAnsiTheme="minorHAnsi" w:cstheme="minorHAnsi"/>
                <w:b/>
                <w:color w:val="000000"/>
                <w:sz w:val="20"/>
                <w:szCs w:val="20"/>
              </w:rPr>
              <w:t>Topic #</w:t>
            </w:r>
          </w:p>
        </w:tc>
        <w:tc>
          <w:tcPr>
            <w:tcW w:w="3269" w:type="dxa"/>
            <w:tcBorders>
              <w:top w:val="single" w:sz="4" w:space="0" w:color="000000"/>
              <w:left w:val="single" w:sz="4" w:space="0" w:color="000000"/>
              <w:bottom w:val="single" w:sz="4" w:space="0" w:color="000000"/>
              <w:right w:val="single" w:sz="4" w:space="0" w:color="000000"/>
            </w:tcBorders>
            <w:shd w:val="clear" w:color="auto" w:fill="D9D9D9"/>
          </w:tcPr>
          <w:p w14:paraId="67E6C307" w14:textId="77777777" w:rsidR="00D47778" w:rsidRPr="00B845AF" w:rsidRDefault="00D47778" w:rsidP="00D47778">
            <w:pPr>
              <w:tabs>
                <w:tab w:val="center" w:pos="1262"/>
              </w:tabs>
              <w:ind w:left="-19"/>
              <w:rPr>
                <w:rFonts w:asciiTheme="minorHAnsi" w:hAnsiTheme="minorHAnsi" w:cstheme="minorHAnsi"/>
                <w:color w:val="000000"/>
                <w:sz w:val="20"/>
                <w:szCs w:val="20"/>
              </w:rPr>
            </w:pPr>
            <w:r w:rsidRPr="00B845AF">
              <w:rPr>
                <w:rFonts w:asciiTheme="minorHAnsi" w:hAnsiTheme="minorHAnsi" w:cstheme="minorHAnsi"/>
                <w:b/>
                <w:color w:val="000000"/>
                <w:sz w:val="20"/>
                <w:szCs w:val="20"/>
              </w:rPr>
              <w:t xml:space="preserve"> </w:t>
            </w:r>
            <w:r w:rsidRPr="00B845AF">
              <w:rPr>
                <w:rFonts w:asciiTheme="minorHAnsi" w:hAnsiTheme="minorHAnsi" w:cstheme="minorHAnsi"/>
                <w:b/>
                <w:color w:val="000000"/>
                <w:sz w:val="20"/>
                <w:szCs w:val="20"/>
              </w:rPr>
              <w:tab/>
              <w:t xml:space="preserve">Subject </w:t>
            </w:r>
          </w:p>
        </w:tc>
        <w:tc>
          <w:tcPr>
            <w:tcW w:w="5212" w:type="dxa"/>
            <w:tcBorders>
              <w:top w:val="single" w:sz="4" w:space="0" w:color="000000"/>
              <w:left w:val="single" w:sz="4" w:space="0" w:color="000000"/>
              <w:bottom w:val="single" w:sz="4" w:space="0" w:color="000000"/>
              <w:right w:val="single" w:sz="4" w:space="0" w:color="000000"/>
            </w:tcBorders>
            <w:shd w:val="clear" w:color="auto" w:fill="D9D9D9"/>
          </w:tcPr>
          <w:p w14:paraId="1AD4D044" w14:textId="77777777" w:rsidR="00D47778" w:rsidRPr="00B845AF" w:rsidRDefault="00D47778" w:rsidP="00D47778">
            <w:pPr>
              <w:ind w:left="16"/>
              <w:jc w:val="center"/>
              <w:rPr>
                <w:rFonts w:asciiTheme="minorHAnsi" w:hAnsiTheme="minorHAnsi" w:cstheme="minorHAnsi"/>
                <w:color w:val="000000"/>
                <w:sz w:val="20"/>
                <w:szCs w:val="20"/>
              </w:rPr>
            </w:pPr>
            <w:r w:rsidRPr="00B845AF">
              <w:rPr>
                <w:rFonts w:asciiTheme="minorHAnsi" w:hAnsiTheme="minorHAnsi" w:cstheme="minorHAnsi"/>
                <w:b/>
                <w:color w:val="000000"/>
                <w:sz w:val="20"/>
                <w:szCs w:val="20"/>
              </w:rPr>
              <w:t xml:space="preserve">Comments </w:t>
            </w:r>
          </w:p>
        </w:tc>
      </w:tr>
      <w:tr w:rsidR="00D47778" w:rsidRPr="00B845AF" w14:paraId="3CEF870C" w14:textId="77777777" w:rsidTr="00835632">
        <w:trPr>
          <w:trHeight w:val="283"/>
        </w:trPr>
        <w:tc>
          <w:tcPr>
            <w:tcW w:w="866" w:type="dxa"/>
            <w:tcBorders>
              <w:top w:val="single" w:sz="4" w:space="0" w:color="000000"/>
              <w:left w:val="single" w:sz="4" w:space="0" w:color="000000"/>
              <w:bottom w:val="single" w:sz="4" w:space="0" w:color="000000"/>
              <w:right w:val="single" w:sz="4" w:space="0" w:color="000000"/>
            </w:tcBorders>
          </w:tcPr>
          <w:p w14:paraId="3A1CD544" w14:textId="77777777" w:rsidR="00D47778" w:rsidRPr="00B845AF" w:rsidRDefault="00D47778" w:rsidP="00D47778">
            <w:pPr>
              <w:ind w:left="70"/>
              <w:jc w:val="center"/>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11</w:t>
            </w:r>
          </w:p>
        </w:tc>
        <w:tc>
          <w:tcPr>
            <w:tcW w:w="3269" w:type="dxa"/>
            <w:tcBorders>
              <w:top w:val="single" w:sz="4" w:space="0" w:color="000000"/>
              <w:left w:val="single" w:sz="4" w:space="0" w:color="000000"/>
              <w:bottom w:val="single" w:sz="4" w:space="0" w:color="000000"/>
              <w:right w:val="single" w:sz="4" w:space="0" w:color="000000"/>
            </w:tcBorders>
            <w:tcMar>
              <w:top w:w="72" w:type="dxa"/>
            </w:tcMar>
          </w:tcPr>
          <w:p w14:paraId="7F2E71AF" w14:textId="77777777" w:rsidR="00D47778" w:rsidRPr="00B845AF" w:rsidRDefault="00D47778" w:rsidP="00D47778">
            <w:pPr>
              <w:ind w:left="70"/>
              <w:jc w:val="both"/>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Project 100d: </w:t>
            </w:r>
            <w:r w:rsidRPr="00B845AF">
              <w:rPr>
                <w:rFonts w:asciiTheme="minorHAnsi" w:hAnsiTheme="minorHAnsi" w:cstheme="minorHAnsi"/>
                <w:bCs/>
                <w:color w:val="000000"/>
                <w:sz w:val="20"/>
                <w:szCs w:val="20"/>
              </w:rPr>
              <w:t>Application of CKMR methods to SP albacore and cost-benefit evaluation and prioritization of CKMR to WCPFC stocks (tuna, billfish, sharks)</w:t>
            </w:r>
          </w:p>
        </w:tc>
        <w:tc>
          <w:tcPr>
            <w:tcW w:w="5212" w:type="dxa"/>
            <w:tcBorders>
              <w:top w:val="single" w:sz="4" w:space="0" w:color="000000"/>
              <w:left w:val="single" w:sz="4" w:space="0" w:color="000000"/>
              <w:bottom w:val="single" w:sz="4" w:space="0" w:color="000000"/>
              <w:right w:val="single" w:sz="4" w:space="0" w:color="000000"/>
            </w:tcBorders>
          </w:tcPr>
          <w:p w14:paraId="33CC3A90" w14:textId="77777777" w:rsidR="00D47778" w:rsidRPr="00B845AF" w:rsidRDefault="00D47778" w:rsidP="00D47778">
            <w:pPr>
              <w:ind w:left="16"/>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Sharks Pacific: </w:t>
            </w:r>
            <w:r w:rsidRPr="00B845AF">
              <w:rPr>
                <w:rFonts w:asciiTheme="minorHAnsi" w:hAnsiTheme="minorHAnsi" w:cstheme="minorHAnsi"/>
                <w:bCs/>
                <w:color w:val="000000"/>
                <w:sz w:val="20"/>
                <w:szCs w:val="20"/>
              </w:rPr>
              <w:t>supports prioritizing sharks for future CKMR applications, noting the need for additional investment in ageing, reproductive biology, population structure, and genomic assay development.</w:t>
            </w:r>
          </w:p>
        </w:tc>
      </w:tr>
      <w:tr w:rsidR="00D47778" w:rsidRPr="00B845AF" w14:paraId="5E99057C" w14:textId="77777777" w:rsidTr="00835632">
        <w:trPr>
          <w:trHeight w:val="283"/>
        </w:trPr>
        <w:tc>
          <w:tcPr>
            <w:tcW w:w="866" w:type="dxa"/>
            <w:tcBorders>
              <w:top w:val="single" w:sz="4" w:space="0" w:color="000000"/>
              <w:left w:val="single" w:sz="4" w:space="0" w:color="000000"/>
              <w:bottom w:val="single" w:sz="4" w:space="0" w:color="000000"/>
              <w:right w:val="single" w:sz="4" w:space="0" w:color="000000"/>
            </w:tcBorders>
          </w:tcPr>
          <w:p w14:paraId="4C1C9DF1" w14:textId="77777777" w:rsidR="00D47778" w:rsidRPr="00B845AF" w:rsidRDefault="00D47778" w:rsidP="00D47778">
            <w:pPr>
              <w:ind w:left="70"/>
              <w:jc w:val="center"/>
              <w:rPr>
                <w:rFonts w:asciiTheme="minorHAnsi" w:eastAsia="Yu Mincho" w:hAnsiTheme="minorHAnsi" w:cstheme="minorHAnsi"/>
                <w:b/>
                <w:color w:val="000000"/>
                <w:sz w:val="20"/>
                <w:szCs w:val="20"/>
                <w:lang w:eastAsia="ja-JP"/>
              </w:rPr>
            </w:pPr>
            <w:r w:rsidRPr="00B845AF">
              <w:rPr>
                <w:rFonts w:asciiTheme="minorHAnsi" w:eastAsia="Yu Mincho" w:hAnsiTheme="minorHAnsi" w:cstheme="minorHAnsi"/>
                <w:b/>
                <w:color w:val="000000"/>
                <w:sz w:val="20"/>
                <w:szCs w:val="20"/>
                <w:lang w:eastAsia="ja-JP"/>
              </w:rPr>
              <w:t>18</w:t>
            </w:r>
          </w:p>
        </w:tc>
        <w:tc>
          <w:tcPr>
            <w:tcW w:w="3269" w:type="dxa"/>
            <w:tcBorders>
              <w:top w:val="single" w:sz="4" w:space="0" w:color="000000"/>
              <w:left w:val="single" w:sz="4" w:space="0" w:color="000000"/>
              <w:bottom w:val="single" w:sz="4" w:space="0" w:color="000000"/>
              <w:right w:val="single" w:sz="4" w:space="0" w:color="000000"/>
            </w:tcBorders>
          </w:tcPr>
          <w:p w14:paraId="00E40471" w14:textId="77777777" w:rsidR="00D47778" w:rsidRPr="00B845AF" w:rsidRDefault="00D47778" w:rsidP="00D47778">
            <w:pPr>
              <w:ind w:left="70"/>
              <w:jc w:val="both"/>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Project 130: </w:t>
            </w:r>
            <w:r w:rsidRPr="00B845AF">
              <w:rPr>
                <w:rFonts w:asciiTheme="minorHAnsi" w:hAnsiTheme="minorHAnsi" w:cstheme="minorHAnsi"/>
                <w:bCs/>
                <w:color w:val="000000"/>
                <w:sz w:val="20"/>
                <w:szCs w:val="20"/>
              </w:rPr>
              <w:t>Joint bycatch assessment workshop for billfish and sharks</w:t>
            </w:r>
          </w:p>
        </w:tc>
        <w:tc>
          <w:tcPr>
            <w:tcW w:w="5212" w:type="dxa"/>
            <w:tcBorders>
              <w:top w:val="single" w:sz="4" w:space="0" w:color="000000"/>
              <w:left w:val="single" w:sz="4" w:space="0" w:color="000000"/>
              <w:bottom w:val="single" w:sz="4" w:space="0" w:color="000000"/>
              <w:right w:val="single" w:sz="4" w:space="0" w:color="000000"/>
            </w:tcBorders>
          </w:tcPr>
          <w:p w14:paraId="468B0704" w14:textId="77777777" w:rsidR="00D47778" w:rsidRPr="00B845AF" w:rsidRDefault="00D47778" w:rsidP="00D47778">
            <w:pPr>
              <w:ind w:left="16"/>
              <w:rPr>
                <w:rFonts w:asciiTheme="minorHAnsi" w:hAnsiTheme="minorHAnsi" w:cstheme="minorHAnsi"/>
                <w:bCs/>
                <w:color w:val="000000"/>
                <w:sz w:val="20"/>
                <w:szCs w:val="20"/>
              </w:rPr>
            </w:pPr>
            <w:r w:rsidRPr="00B845AF">
              <w:rPr>
                <w:rFonts w:asciiTheme="minorHAnsi" w:hAnsiTheme="minorHAnsi" w:cstheme="minorHAnsi"/>
                <w:b/>
                <w:color w:val="000000"/>
                <w:sz w:val="20"/>
                <w:szCs w:val="20"/>
              </w:rPr>
              <w:t>Sharks Pacific</w:t>
            </w:r>
            <w:proofErr w:type="gramStart"/>
            <w:r w:rsidRPr="00B845AF">
              <w:rPr>
                <w:rFonts w:asciiTheme="minorHAnsi" w:hAnsiTheme="minorHAnsi" w:cstheme="minorHAnsi"/>
                <w:b/>
                <w:color w:val="000000"/>
                <w:sz w:val="20"/>
                <w:szCs w:val="20"/>
              </w:rPr>
              <w:t xml:space="preserve">:  </w:t>
            </w:r>
            <w:r w:rsidRPr="00B845AF">
              <w:rPr>
                <w:rFonts w:asciiTheme="minorHAnsi" w:hAnsiTheme="minorHAnsi" w:cstheme="minorHAnsi"/>
                <w:bCs/>
                <w:color w:val="000000"/>
                <w:sz w:val="20"/>
                <w:szCs w:val="20"/>
              </w:rPr>
              <w:t>supports</w:t>
            </w:r>
            <w:proofErr w:type="gramEnd"/>
            <w:r w:rsidRPr="00B845AF">
              <w:rPr>
                <w:rFonts w:asciiTheme="minorHAnsi" w:hAnsiTheme="minorHAnsi" w:cstheme="minorHAnsi"/>
                <w:bCs/>
                <w:color w:val="000000"/>
                <w:sz w:val="20"/>
                <w:szCs w:val="20"/>
              </w:rPr>
              <w:t xml:space="preserve"> the proposed workshop on bycatch assessment for billfish and sharks and recommends that Project 130 consider monitoring strategies for these non-target species and their potential application to CKMR-based abundance estimation. </w:t>
            </w:r>
          </w:p>
        </w:tc>
      </w:tr>
      <w:tr w:rsidR="00D47778" w:rsidRPr="00B845AF" w14:paraId="5558C960" w14:textId="77777777" w:rsidTr="00835632">
        <w:trPr>
          <w:trHeight w:val="283"/>
        </w:trPr>
        <w:tc>
          <w:tcPr>
            <w:tcW w:w="866" w:type="dxa"/>
            <w:tcBorders>
              <w:top w:val="single" w:sz="4" w:space="0" w:color="000000"/>
              <w:left w:val="single" w:sz="4" w:space="0" w:color="000000"/>
              <w:bottom w:val="single" w:sz="4" w:space="0" w:color="000000"/>
              <w:right w:val="single" w:sz="4" w:space="0" w:color="000000"/>
            </w:tcBorders>
          </w:tcPr>
          <w:p w14:paraId="2F7453F8" w14:textId="77777777" w:rsidR="00D47778" w:rsidRPr="00B845AF" w:rsidRDefault="00D47778" w:rsidP="00D47778">
            <w:pPr>
              <w:ind w:left="70"/>
              <w:jc w:val="center"/>
              <w:rPr>
                <w:rFonts w:asciiTheme="minorHAnsi" w:eastAsia="Yu Mincho" w:hAnsiTheme="minorHAnsi" w:cstheme="minorHAnsi"/>
                <w:b/>
                <w:color w:val="000000"/>
                <w:sz w:val="20"/>
                <w:szCs w:val="20"/>
                <w:lang w:eastAsia="ja-JP"/>
              </w:rPr>
            </w:pPr>
            <w:r w:rsidRPr="00B845AF">
              <w:rPr>
                <w:rFonts w:asciiTheme="minorHAnsi" w:eastAsia="Yu Mincho" w:hAnsiTheme="minorHAnsi" w:cstheme="minorHAnsi"/>
                <w:b/>
                <w:color w:val="000000"/>
                <w:sz w:val="20"/>
                <w:szCs w:val="20"/>
                <w:lang w:eastAsia="ja-JP"/>
              </w:rPr>
              <w:t>20</w:t>
            </w:r>
          </w:p>
        </w:tc>
        <w:tc>
          <w:tcPr>
            <w:tcW w:w="3269" w:type="dxa"/>
            <w:tcBorders>
              <w:top w:val="single" w:sz="4" w:space="0" w:color="000000"/>
              <w:left w:val="single" w:sz="4" w:space="0" w:color="000000"/>
              <w:bottom w:val="single" w:sz="4" w:space="0" w:color="000000"/>
              <w:right w:val="single" w:sz="4" w:space="0" w:color="000000"/>
            </w:tcBorders>
          </w:tcPr>
          <w:p w14:paraId="1CC6167B" w14:textId="77777777" w:rsidR="00D47778" w:rsidRPr="00B845AF" w:rsidRDefault="00D47778" w:rsidP="00D47778">
            <w:pPr>
              <w:ind w:left="70"/>
              <w:jc w:val="both"/>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Project 110 and 110a: </w:t>
            </w:r>
            <w:r w:rsidRPr="00B845AF">
              <w:rPr>
                <w:rFonts w:asciiTheme="minorHAnsi" w:hAnsiTheme="minorHAnsi" w:cstheme="minorHAnsi"/>
                <w:bCs/>
                <w:color w:val="000000"/>
                <w:sz w:val="20"/>
                <w:szCs w:val="20"/>
              </w:rPr>
              <w:t>Non-entangling and Biodegradable FAD Trial in the Western and Central Pacific Ocean</w:t>
            </w:r>
          </w:p>
        </w:tc>
        <w:tc>
          <w:tcPr>
            <w:tcW w:w="5212" w:type="dxa"/>
            <w:tcBorders>
              <w:top w:val="single" w:sz="4" w:space="0" w:color="000000"/>
              <w:left w:val="single" w:sz="4" w:space="0" w:color="000000"/>
              <w:bottom w:val="single" w:sz="4" w:space="0" w:color="000000"/>
              <w:right w:val="single" w:sz="4" w:space="0" w:color="000000"/>
            </w:tcBorders>
          </w:tcPr>
          <w:p w14:paraId="765927CD" w14:textId="77777777" w:rsidR="00D47778" w:rsidRPr="00B845AF" w:rsidRDefault="00D47778" w:rsidP="00D47778">
            <w:pPr>
              <w:ind w:left="16"/>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PNA and Vanuatu: </w:t>
            </w:r>
            <w:r w:rsidRPr="00B845AF">
              <w:rPr>
                <w:rFonts w:asciiTheme="minorHAnsi" w:hAnsiTheme="minorHAnsi" w:cstheme="minorHAnsi"/>
                <w:bCs/>
                <w:color w:val="000000"/>
                <w:sz w:val="20"/>
                <w:szCs w:val="20"/>
              </w:rPr>
              <w:t>support Project 110 and its recommendations, particularly work on monitoring biodegradable FAD materials and clarifying biodegradability standards, while proposing revisions concerning catch comparisons and the availability of biodegradable materials in atoll ports.</w:t>
            </w:r>
          </w:p>
        </w:tc>
      </w:tr>
      <w:tr w:rsidR="00D47778" w:rsidRPr="00B845AF" w14:paraId="7F197F6A" w14:textId="77777777" w:rsidTr="00835632">
        <w:trPr>
          <w:trHeight w:val="283"/>
        </w:trPr>
        <w:tc>
          <w:tcPr>
            <w:tcW w:w="866" w:type="dxa"/>
            <w:tcBorders>
              <w:top w:val="single" w:sz="4" w:space="0" w:color="000000"/>
              <w:left w:val="single" w:sz="4" w:space="0" w:color="000000"/>
              <w:bottom w:val="single" w:sz="4" w:space="0" w:color="000000"/>
              <w:right w:val="single" w:sz="4" w:space="0" w:color="000000"/>
            </w:tcBorders>
          </w:tcPr>
          <w:p w14:paraId="4A3242EA" w14:textId="77777777" w:rsidR="00D47778" w:rsidRPr="00B845AF" w:rsidRDefault="00D47778" w:rsidP="00D47778">
            <w:pPr>
              <w:ind w:left="70"/>
              <w:jc w:val="center"/>
              <w:rPr>
                <w:rFonts w:asciiTheme="minorHAnsi" w:eastAsia="Yu Mincho" w:hAnsiTheme="minorHAnsi" w:cstheme="minorHAnsi"/>
                <w:b/>
                <w:color w:val="000000"/>
                <w:sz w:val="20"/>
                <w:szCs w:val="20"/>
                <w:lang w:eastAsia="ja-JP"/>
              </w:rPr>
            </w:pPr>
            <w:r w:rsidRPr="00B845AF">
              <w:rPr>
                <w:rFonts w:asciiTheme="minorHAnsi" w:eastAsia="Yu Mincho" w:hAnsiTheme="minorHAnsi" w:cstheme="minorHAnsi"/>
                <w:b/>
                <w:color w:val="000000"/>
                <w:sz w:val="20"/>
                <w:szCs w:val="20"/>
                <w:lang w:eastAsia="ja-JP"/>
              </w:rPr>
              <w:t>22</w:t>
            </w:r>
          </w:p>
        </w:tc>
        <w:tc>
          <w:tcPr>
            <w:tcW w:w="3269" w:type="dxa"/>
            <w:tcBorders>
              <w:top w:val="single" w:sz="4" w:space="0" w:color="000000"/>
              <w:left w:val="single" w:sz="4" w:space="0" w:color="000000"/>
              <w:bottom w:val="single" w:sz="4" w:space="0" w:color="000000"/>
              <w:right w:val="single" w:sz="4" w:space="0" w:color="000000"/>
            </w:tcBorders>
          </w:tcPr>
          <w:p w14:paraId="053DD916" w14:textId="77777777" w:rsidR="00D47778" w:rsidRPr="00B845AF" w:rsidRDefault="00D47778" w:rsidP="00D47778">
            <w:pPr>
              <w:ind w:left="70"/>
              <w:jc w:val="both"/>
              <w:rPr>
                <w:rFonts w:asciiTheme="minorHAnsi" w:hAnsiTheme="minorHAnsi" w:cstheme="minorHAnsi"/>
                <w:bCs/>
                <w:color w:val="000000"/>
                <w:sz w:val="20"/>
                <w:szCs w:val="20"/>
              </w:rPr>
            </w:pPr>
            <w:r w:rsidRPr="00B845AF">
              <w:rPr>
                <w:rFonts w:asciiTheme="minorHAnsi" w:hAnsiTheme="minorHAnsi" w:cstheme="minorHAnsi"/>
                <w:b/>
                <w:color w:val="000000"/>
                <w:sz w:val="20"/>
                <w:szCs w:val="20"/>
              </w:rPr>
              <w:t xml:space="preserve">Project 121: </w:t>
            </w:r>
            <w:r w:rsidRPr="00B845AF">
              <w:rPr>
                <w:rFonts w:asciiTheme="minorHAnsi" w:hAnsiTheme="minorHAnsi" w:cstheme="minorHAnsi"/>
                <w:bCs/>
                <w:color w:val="000000"/>
                <w:sz w:val="20"/>
                <w:szCs w:val="20"/>
              </w:rPr>
              <w:t>Ecosystem and Climate Indicators</w:t>
            </w:r>
          </w:p>
        </w:tc>
        <w:tc>
          <w:tcPr>
            <w:tcW w:w="5212" w:type="dxa"/>
            <w:tcBorders>
              <w:top w:val="single" w:sz="4" w:space="0" w:color="000000"/>
              <w:left w:val="single" w:sz="4" w:space="0" w:color="000000"/>
              <w:bottom w:val="single" w:sz="4" w:space="0" w:color="000000"/>
              <w:right w:val="single" w:sz="4" w:space="0" w:color="000000"/>
            </w:tcBorders>
          </w:tcPr>
          <w:p w14:paraId="30BDDECF" w14:textId="77777777" w:rsidR="00D47778" w:rsidRPr="00B845AF" w:rsidRDefault="00D47778" w:rsidP="00D47778">
            <w:pPr>
              <w:ind w:left="16"/>
              <w:rPr>
                <w:rFonts w:asciiTheme="minorHAnsi" w:hAnsiTheme="minorHAnsi" w:cstheme="minorHAnsi"/>
                <w:b/>
                <w:color w:val="000000"/>
                <w:sz w:val="20"/>
                <w:szCs w:val="20"/>
              </w:rPr>
            </w:pPr>
            <w:r w:rsidRPr="00B845AF">
              <w:rPr>
                <w:rFonts w:asciiTheme="minorHAnsi" w:hAnsiTheme="minorHAnsi" w:cstheme="minorHAnsi"/>
                <w:b/>
                <w:color w:val="000000"/>
                <w:sz w:val="20"/>
                <w:szCs w:val="20"/>
              </w:rPr>
              <w:t xml:space="preserve">USA: </w:t>
            </w:r>
            <w:r w:rsidRPr="00B845AF">
              <w:rPr>
                <w:rFonts w:asciiTheme="minorHAnsi" w:hAnsiTheme="minorHAnsi" w:cstheme="minorHAnsi"/>
                <w:color w:val="000000"/>
                <w:sz w:val="20"/>
                <w:szCs w:val="20"/>
              </w:rPr>
              <w:t xml:space="preserve">supports the continued work on the indicators and recommends replacing ONI with the RONI as the official NOAA ENSO </w:t>
            </w:r>
            <w:proofErr w:type="gramStart"/>
            <w:r w:rsidRPr="00B845AF">
              <w:rPr>
                <w:rFonts w:asciiTheme="minorHAnsi" w:hAnsiTheme="minorHAnsi" w:cstheme="minorHAnsi"/>
                <w:color w:val="000000"/>
                <w:sz w:val="20"/>
                <w:szCs w:val="20"/>
              </w:rPr>
              <w:t>index, and</w:t>
            </w:r>
            <w:proofErr w:type="gramEnd"/>
            <w:r w:rsidRPr="00B845AF">
              <w:rPr>
                <w:rFonts w:asciiTheme="minorHAnsi" w:hAnsiTheme="minorHAnsi" w:cstheme="minorHAnsi"/>
                <w:color w:val="000000"/>
                <w:sz w:val="20"/>
                <w:szCs w:val="20"/>
              </w:rPr>
              <w:t xml:space="preserve"> updating the archived climate.gov reference in the ENSO section. </w:t>
            </w:r>
          </w:p>
        </w:tc>
      </w:tr>
    </w:tbl>
    <w:p w14:paraId="103A0C02" w14:textId="77777777" w:rsidR="00D47778" w:rsidRPr="00B845AF" w:rsidRDefault="00D47778" w:rsidP="00D47778">
      <w:pPr>
        <w:spacing w:after="160" w:line="259" w:lineRule="auto"/>
        <w:rPr>
          <w:rFonts w:asciiTheme="minorHAnsi" w:hAnsiTheme="minorHAnsi" w:cstheme="minorHAnsi"/>
          <w:color w:val="000000"/>
          <w:szCs w:val="22"/>
        </w:rPr>
      </w:pPr>
    </w:p>
    <w:p w14:paraId="1DEB5E01"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lastRenderedPageBreak/>
        <w:t>TOPIC 1.</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WCPFC Project127/127a - review and reconciliation of size data collected in the WCPFC-CA for stock assessment purposes: Phase 2 progress report</w:t>
      </w:r>
    </w:p>
    <w:p w14:paraId="69820575"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color w:val="000000"/>
          <w:szCs w:val="22"/>
        </w:rPr>
        <w:t>No questions or comments</w:t>
      </w:r>
    </w:p>
    <w:p w14:paraId="3C184314" w14:textId="77777777" w:rsidR="00D47778" w:rsidRPr="00B845AF" w:rsidRDefault="00D47778" w:rsidP="00D47778">
      <w:pPr>
        <w:ind w:left="2174"/>
        <w:rPr>
          <w:rFonts w:asciiTheme="minorHAnsi" w:hAnsiTheme="minorHAnsi" w:cstheme="minorHAnsi"/>
          <w:color w:val="000000"/>
          <w:szCs w:val="22"/>
        </w:rPr>
      </w:pPr>
    </w:p>
    <w:p w14:paraId="09D22D7C" w14:textId="77777777" w:rsidR="00D47778" w:rsidRPr="00B845AF" w:rsidRDefault="00D47778" w:rsidP="00D77543">
      <w:pPr>
        <w:keepNext/>
        <w:keepLines/>
        <w:pBdr>
          <w:top w:val="single" w:sz="4" w:space="1" w:color="auto"/>
          <w:bottom w:val="single" w:sz="4" w:space="1" w:color="auto"/>
        </w:pBdr>
        <w:tabs>
          <w:tab w:val="left" w:pos="1440"/>
          <w:tab w:val="center" w:pos="3900"/>
        </w:tabs>
        <w:spacing w:after="9" w:line="248" w:lineRule="auto"/>
        <w:ind w:left="-1"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Streamlining scientific data reporting to the Commission: progress, challenges, and next steps</w:t>
      </w:r>
    </w:p>
    <w:p w14:paraId="5F27B201" w14:textId="77777777" w:rsidR="00D47778" w:rsidRPr="00B845AF" w:rsidRDefault="00D47778" w:rsidP="00D47778">
      <w:pPr>
        <w:jc w:val="both"/>
        <w:rPr>
          <w:rFonts w:asciiTheme="minorHAnsi" w:hAnsiTheme="minorHAnsi" w:cstheme="minorHAnsi"/>
          <w:b/>
          <w:bCs/>
          <w:color w:val="000000"/>
          <w:szCs w:val="22"/>
        </w:rPr>
      </w:pPr>
      <w:r w:rsidRPr="00B845AF">
        <w:rPr>
          <w:rFonts w:asciiTheme="minorHAnsi" w:hAnsiTheme="minorHAnsi" w:cstheme="minorHAnsi"/>
          <w:b/>
          <w:bCs/>
          <w:color w:val="000000"/>
          <w:szCs w:val="22"/>
        </w:rPr>
        <w:t xml:space="preserve">Related papers: </w:t>
      </w:r>
      <w:hyperlink r:id="rId148" w:history="1">
        <w:r w:rsidRPr="00B845AF">
          <w:rPr>
            <w:rFonts w:asciiTheme="minorHAnsi" w:hAnsiTheme="minorHAnsi" w:cstheme="minorHAnsi"/>
            <w:color w:val="0563C1"/>
            <w:szCs w:val="22"/>
            <w:u w:val="single"/>
          </w:rPr>
          <w:t>WCPFC-SC22-2026-ST-WP03</w:t>
        </w:r>
      </w:hyperlink>
      <w:r w:rsidRPr="00B845AF">
        <w:rPr>
          <w:rFonts w:asciiTheme="minorHAnsi" w:hAnsiTheme="minorHAnsi" w:cstheme="minorHAnsi"/>
          <w:color w:val="000000"/>
          <w:szCs w:val="22"/>
        </w:rPr>
        <w:t>: J. Leiria Schattschneider, T. Jones, T. Vidal. Streamlining scientific data reporting to the Commission: progress, challenges, and next steps</w:t>
      </w:r>
    </w:p>
    <w:p w14:paraId="10E4C6E7" w14:textId="77777777" w:rsidR="00D47778" w:rsidRPr="00B845AF" w:rsidRDefault="00D47778" w:rsidP="00D47778">
      <w:pPr>
        <w:ind w:left="14"/>
        <w:rPr>
          <w:rFonts w:asciiTheme="minorHAnsi" w:hAnsiTheme="minorHAnsi" w:cstheme="minorHAnsi"/>
          <w:color w:val="000000"/>
          <w:szCs w:val="22"/>
        </w:rPr>
      </w:pPr>
    </w:p>
    <w:p w14:paraId="33AF4D08" w14:textId="77777777" w:rsidR="00D47778" w:rsidRPr="00B845AF" w:rsidRDefault="00D47778" w:rsidP="00D47778">
      <w:pPr>
        <w:keepNext/>
        <w:keepLines/>
        <w:tabs>
          <w:tab w:val="left" w:pos="720"/>
        </w:tabs>
        <w:spacing w:after="9" w:line="252" w:lineRule="auto"/>
        <w:ind w:left="10" w:right="1" w:hanging="10"/>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672AFFD3" w14:textId="77777777" w:rsidR="00D47778" w:rsidRPr="00B845AF" w:rsidRDefault="00D47778" w:rsidP="00D47778">
      <w:pPr>
        <w:jc w:val="both"/>
        <w:rPr>
          <w:rFonts w:asciiTheme="minorHAnsi" w:hAnsiTheme="minorHAnsi" w:cstheme="minorHAnsi"/>
          <w:b/>
          <w:color w:val="000000"/>
          <w:szCs w:val="22"/>
          <w:u w:val="single"/>
        </w:rPr>
      </w:pPr>
      <w:r w:rsidRPr="00B845AF">
        <w:rPr>
          <w:rFonts w:asciiTheme="minorHAnsi" w:hAnsiTheme="minorHAnsi" w:cstheme="minorHAnsi"/>
          <w:b/>
          <w:color w:val="000000"/>
          <w:szCs w:val="22"/>
          <w:u w:val="single"/>
        </w:rPr>
        <w:t>Chinese Taipei</w:t>
      </w:r>
    </w:p>
    <w:p w14:paraId="77A52C46" w14:textId="77777777" w:rsidR="00D47778" w:rsidRPr="00B845AF" w:rsidRDefault="00D47778" w:rsidP="00D47778">
      <w:pPr>
        <w:jc w:val="both"/>
        <w:rPr>
          <w:rFonts w:asciiTheme="minorHAnsi" w:hAnsiTheme="minorHAnsi" w:cstheme="minorHAnsi"/>
          <w:bCs/>
          <w:color w:val="000000"/>
          <w:szCs w:val="22"/>
        </w:rPr>
      </w:pPr>
      <w:r w:rsidRPr="00B845AF">
        <w:rPr>
          <w:rFonts w:asciiTheme="minorHAnsi" w:hAnsiTheme="minorHAnsi" w:cstheme="minorHAnsi"/>
          <w:bCs/>
          <w:color w:val="000000"/>
          <w:szCs w:val="22"/>
        </w:rPr>
        <w:t>Is it possible to develop a list of filter criteria for mandatory data field of standardized data reporting? It will be very helpful.</w:t>
      </w:r>
    </w:p>
    <w:p w14:paraId="16A0657B" w14:textId="77777777" w:rsidR="00D47778" w:rsidRPr="00B845AF" w:rsidRDefault="00D47778" w:rsidP="00D47778">
      <w:pPr>
        <w:jc w:val="both"/>
        <w:rPr>
          <w:rFonts w:asciiTheme="minorHAnsi" w:hAnsiTheme="minorHAnsi" w:cstheme="minorHAnsi"/>
          <w:bCs/>
          <w:color w:val="000000"/>
          <w:szCs w:val="22"/>
        </w:rPr>
      </w:pPr>
    </w:p>
    <w:p w14:paraId="2261D077" w14:textId="77777777" w:rsidR="00D47778" w:rsidRPr="00B845AF" w:rsidRDefault="00D47778" w:rsidP="00D47778">
      <w:pPr>
        <w:spacing w:after="5"/>
        <w:ind w:leftChars="200" w:left="440" w:rightChars="1" w:right="2"/>
        <w:rPr>
          <w:rFonts w:asciiTheme="minorHAnsi" w:hAnsiTheme="minorHAnsi" w:cstheme="minorHAnsi"/>
          <w:b/>
          <w:color w:val="000000"/>
          <w:szCs w:val="22"/>
        </w:rPr>
      </w:pPr>
      <w:r w:rsidRPr="00B845AF">
        <w:rPr>
          <w:rFonts w:asciiTheme="minorHAnsi" w:hAnsiTheme="minorHAnsi" w:cstheme="minorHAnsi"/>
          <w:b/>
          <w:color w:val="000000"/>
          <w:szCs w:val="22"/>
        </w:rPr>
        <w:t>Reply (SPC)</w:t>
      </w:r>
    </w:p>
    <w:p w14:paraId="1D872239" w14:textId="77777777" w:rsidR="00D47778" w:rsidRPr="00B845AF" w:rsidRDefault="00D47778" w:rsidP="00D47778">
      <w:pPr>
        <w:ind w:leftChars="200" w:left="440"/>
        <w:jc w:val="both"/>
        <w:rPr>
          <w:rFonts w:asciiTheme="minorHAnsi" w:hAnsiTheme="minorHAnsi" w:cstheme="minorHAnsi"/>
          <w:bCs/>
          <w:color w:val="000000"/>
          <w:szCs w:val="22"/>
        </w:rPr>
      </w:pPr>
      <w:r w:rsidRPr="00B845AF">
        <w:rPr>
          <w:rFonts w:asciiTheme="minorHAnsi" w:hAnsiTheme="minorHAnsi" w:cstheme="minorHAnsi"/>
          <w:bCs/>
          <w:color w:val="000000"/>
          <w:szCs w:val="22"/>
        </w:rPr>
        <w:t>Hi Fan, thanks a lot for your comment. Are you thinking about a list summarising all data checks applied to mandatory fields? For example, data checks in the </w:t>
      </w:r>
      <w:r w:rsidRPr="00B845AF">
        <w:rPr>
          <w:rFonts w:asciiTheme="minorHAnsi" w:hAnsiTheme="minorHAnsi" w:cstheme="minorHAnsi"/>
          <w:bCs/>
          <w:i/>
          <w:iCs/>
          <w:color w:val="000000"/>
          <w:szCs w:val="22"/>
        </w:rPr>
        <w:t>latitude</w:t>
      </w:r>
      <w:r w:rsidRPr="00B845AF">
        <w:rPr>
          <w:rFonts w:asciiTheme="minorHAnsi" w:hAnsiTheme="minorHAnsi" w:cstheme="minorHAnsi"/>
          <w:bCs/>
          <w:color w:val="000000"/>
          <w:szCs w:val="22"/>
        </w:rPr>
        <w:t> field in the logbook activity (longline) are:</w:t>
      </w:r>
    </w:p>
    <w:p w14:paraId="6438B900" w14:textId="77777777" w:rsidR="00D47778" w:rsidRPr="00B845AF" w:rsidRDefault="00D47778" w:rsidP="00D47778">
      <w:pPr>
        <w:numPr>
          <w:ilvl w:val="0"/>
          <w:numId w:val="47"/>
        </w:numPr>
        <w:tabs>
          <w:tab w:val="num" w:pos="280"/>
        </w:tabs>
        <w:spacing w:after="5" w:line="248" w:lineRule="auto"/>
        <w:ind w:leftChars="200" w:left="800" w:right="1"/>
        <w:jc w:val="both"/>
        <w:rPr>
          <w:rFonts w:asciiTheme="minorHAnsi" w:hAnsiTheme="minorHAnsi" w:cstheme="minorHAnsi"/>
          <w:bCs/>
          <w:color w:val="000000"/>
          <w:szCs w:val="22"/>
        </w:rPr>
      </w:pPr>
      <w:r w:rsidRPr="00B845AF">
        <w:rPr>
          <w:rFonts w:asciiTheme="minorHAnsi" w:hAnsiTheme="minorHAnsi" w:cstheme="minorHAnsi"/>
          <w:bCs/>
          <w:color w:val="000000"/>
          <w:szCs w:val="22"/>
        </w:rPr>
        <w:t>Mandatory field (nulls/NAs are not allowed)</w:t>
      </w:r>
    </w:p>
    <w:p w14:paraId="6F1E1C19" w14:textId="77777777" w:rsidR="00D47778" w:rsidRPr="00B845AF" w:rsidRDefault="00D47778" w:rsidP="00D47778">
      <w:pPr>
        <w:numPr>
          <w:ilvl w:val="0"/>
          <w:numId w:val="47"/>
        </w:numPr>
        <w:tabs>
          <w:tab w:val="num" w:pos="500"/>
        </w:tabs>
        <w:spacing w:after="5" w:line="248" w:lineRule="auto"/>
        <w:ind w:leftChars="200" w:left="800" w:right="1"/>
        <w:jc w:val="both"/>
        <w:rPr>
          <w:rFonts w:asciiTheme="minorHAnsi" w:hAnsiTheme="minorHAnsi" w:cstheme="minorHAnsi"/>
          <w:bCs/>
          <w:color w:val="000000"/>
          <w:szCs w:val="22"/>
        </w:rPr>
      </w:pPr>
      <w:r w:rsidRPr="00B845AF">
        <w:rPr>
          <w:rFonts w:asciiTheme="minorHAnsi" w:hAnsiTheme="minorHAnsi" w:cstheme="minorHAnsi"/>
          <w:bCs/>
          <w:color w:val="000000"/>
          <w:szCs w:val="22"/>
        </w:rPr>
        <w:t>Data type: Numeric</w:t>
      </w:r>
    </w:p>
    <w:p w14:paraId="7128E8E2" w14:textId="77777777" w:rsidR="00D47778" w:rsidRPr="00B845AF" w:rsidRDefault="00D47778" w:rsidP="00D47778">
      <w:pPr>
        <w:numPr>
          <w:ilvl w:val="0"/>
          <w:numId w:val="47"/>
        </w:numPr>
        <w:tabs>
          <w:tab w:val="num" w:pos="500"/>
        </w:tabs>
        <w:spacing w:after="5" w:line="248" w:lineRule="auto"/>
        <w:ind w:leftChars="200" w:left="800" w:right="1"/>
        <w:jc w:val="both"/>
        <w:rPr>
          <w:rFonts w:asciiTheme="minorHAnsi" w:hAnsiTheme="minorHAnsi" w:cstheme="minorHAnsi"/>
          <w:bCs/>
          <w:color w:val="000000"/>
          <w:szCs w:val="22"/>
        </w:rPr>
      </w:pPr>
      <w:r w:rsidRPr="00B845AF">
        <w:rPr>
          <w:rFonts w:asciiTheme="minorHAnsi" w:hAnsiTheme="minorHAnsi" w:cstheme="minorHAnsi"/>
          <w:bCs/>
          <w:color w:val="000000"/>
          <w:szCs w:val="22"/>
        </w:rPr>
        <w:t>Minimum value: -90</w:t>
      </w:r>
    </w:p>
    <w:p w14:paraId="497B2568" w14:textId="77777777" w:rsidR="00D47778" w:rsidRPr="00B845AF" w:rsidRDefault="00D47778" w:rsidP="00D47778">
      <w:pPr>
        <w:numPr>
          <w:ilvl w:val="0"/>
          <w:numId w:val="47"/>
        </w:numPr>
        <w:tabs>
          <w:tab w:val="num" w:pos="500"/>
        </w:tabs>
        <w:spacing w:after="5" w:line="248" w:lineRule="auto"/>
        <w:ind w:leftChars="200" w:left="800" w:right="1"/>
        <w:jc w:val="both"/>
        <w:rPr>
          <w:rFonts w:asciiTheme="minorHAnsi" w:hAnsiTheme="minorHAnsi" w:cstheme="minorHAnsi"/>
          <w:bCs/>
          <w:color w:val="000000"/>
          <w:szCs w:val="22"/>
        </w:rPr>
      </w:pPr>
      <w:r w:rsidRPr="00B845AF">
        <w:rPr>
          <w:rFonts w:asciiTheme="minorHAnsi" w:hAnsiTheme="minorHAnsi" w:cstheme="minorHAnsi"/>
          <w:bCs/>
          <w:color w:val="000000"/>
          <w:szCs w:val="22"/>
        </w:rPr>
        <w:t>Maximum value: +90</w:t>
      </w:r>
    </w:p>
    <w:p w14:paraId="1456D1A3" w14:textId="77777777" w:rsidR="00D47778" w:rsidRPr="00B845AF" w:rsidRDefault="00D47778" w:rsidP="00D47778">
      <w:pPr>
        <w:ind w:leftChars="200" w:left="440"/>
        <w:jc w:val="both"/>
        <w:rPr>
          <w:rFonts w:asciiTheme="minorHAnsi" w:hAnsiTheme="minorHAnsi" w:cstheme="minorHAnsi"/>
          <w:bCs/>
          <w:color w:val="000000"/>
          <w:szCs w:val="22"/>
        </w:rPr>
      </w:pPr>
      <w:r w:rsidRPr="00B845AF">
        <w:rPr>
          <w:rFonts w:asciiTheme="minorHAnsi" w:hAnsiTheme="minorHAnsi" w:cstheme="minorHAnsi"/>
          <w:bCs/>
          <w:color w:val="000000"/>
          <w:szCs w:val="22"/>
        </w:rPr>
        <w:t xml:space="preserve">If this is what you are thinking of, it is captured in the third item in Areas for </w:t>
      </w:r>
      <w:proofErr w:type="gramStart"/>
      <w:r w:rsidRPr="00B845AF">
        <w:rPr>
          <w:rFonts w:asciiTheme="minorHAnsi" w:hAnsiTheme="minorHAnsi" w:cstheme="minorHAnsi"/>
          <w:bCs/>
          <w:color w:val="000000"/>
          <w:szCs w:val="22"/>
        </w:rPr>
        <w:t>Improvement</w:t>
      </w:r>
      <w:proofErr w:type="gramEnd"/>
      <w:r w:rsidRPr="00B845AF">
        <w:rPr>
          <w:rFonts w:asciiTheme="minorHAnsi" w:hAnsiTheme="minorHAnsi" w:cstheme="minorHAnsi"/>
          <w:bCs/>
          <w:color w:val="000000"/>
          <w:szCs w:val="22"/>
        </w:rPr>
        <w:t xml:space="preserve"> and we can </w:t>
      </w:r>
      <w:proofErr w:type="gramStart"/>
      <w:r w:rsidRPr="00B845AF">
        <w:rPr>
          <w:rFonts w:asciiTheme="minorHAnsi" w:hAnsiTheme="minorHAnsi" w:cstheme="minorHAnsi"/>
          <w:bCs/>
          <w:color w:val="000000"/>
          <w:szCs w:val="22"/>
        </w:rPr>
        <w:t>definitely provide</w:t>
      </w:r>
      <w:proofErr w:type="gramEnd"/>
      <w:r w:rsidRPr="00B845AF">
        <w:rPr>
          <w:rFonts w:asciiTheme="minorHAnsi" w:hAnsiTheme="minorHAnsi" w:cstheme="minorHAnsi"/>
          <w:bCs/>
          <w:color w:val="000000"/>
          <w:szCs w:val="22"/>
        </w:rPr>
        <w:t xml:space="preserve"> the list of information requested. We thought about adding it to the documentation page, to make sure we concentrate all the relevant information for </w:t>
      </w:r>
      <w:proofErr w:type="spellStart"/>
      <w:r w:rsidRPr="00B845AF">
        <w:rPr>
          <w:rFonts w:asciiTheme="minorHAnsi" w:hAnsiTheme="minorHAnsi" w:cstheme="minorHAnsi"/>
          <w:bCs/>
          <w:color w:val="000000"/>
          <w:szCs w:val="22"/>
        </w:rPr>
        <w:t>scidata</w:t>
      </w:r>
      <w:proofErr w:type="spellEnd"/>
      <w:r w:rsidRPr="00B845AF">
        <w:rPr>
          <w:rFonts w:asciiTheme="minorHAnsi" w:hAnsiTheme="minorHAnsi" w:cstheme="minorHAnsi"/>
          <w:bCs/>
          <w:color w:val="000000"/>
          <w:szCs w:val="22"/>
        </w:rPr>
        <w:t xml:space="preserve"> submissions into a single place. Let us know how that sounds to you and to your team.</w:t>
      </w:r>
    </w:p>
    <w:p w14:paraId="61B51F4C" w14:textId="77777777" w:rsidR="00D47778" w:rsidRPr="00B845AF" w:rsidRDefault="00D47778" w:rsidP="00D47778">
      <w:pPr>
        <w:ind w:leftChars="200" w:left="440"/>
        <w:jc w:val="both"/>
        <w:rPr>
          <w:rFonts w:asciiTheme="minorHAnsi" w:hAnsiTheme="minorHAnsi" w:cstheme="minorHAnsi"/>
          <w:bCs/>
          <w:color w:val="000000"/>
          <w:szCs w:val="22"/>
        </w:rPr>
      </w:pPr>
    </w:p>
    <w:p w14:paraId="7C7E9294" w14:textId="77777777" w:rsidR="00D47778" w:rsidRPr="00B845AF" w:rsidRDefault="00D47778" w:rsidP="00D47778">
      <w:pPr>
        <w:ind w:leftChars="400" w:left="880"/>
        <w:jc w:val="both"/>
        <w:rPr>
          <w:rFonts w:asciiTheme="minorHAnsi" w:hAnsiTheme="minorHAnsi" w:cstheme="minorHAnsi"/>
          <w:b/>
          <w:color w:val="000000"/>
          <w:szCs w:val="22"/>
        </w:rPr>
      </w:pPr>
      <w:r w:rsidRPr="00B845AF">
        <w:rPr>
          <w:rFonts w:asciiTheme="minorHAnsi" w:hAnsiTheme="minorHAnsi" w:cstheme="minorHAnsi"/>
          <w:b/>
          <w:color w:val="000000"/>
          <w:szCs w:val="22"/>
        </w:rPr>
        <w:t>Response to SPC (Chinese Taipei)</w:t>
      </w:r>
    </w:p>
    <w:p w14:paraId="1ECA2E28" w14:textId="77777777" w:rsidR="00D47778" w:rsidRPr="00B845AF" w:rsidRDefault="00D47778" w:rsidP="00D47778">
      <w:pPr>
        <w:ind w:leftChars="200" w:left="440" w:firstLine="440"/>
        <w:jc w:val="both"/>
        <w:rPr>
          <w:rFonts w:asciiTheme="minorHAnsi" w:hAnsiTheme="minorHAnsi" w:cstheme="minorHAnsi"/>
          <w:bCs/>
          <w:color w:val="000000"/>
          <w:szCs w:val="22"/>
        </w:rPr>
      </w:pPr>
      <w:r w:rsidRPr="00B845AF">
        <w:rPr>
          <w:rFonts w:asciiTheme="minorHAnsi" w:hAnsiTheme="minorHAnsi" w:cstheme="minorHAnsi"/>
          <w:bCs/>
          <w:color w:val="000000"/>
          <w:szCs w:val="22"/>
        </w:rPr>
        <w:t>Hi Jessica,</w:t>
      </w:r>
    </w:p>
    <w:p w14:paraId="4D5967B5" w14:textId="77777777" w:rsidR="00D47778" w:rsidRPr="00B845AF" w:rsidRDefault="00D47778" w:rsidP="00D47778">
      <w:pPr>
        <w:ind w:leftChars="400" w:left="880"/>
        <w:jc w:val="both"/>
        <w:rPr>
          <w:rFonts w:asciiTheme="minorHAnsi" w:hAnsiTheme="minorHAnsi" w:cstheme="minorHAnsi"/>
          <w:bCs/>
          <w:color w:val="000000"/>
          <w:szCs w:val="22"/>
        </w:rPr>
      </w:pPr>
      <w:r w:rsidRPr="00B845AF">
        <w:rPr>
          <w:rFonts w:asciiTheme="minorHAnsi" w:hAnsiTheme="minorHAnsi" w:cstheme="minorHAnsi"/>
          <w:bCs/>
          <w:color w:val="000000"/>
          <w:szCs w:val="22"/>
        </w:rPr>
        <w:t>Thanks for your reply. Yes, that’s what I am thinking about. Because my colleague had some data filtering issue while uploading SciData this year, probably there’s some data fields violated the criteria set by SPC.</w:t>
      </w:r>
    </w:p>
    <w:p w14:paraId="79EC66EA" w14:textId="77777777" w:rsidR="00D47778" w:rsidRPr="00B845AF" w:rsidRDefault="00D47778" w:rsidP="00D47778">
      <w:pPr>
        <w:ind w:leftChars="200" w:left="440" w:firstLine="440"/>
        <w:jc w:val="both"/>
        <w:rPr>
          <w:rFonts w:asciiTheme="minorHAnsi" w:hAnsiTheme="minorHAnsi" w:cstheme="minorHAnsi"/>
          <w:bCs/>
          <w:color w:val="000000"/>
          <w:szCs w:val="22"/>
        </w:rPr>
      </w:pPr>
      <w:r w:rsidRPr="00B845AF">
        <w:rPr>
          <w:rFonts w:asciiTheme="minorHAnsi" w:hAnsiTheme="minorHAnsi" w:cstheme="minorHAnsi"/>
          <w:bCs/>
          <w:color w:val="000000"/>
          <w:szCs w:val="22"/>
        </w:rPr>
        <w:t>Ren-Fen</w:t>
      </w:r>
    </w:p>
    <w:p w14:paraId="7D3508E1" w14:textId="77777777" w:rsidR="00D47778" w:rsidRPr="00B845AF" w:rsidRDefault="00D47778" w:rsidP="00D47778">
      <w:pPr>
        <w:ind w:leftChars="200" w:left="440"/>
        <w:jc w:val="both"/>
        <w:rPr>
          <w:rFonts w:asciiTheme="minorHAnsi" w:hAnsiTheme="minorHAnsi" w:cstheme="minorHAnsi"/>
          <w:bCs/>
          <w:color w:val="000000"/>
          <w:szCs w:val="22"/>
        </w:rPr>
      </w:pPr>
      <w:r w:rsidRPr="00B845AF">
        <w:rPr>
          <w:rFonts w:asciiTheme="minorHAnsi" w:hAnsiTheme="minorHAnsi" w:cstheme="minorHAnsi"/>
          <w:bCs/>
          <w:color w:val="000000"/>
          <w:szCs w:val="22"/>
        </w:rPr>
        <w:tab/>
      </w:r>
      <w:r w:rsidRPr="00B845AF">
        <w:rPr>
          <w:rFonts w:asciiTheme="minorHAnsi" w:hAnsiTheme="minorHAnsi" w:cstheme="minorHAnsi"/>
          <w:bCs/>
          <w:color w:val="000000"/>
          <w:szCs w:val="22"/>
        </w:rPr>
        <w:tab/>
      </w:r>
    </w:p>
    <w:p w14:paraId="76A292E6" w14:textId="77777777" w:rsidR="00D47778" w:rsidRPr="00B845AF" w:rsidRDefault="00D47778" w:rsidP="00D47778">
      <w:pPr>
        <w:ind w:leftChars="300" w:left="660" w:firstLine="720"/>
        <w:jc w:val="both"/>
        <w:rPr>
          <w:rFonts w:asciiTheme="minorHAnsi" w:eastAsia="Yu Mincho" w:hAnsiTheme="minorHAnsi" w:cstheme="minorHAnsi"/>
          <w:b/>
          <w:color w:val="000000"/>
          <w:szCs w:val="22"/>
          <w:lang w:eastAsia="ja-JP"/>
        </w:rPr>
      </w:pPr>
      <w:r w:rsidRPr="00B845AF">
        <w:rPr>
          <w:rFonts w:asciiTheme="minorHAnsi" w:eastAsia="Yu Mincho" w:hAnsiTheme="minorHAnsi" w:cstheme="minorHAnsi"/>
          <w:b/>
          <w:color w:val="000000"/>
          <w:szCs w:val="22"/>
          <w:lang w:eastAsia="ja-JP"/>
        </w:rPr>
        <w:t>Response to Chinese Taipei (SPC)</w:t>
      </w:r>
    </w:p>
    <w:p w14:paraId="55EA88CD" w14:textId="77777777" w:rsidR="00D47778" w:rsidRPr="00B845AF" w:rsidRDefault="00D47778" w:rsidP="00D47778">
      <w:pPr>
        <w:ind w:leftChars="627" w:left="1379"/>
        <w:jc w:val="both"/>
        <w:rPr>
          <w:rFonts w:asciiTheme="minorHAnsi" w:hAnsiTheme="minorHAnsi" w:cstheme="minorHAnsi"/>
          <w:bCs/>
          <w:color w:val="000000"/>
          <w:szCs w:val="22"/>
        </w:rPr>
      </w:pPr>
      <w:r w:rsidRPr="00B845AF">
        <w:rPr>
          <w:rFonts w:asciiTheme="minorHAnsi" w:hAnsiTheme="minorHAnsi" w:cstheme="minorHAnsi"/>
          <w:bCs/>
          <w:color w:val="000000"/>
          <w:szCs w:val="22"/>
        </w:rPr>
        <w:t xml:space="preserve">Perfect, I will make sure we implement this ahead of time of the next </w:t>
      </w:r>
      <w:proofErr w:type="spellStart"/>
      <w:r w:rsidRPr="00B845AF">
        <w:rPr>
          <w:rFonts w:asciiTheme="minorHAnsi" w:hAnsiTheme="minorHAnsi" w:cstheme="minorHAnsi"/>
          <w:bCs/>
          <w:color w:val="000000"/>
          <w:szCs w:val="22"/>
        </w:rPr>
        <w:t>scidata</w:t>
      </w:r>
      <w:proofErr w:type="spellEnd"/>
      <w:r w:rsidRPr="00B845AF">
        <w:rPr>
          <w:rFonts w:asciiTheme="minorHAnsi" w:hAnsiTheme="minorHAnsi" w:cstheme="minorHAnsi"/>
          <w:bCs/>
          <w:color w:val="000000"/>
          <w:szCs w:val="22"/>
        </w:rPr>
        <w:t xml:space="preserve"> submissions and share the updates with all members to give all opportunity to review and provide additional feedback.</w:t>
      </w:r>
    </w:p>
    <w:p w14:paraId="218EF512" w14:textId="77777777" w:rsidR="00D47778" w:rsidRPr="00B845AF" w:rsidRDefault="00D47778" w:rsidP="00D47778">
      <w:pPr>
        <w:jc w:val="both"/>
        <w:rPr>
          <w:rFonts w:asciiTheme="minorHAnsi" w:hAnsiTheme="minorHAnsi" w:cstheme="minorHAnsi"/>
          <w:bCs/>
          <w:color w:val="000000"/>
          <w:szCs w:val="22"/>
        </w:rPr>
      </w:pPr>
    </w:p>
    <w:p w14:paraId="045C69CB"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9"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3.</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Proposal for Conservation and Management Measure to Implement A WCPFC Electronic Monitoring</w:t>
      </w:r>
    </w:p>
    <w:p w14:paraId="68533156" w14:textId="77777777" w:rsidR="00D47778" w:rsidRPr="00B845AF" w:rsidRDefault="00D47778" w:rsidP="00D47778">
      <w:pPr>
        <w:jc w:val="both"/>
        <w:rPr>
          <w:rFonts w:asciiTheme="minorHAnsi" w:hAnsiTheme="minorHAnsi" w:cstheme="minorHAnsi"/>
          <w:color w:val="000000"/>
          <w:szCs w:val="22"/>
        </w:rPr>
      </w:pPr>
      <w:r w:rsidRPr="00B845AF">
        <w:rPr>
          <w:rFonts w:asciiTheme="minorHAnsi" w:hAnsiTheme="minorHAnsi" w:cstheme="minorHAnsi"/>
          <w:b/>
          <w:bCs/>
          <w:color w:val="000000"/>
          <w:szCs w:val="22"/>
        </w:rPr>
        <w:t xml:space="preserve">Related papers: </w:t>
      </w:r>
      <w:hyperlink r:id="rId149" w:history="1">
        <w:r w:rsidRPr="00B845AF">
          <w:rPr>
            <w:rFonts w:asciiTheme="minorHAnsi" w:hAnsiTheme="minorHAnsi" w:cstheme="minorHAnsi"/>
            <w:color w:val="0563C1"/>
            <w:szCs w:val="22"/>
            <w:u w:val="single"/>
          </w:rPr>
          <w:t>WCPFC-SC22-2026-ST-WP10</w:t>
        </w:r>
      </w:hyperlink>
      <w:r w:rsidRPr="00B845AF">
        <w:rPr>
          <w:rFonts w:asciiTheme="minorHAnsi" w:hAnsiTheme="minorHAnsi" w:cstheme="minorHAnsi"/>
          <w:color w:val="000000"/>
          <w:szCs w:val="22"/>
        </w:rPr>
        <w:t>: United States. Proposal for Conservation and Management Measure to Implement A WCPFC Electronic Monitoring</w:t>
      </w:r>
    </w:p>
    <w:p w14:paraId="5A98B0F8" w14:textId="77777777" w:rsidR="00D47778" w:rsidRPr="00B845AF" w:rsidRDefault="00D47778" w:rsidP="00D47778">
      <w:pPr>
        <w:jc w:val="both"/>
        <w:rPr>
          <w:rFonts w:asciiTheme="minorHAnsi" w:hAnsiTheme="minorHAnsi" w:cstheme="minorHAnsi"/>
          <w:color w:val="000000"/>
          <w:szCs w:val="22"/>
        </w:rPr>
      </w:pPr>
    </w:p>
    <w:p w14:paraId="2EC9F62F" w14:textId="77777777" w:rsidR="00D47778" w:rsidRPr="00B845AF" w:rsidRDefault="00D47778" w:rsidP="00D47778">
      <w:pPr>
        <w:keepNext/>
        <w:keepLines/>
        <w:tabs>
          <w:tab w:val="left" w:pos="720"/>
        </w:tabs>
        <w:spacing w:after="9" w:line="252" w:lineRule="auto"/>
        <w:ind w:left="10" w:right="1" w:hanging="10"/>
        <w:outlineLvl w:val="1"/>
        <w:rPr>
          <w:rFonts w:asciiTheme="minorHAnsi" w:eastAsia="Yu Mincho" w:hAnsiTheme="minorHAnsi" w:cstheme="minorHAnsi"/>
          <w:b/>
          <w:color w:val="000000"/>
          <w:szCs w:val="22"/>
          <w:lang w:eastAsia="ja-JP"/>
        </w:rPr>
      </w:pPr>
      <w:r w:rsidRPr="00B845AF">
        <w:rPr>
          <w:rFonts w:asciiTheme="minorHAnsi" w:eastAsia="Yu Mincho" w:hAnsiTheme="minorHAnsi" w:cstheme="minorHAnsi"/>
          <w:b/>
          <w:color w:val="000000"/>
          <w:szCs w:val="22"/>
          <w:lang w:eastAsia="ja-JP"/>
        </w:rPr>
        <w:t>Questions and Comments</w:t>
      </w:r>
    </w:p>
    <w:p w14:paraId="14F6259F" w14:textId="77777777" w:rsidR="00D47778" w:rsidRPr="00B845AF" w:rsidRDefault="00D47778" w:rsidP="00D47778">
      <w:pPr>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Sharks Pacific</w:t>
      </w:r>
    </w:p>
    <w:p w14:paraId="420DEF3F" w14:textId="77777777" w:rsidR="00D47778" w:rsidRPr="00B845AF" w:rsidRDefault="00D47778" w:rsidP="00D47778">
      <w:pPr>
        <w:jc w:val="both"/>
        <w:rPr>
          <w:rFonts w:asciiTheme="minorHAnsi" w:eastAsia="Yu Mincho" w:hAnsiTheme="minorHAnsi" w:cstheme="minorHAnsi"/>
          <w:color w:val="000000"/>
          <w:szCs w:val="22"/>
          <w:lang w:eastAsia="ja-JP"/>
        </w:rPr>
      </w:pPr>
      <w:proofErr w:type="gramStart"/>
      <w:r w:rsidRPr="00B845AF">
        <w:rPr>
          <w:rFonts w:asciiTheme="minorHAnsi" w:eastAsia="Yu Mincho" w:hAnsiTheme="minorHAnsi" w:cstheme="minorHAnsi"/>
          <w:color w:val="000000"/>
          <w:szCs w:val="22"/>
          <w:lang w:eastAsia="ja-JP"/>
        </w:rPr>
        <w:lastRenderedPageBreak/>
        <w:t>Sharks</w:t>
      </w:r>
      <w:proofErr w:type="gramEnd"/>
      <w:r w:rsidRPr="00B845AF">
        <w:rPr>
          <w:rFonts w:asciiTheme="minorHAnsi" w:eastAsia="Yu Mincho" w:hAnsiTheme="minorHAnsi" w:cstheme="minorHAnsi"/>
          <w:color w:val="000000"/>
          <w:szCs w:val="22"/>
          <w:lang w:eastAsia="ja-JP"/>
        </w:rPr>
        <w:t xml:space="preserve"> Pacific welcomes and supports the initiative and ambition of the US to present this proposal advancing observer coverage </w:t>
      </w:r>
      <w:proofErr w:type="gramStart"/>
      <w:r w:rsidRPr="00B845AF">
        <w:rPr>
          <w:rFonts w:asciiTheme="minorHAnsi" w:eastAsia="Yu Mincho" w:hAnsiTheme="minorHAnsi" w:cstheme="minorHAnsi"/>
          <w:color w:val="000000"/>
          <w:szCs w:val="22"/>
          <w:lang w:eastAsia="ja-JP"/>
        </w:rPr>
        <w:t>through the use of</w:t>
      </w:r>
      <w:proofErr w:type="gramEnd"/>
      <w:r w:rsidRPr="00B845AF">
        <w:rPr>
          <w:rFonts w:asciiTheme="minorHAnsi" w:eastAsia="Yu Mincho" w:hAnsiTheme="minorHAnsi" w:cstheme="minorHAnsi"/>
          <w:color w:val="000000"/>
          <w:szCs w:val="22"/>
          <w:lang w:eastAsia="ja-JP"/>
        </w:rPr>
        <w:t xml:space="preserve"> EM. Particularly, we’d like to highlight the inclusion of transshipment monitoring as a discrete EM objective, which we believe is important as a means of verifying and validating data collection on high seas operations, but admit there is a lot of work remaining to ensure that transshipment EM coverage meets defined data collection objectives.</w:t>
      </w:r>
    </w:p>
    <w:p w14:paraId="2BA01D5A" w14:textId="77777777" w:rsidR="00D47778" w:rsidRPr="00B845AF" w:rsidRDefault="00D47778" w:rsidP="00D47778">
      <w:pPr>
        <w:jc w:val="both"/>
        <w:rPr>
          <w:rFonts w:asciiTheme="minorHAnsi" w:eastAsia="Yu Mincho" w:hAnsiTheme="minorHAnsi" w:cstheme="minorHAnsi"/>
          <w:color w:val="000000"/>
          <w:szCs w:val="22"/>
          <w:lang w:eastAsia="ja-JP"/>
        </w:rPr>
      </w:pPr>
    </w:p>
    <w:p w14:paraId="3892DAE4" w14:textId="77777777" w:rsidR="00D47778" w:rsidRPr="00B845AF" w:rsidRDefault="00D47778" w:rsidP="00D47778">
      <w:pPr>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However, we’d like to raise concerns regarding the minimum EM Analysis Rate as it potentially counts toward coverage targets. Specifically, we note that under the proposal CCMs may satisfy coverage requirements through ROP observers, EM, or a mix of the two. Similar to the unnecessary selective use of coverage metrics other than “number of hooks,” which represents the best available science, because CCMs will be able to satisfy coverage requirements through EM or human observers interchangeably it becomes imperative to ensure that coverage is carefully defined under both scenarios in a way that is consistent across both approaches so that creative accounting isn’t allowed. While we appreciate the US’ attempt to find a solution that appeals to some members, a coverage figure that blends installation with an unspecified analysis/review rate can look compliant on paper while delivering weaker observer coverage in practice and, more importantly, potentially allows for manipulation of coverage rate figures. For example, a nominal 20% figure could mask a much lower rate of footage </w:t>
      </w:r>
      <w:proofErr w:type="gramStart"/>
      <w:r w:rsidRPr="00B845AF">
        <w:rPr>
          <w:rFonts w:asciiTheme="minorHAnsi" w:eastAsia="Yu Mincho" w:hAnsiTheme="minorHAnsi" w:cstheme="minorHAnsi"/>
          <w:color w:val="000000"/>
          <w:szCs w:val="22"/>
          <w:lang w:eastAsia="ja-JP"/>
        </w:rPr>
        <w:t>actually reviewed</w:t>
      </w:r>
      <w:proofErr w:type="gramEnd"/>
      <w:r w:rsidRPr="00B845AF">
        <w:rPr>
          <w:rFonts w:asciiTheme="minorHAnsi" w:eastAsia="Yu Mincho" w:hAnsiTheme="minorHAnsi" w:cstheme="minorHAnsi"/>
          <w:color w:val="000000"/>
          <w:szCs w:val="22"/>
          <w:lang w:eastAsia="ja-JP"/>
        </w:rPr>
        <w:t xml:space="preserve"> if analysis rates are not independently floored. If a similar standard were applied to human observers, an observer could just go for a pleasure cruise on a fishing vessel and, at the end, submit a minimal amount of data collected on one random day out of ten such that the vessel meets the 10% threshold. We simply cannot create a lower bar for EM than currently exists for the ROP.</w:t>
      </w:r>
    </w:p>
    <w:p w14:paraId="74E42475" w14:textId="77777777" w:rsidR="00D47778" w:rsidRPr="00B845AF" w:rsidRDefault="00D47778" w:rsidP="00D47778">
      <w:pPr>
        <w:jc w:val="both"/>
        <w:rPr>
          <w:rFonts w:asciiTheme="minorHAnsi" w:eastAsia="Yu Mincho" w:hAnsiTheme="minorHAnsi" w:cstheme="minorHAnsi"/>
          <w:color w:val="000000"/>
          <w:szCs w:val="22"/>
          <w:lang w:eastAsia="ja-JP"/>
        </w:rPr>
      </w:pPr>
    </w:p>
    <w:p w14:paraId="6F578F37" w14:textId="77777777" w:rsidR="00D47778" w:rsidRPr="00B845AF" w:rsidRDefault="00D47778" w:rsidP="00D47778">
      <w:pPr>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Nonetheless, we would also like to note the positive synergy of this proposal with elasmobranch conservation objectives. SA-IP24 confirms that deep-set longline gear drives most elasmobranch fishing mortality, so since EM targets this </w:t>
      </w:r>
      <w:proofErr w:type="gramStart"/>
      <w:r w:rsidRPr="00B845AF">
        <w:rPr>
          <w:rFonts w:asciiTheme="minorHAnsi" w:eastAsia="Yu Mincho" w:hAnsiTheme="minorHAnsi" w:cstheme="minorHAnsi"/>
          <w:color w:val="000000"/>
          <w:szCs w:val="22"/>
          <w:lang w:eastAsia="ja-JP"/>
        </w:rPr>
        <w:t>fishery</w:t>
      </w:r>
      <w:proofErr w:type="gramEnd"/>
      <w:r w:rsidRPr="00B845AF">
        <w:rPr>
          <w:rFonts w:asciiTheme="minorHAnsi" w:eastAsia="Yu Mincho" w:hAnsiTheme="minorHAnsi" w:cstheme="minorHAnsi"/>
          <w:color w:val="000000"/>
          <w:szCs w:val="22"/>
          <w:lang w:eastAsia="ja-JP"/>
        </w:rPr>
        <w:t xml:space="preserve"> we welcome its application. We again note that improved, genuinely independent EM coverage in longline could materially improve bycatch/discard verification and mitigation-measure compliance for sharks and rays, provided independence in the execution and analysis of those EM systems are ensured. There are, of course, still a lot of devils in the details to be discussed and we look forward to </w:t>
      </w:r>
      <w:proofErr w:type="gramStart"/>
      <w:r w:rsidRPr="00B845AF">
        <w:rPr>
          <w:rFonts w:asciiTheme="minorHAnsi" w:eastAsia="Yu Mincho" w:hAnsiTheme="minorHAnsi" w:cstheme="minorHAnsi"/>
          <w:color w:val="000000"/>
          <w:szCs w:val="22"/>
          <w:lang w:eastAsia="ja-JP"/>
        </w:rPr>
        <w:t>further</w:t>
      </w:r>
      <w:proofErr w:type="gramEnd"/>
      <w:r w:rsidRPr="00B845AF">
        <w:rPr>
          <w:rFonts w:asciiTheme="minorHAnsi" w:eastAsia="Yu Mincho" w:hAnsiTheme="minorHAnsi" w:cstheme="minorHAnsi"/>
          <w:color w:val="000000"/>
          <w:szCs w:val="22"/>
          <w:lang w:eastAsia="ja-JP"/>
        </w:rPr>
        <w:t xml:space="preserve"> robust discussions.</w:t>
      </w:r>
    </w:p>
    <w:p w14:paraId="0D1E34C8" w14:textId="77777777" w:rsidR="00D47778" w:rsidRPr="00B845AF" w:rsidRDefault="00D47778" w:rsidP="00D47778">
      <w:pPr>
        <w:ind w:left="720"/>
        <w:jc w:val="both"/>
        <w:rPr>
          <w:rFonts w:asciiTheme="minorHAnsi" w:hAnsiTheme="minorHAnsi" w:cstheme="minorHAnsi"/>
          <w:color w:val="000000"/>
          <w:szCs w:val="22"/>
        </w:rPr>
      </w:pPr>
    </w:p>
    <w:p w14:paraId="5ADBA39D" w14:textId="77777777" w:rsidR="00D47778" w:rsidRPr="00B845AF" w:rsidRDefault="00D47778" w:rsidP="00D77543">
      <w:pPr>
        <w:keepNext/>
        <w:keepLines/>
        <w:pBdr>
          <w:top w:val="single" w:sz="4" w:space="1" w:color="auto"/>
          <w:bottom w:val="single" w:sz="4" w:space="1" w:color="auto"/>
        </w:pBdr>
        <w:tabs>
          <w:tab w:val="left" w:pos="1440"/>
          <w:tab w:val="center" w:pos="4020"/>
        </w:tabs>
        <w:spacing w:after="9" w:line="248" w:lineRule="auto"/>
        <w:ind w:left="-1"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4.</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 xml:space="preserve">Progressing the use of cannery receipt data for scientific work (P114) – a new approach </w:t>
      </w:r>
    </w:p>
    <w:p w14:paraId="37209866" w14:textId="77777777" w:rsidR="00D47778" w:rsidRPr="00B845AF" w:rsidRDefault="00D47778" w:rsidP="00D47778">
      <w:pPr>
        <w:ind w:left="370" w:hanging="370"/>
        <w:rPr>
          <w:rFonts w:asciiTheme="minorHAnsi" w:hAnsiTheme="minorHAnsi" w:cstheme="minorHAnsi"/>
          <w:color w:val="000000"/>
          <w:szCs w:val="22"/>
        </w:rPr>
      </w:pPr>
      <w:r w:rsidRPr="00B845AF">
        <w:rPr>
          <w:rFonts w:asciiTheme="minorHAnsi" w:hAnsiTheme="minorHAnsi" w:cstheme="minorHAnsi"/>
          <w:color w:val="000000"/>
          <w:szCs w:val="22"/>
        </w:rPr>
        <w:t>No questions or comments</w:t>
      </w:r>
    </w:p>
    <w:p w14:paraId="78835D23" w14:textId="77777777" w:rsidR="00D47778" w:rsidRPr="00B845AF" w:rsidRDefault="00D47778" w:rsidP="00D47778">
      <w:pPr>
        <w:ind w:left="370" w:hanging="370"/>
        <w:rPr>
          <w:rFonts w:asciiTheme="minorHAnsi" w:hAnsiTheme="minorHAnsi" w:cstheme="minorHAnsi"/>
          <w:color w:val="000000"/>
          <w:szCs w:val="22"/>
        </w:rPr>
      </w:pPr>
    </w:p>
    <w:p w14:paraId="629910FB" w14:textId="77777777" w:rsidR="00D47778" w:rsidRPr="00B845AF" w:rsidRDefault="00D47778" w:rsidP="00D77543">
      <w:pPr>
        <w:keepNext/>
        <w:keepLines/>
        <w:pBdr>
          <w:top w:val="single" w:sz="4" w:space="1" w:color="auto"/>
          <w:bottom w:val="single" w:sz="4" w:space="1" w:color="auto"/>
        </w:pBdr>
        <w:tabs>
          <w:tab w:val="left" w:pos="1440"/>
          <w:tab w:val="center" w:pos="3790"/>
        </w:tabs>
        <w:spacing w:after="9" w:line="248" w:lineRule="auto"/>
        <w:ind w:left="-1"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5.</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Project 123: Scoping the next generation of tuna stock assessment software</w:t>
      </w:r>
      <w:r w:rsidRPr="00B845AF">
        <w:rPr>
          <w:rFonts w:asciiTheme="minorHAnsi" w:eastAsia="Arial" w:hAnsiTheme="minorHAnsi" w:cstheme="minorHAnsi"/>
          <w:b/>
          <w:color w:val="000000"/>
          <w:szCs w:val="22"/>
        </w:rPr>
        <w:tab/>
      </w:r>
    </w:p>
    <w:p w14:paraId="252D6465" w14:textId="77777777" w:rsidR="00D47778" w:rsidRPr="00B845AF" w:rsidRDefault="00D47778" w:rsidP="00D47778">
      <w:pPr>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No questions or comments</w:t>
      </w:r>
    </w:p>
    <w:p w14:paraId="59715028" w14:textId="77777777" w:rsidR="00D47778" w:rsidRPr="00B845AF" w:rsidRDefault="00D47778" w:rsidP="00D47778">
      <w:pPr>
        <w:jc w:val="both"/>
        <w:rPr>
          <w:rFonts w:asciiTheme="minorHAnsi" w:hAnsiTheme="minorHAnsi" w:cstheme="minorHAnsi"/>
          <w:b/>
          <w:color w:val="000000"/>
          <w:szCs w:val="22"/>
        </w:rPr>
      </w:pPr>
    </w:p>
    <w:p w14:paraId="6B1CE3B9"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6.</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Scientific outputs from the Pacific Tuna Tagging Programme, and addressing requests from FAC19</w:t>
      </w:r>
      <w:r w:rsidRPr="00B845AF">
        <w:rPr>
          <w:rFonts w:asciiTheme="minorHAnsi" w:hAnsiTheme="minorHAnsi" w:cstheme="minorHAnsi"/>
          <w:b/>
          <w:color w:val="000000"/>
          <w:szCs w:val="22"/>
        </w:rPr>
        <w:tab/>
      </w:r>
    </w:p>
    <w:p w14:paraId="4E591E34" w14:textId="77777777" w:rsidR="00D47778" w:rsidRPr="00B845AF" w:rsidRDefault="00D47778" w:rsidP="00D47778">
      <w:pPr>
        <w:spacing w:after="5"/>
        <w:ind w:left="370" w:right="3" w:hanging="370"/>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No questions or comments</w:t>
      </w:r>
    </w:p>
    <w:p w14:paraId="4BE87D3E" w14:textId="77777777" w:rsidR="00D47778" w:rsidRPr="00B845AF" w:rsidRDefault="00D47778" w:rsidP="00D47778">
      <w:pPr>
        <w:spacing w:after="5"/>
        <w:ind w:left="370" w:right="3" w:hanging="370"/>
        <w:rPr>
          <w:rFonts w:asciiTheme="minorHAnsi" w:hAnsiTheme="minorHAnsi" w:cstheme="minorHAnsi"/>
          <w:b/>
          <w:color w:val="000000"/>
          <w:szCs w:val="22"/>
        </w:rPr>
      </w:pPr>
    </w:p>
    <w:p w14:paraId="311990E3" w14:textId="77777777" w:rsidR="00D47778" w:rsidRPr="00B845AF" w:rsidRDefault="00D47778" w:rsidP="00D77543">
      <w:pPr>
        <w:keepNext/>
        <w:keepLines/>
        <w:pBdr>
          <w:top w:val="single" w:sz="4" w:space="1" w:color="auto"/>
          <w:bottom w:val="single" w:sz="4" w:space="0"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7.</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Yellowfin Tuna Stock assessment</w:t>
      </w:r>
    </w:p>
    <w:p w14:paraId="3CD81461" w14:textId="77777777" w:rsidR="00D47778" w:rsidRPr="00B845AF" w:rsidRDefault="00D47778" w:rsidP="00D47778">
      <w:pPr>
        <w:ind w:left="10"/>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b/>
          <w:bCs/>
          <w:color w:val="000000"/>
          <w:szCs w:val="22"/>
          <w:lang w:eastAsia="ja-JP"/>
        </w:rPr>
        <w:t xml:space="preserve">Related papers: </w:t>
      </w:r>
      <w:hyperlink r:id="rId150" w:history="1">
        <w:r w:rsidRPr="00B845AF">
          <w:rPr>
            <w:rFonts w:asciiTheme="minorHAnsi" w:eastAsia="Yu Mincho" w:hAnsiTheme="minorHAnsi" w:cstheme="minorHAnsi"/>
            <w:color w:val="0563C1"/>
            <w:szCs w:val="22"/>
            <w:u w:val="single"/>
            <w:lang w:eastAsia="ja-JP"/>
          </w:rPr>
          <w:t>WCPFC-SC22-2026-SA-WP05</w:t>
        </w:r>
      </w:hyperlink>
      <w:r w:rsidRPr="00B845AF">
        <w:rPr>
          <w:rFonts w:asciiTheme="minorHAnsi" w:eastAsia="Yu Mincho" w:hAnsiTheme="minorHAnsi" w:cstheme="minorHAnsi"/>
          <w:color w:val="000000"/>
          <w:szCs w:val="22"/>
          <w:lang w:eastAsia="ja-JP"/>
        </w:rPr>
        <w:t>: A. Magnusson et al. Stock assessment of yellowfin tuna in the western and central Pacific Ocean: 2026</w:t>
      </w:r>
    </w:p>
    <w:p w14:paraId="4892A4C1" w14:textId="77777777" w:rsidR="00D47778" w:rsidRPr="00B845AF" w:rsidRDefault="00D47778" w:rsidP="00D47778">
      <w:pPr>
        <w:ind w:left="10"/>
        <w:jc w:val="both"/>
        <w:rPr>
          <w:rFonts w:asciiTheme="minorHAnsi" w:eastAsia="Yu Mincho" w:hAnsiTheme="minorHAnsi" w:cstheme="minorHAnsi"/>
          <w:color w:val="000000"/>
          <w:szCs w:val="22"/>
          <w:lang w:eastAsia="ja-JP"/>
        </w:rPr>
      </w:pPr>
    </w:p>
    <w:p w14:paraId="3CC75FF2" w14:textId="77777777" w:rsidR="00D47778" w:rsidRPr="00B845AF" w:rsidRDefault="00D47778" w:rsidP="00D47778">
      <w:pPr>
        <w:keepNext/>
        <w:keepLines/>
        <w:tabs>
          <w:tab w:val="left" w:pos="720"/>
        </w:tabs>
        <w:spacing w:after="9" w:line="252" w:lineRule="auto"/>
        <w:ind w:left="10" w:right="1" w:hanging="10"/>
        <w:outlineLvl w:val="1"/>
        <w:rPr>
          <w:rFonts w:asciiTheme="minorHAnsi" w:hAnsiTheme="minorHAnsi" w:cstheme="minorHAnsi"/>
          <w:b/>
          <w:color w:val="000000"/>
          <w:szCs w:val="22"/>
        </w:rPr>
      </w:pPr>
      <w:r w:rsidRPr="00B845AF">
        <w:rPr>
          <w:rFonts w:asciiTheme="minorHAnsi" w:hAnsiTheme="minorHAnsi" w:cstheme="minorHAnsi"/>
          <w:b/>
          <w:color w:val="000000"/>
          <w:szCs w:val="22"/>
        </w:rPr>
        <w:lastRenderedPageBreak/>
        <w:t>Questions and Comments</w:t>
      </w:r>
    </w:p>
    <w:p w14:paraId="47B8ACF7" w14:textId="77777777" w:rsidR="00D47778" w:rsidRPr="00B845AF" w:rsidRDefault="00D47778" w:rsidP="00D47778">
      <w:pPr>
        <w:ind w:left="10"/>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New Zealand</w:t>
      </w:r>
    </w:p>
    <w:p w14:paraId="12D068B5"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New Zealand thanks the authors for a substantial piece of work delivered under real time pressure, much of it in response to the 2023 peer review, SC19 comments and the PAW. We recognise these comments come late in the ODF </w:t>
      </w:r>
      <w:proofErr w:type="gramStart"/>
      <w:r w:rsidRPr="00B845AF">
        <w:rPr>
          <w:rFonts w:asciiTheme="minorHAnsi" w:eastAsia="Yu Mincho" w:hAnsiTheme="minorHAnsi" w:cstheme="minorHAnsi"/>
          <w:bCs/>
          <w:color w:val="000000"/>
          <w:szCs w:val="22"/>
          <w:lang w:eastAsia="ja-JP"/>
        </w:rPr>
        <w:t>period</w:t>
      </w:r>
      <w:proofErr w:type="gramEnd"/>
      <w:r w:rsidRPr="00B845AF">
        <w:rPr>
          <w:rFonts w:asciiTheme="minorHAnsi" w:eastAsia="Yu Mincho" w:hAnsiTheme="minorHAnsi" w:cstheme="minorHAnsi"/>
          <w:bCs/>
          <w:color w:val="000000"/>
          <w:szCs w:val="22"/>
          <w:lang w:eastAsia="ja-JP"/>
        </w:rPr>
        <w:t xml:space="preserve"> and we do not expect a response before it closes. We offer them as a contribution to future work rather than as requests for additional analysis now.</w:t>
      </w:r>
    </w:p>
    <w:p w14:paraId="604DAD96"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p>
    <w:p w14:paraId="1F09386C"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Model files</w:t>
      </w:r>
    </w:p>
    <w:p w14:paraId="3FC65469" w14:textId="77777777" w:rsidR="00D47778" w:rsidRPr="00B845AF" w:rsidRDefault="00D47778" w:rsidP="00D47778">
      <w:pPr>
        <w:numPr>
          <w:ilvl w:val="0"/>
          <w:numId w:val="49"/>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Providing the input and output files for the diagnostic model would help to support review, as was done for bigeye.</w:t>
      </w:r>
    </w:p>
    <w:p w14:paraId="36A11D6E" w14:textId="77777777" w:rsidR="00D47778" w:rsidRPr="00B845AF" w:rsidRDefault="00D47778" w:rsidP="00D47778">
      <w:pPr>
        <w:ind w:left="374" w:hanging="370"/>
        <w:jc w:val="both"/>
        <w:rPr>
          <w:rFonts w:asciiTheme="minorHAnsi" w:eastAsia="Yu Mincho" w:hAnsiTheme="minorHAnsi" w:cstheme="minorHAnsi"/>
          <w:bCs/>
          <w:color w:val="000000"/>
          <w:szCs w:val="22"/>
          <w:lang w:eastAsia="ja-JP"/>
        </w:rPr>
      </w:pPr>
    </w:p>
    <w:p w14:paraId="5DF2E445"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Tag weighting and τ</w:t>
      </w:r>
    </w:p>
    <w:p w14:paraId="4A2C06B4" w14:textId="77777777" w:rsidR="00D47778" w:rsidRPr="00B845AF" w:rsidRDefault="00D47778" w:rsidP="00D47778">
      <w:pPr>
        <w:numPr>
          <w:ilvl w:val="0"/>
          <w:numId w:val="50"/>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Section 5.5.3 states that τ is not a penalty weight and is implicit in the likelihood, but sections 6.1.1, 7.1 and 7.6 describe it as </w:t>
      </w:r>
      <w:proofErr w:type="spellStart"/>
      <w:r w:rsidRPr="00B845AF">
        <w:rPr>
          <w:rFonts w:asciiTheme="minorHAnsi" w:eastAsia="Yu Mincho" w:hAnsiTheme="minorHAnsi" w:cstheme="minorHAnsi"/>
          <w:bCs/>
          <w:color w:val="000000"/>
          <w:szCs w:val="22"/>
          <w:lang w:eastAsia="ja-JP"/>
        </w:rPr>
        <w:t>downweighting</w:t>
      </w:r>
      <w:proofErr w:type="spellEnd"/>
      <w:r w:rsidRPr="00B845AF">
        <w:rPr>
          <w:rFonts w:asciiTheme="minorHAnsi" w:eastAsia="Yu Mincho" w:hAnsiTheme="minorHAnsi" w:cstheme="minorHAnsi"/>
          <w:bCs/>
          <w:color w:val="000000"/>
          <w:szCs w:val="22"/>
          <w:lang w:eastAsia="ja-JP"/>
        </w:rPr>
        <w:t xml:space="preserve"> the tag data. This distinction matters, since a variance parameter should be estimated while a weight needs justification. No justification is provided for τ = 2 beyond noting that τ = 1 implies a Poisson distribution — could the authors clarify whether there is a source or empirical basis for this value, or whether it is a convention carried forward?</w:t>
      </w:r>
    </w:p>
    <w:p w14:paraId="160A06DA" w14:textId="77777777" w:rsidR="00D47778" w:rsidRPr="00B845AF" w:rsidRDefault="00D47778" w:rsidP="00D47778">
      <w:pPr>
        <w:numPr>
          <w:ilvl w:val="0"/>
          <w:numId w:val="50"/>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Only τ = 1 and τ = 2 were tested, and τ is not among the ensemble factors, so all 48 models share τ = 2 on an axis identified as a major scale driver. Our provisional analysis indicates the plausible range could be wider than has been explored. We </w:t>
      </w:r>
      <w:proofErr w:type="gramStart"/>
      <w:r w:rsidRPr="00B845AF">
        <w:rPr>
          <w:rFonts w:asciiTheme="minorHAnsi" w:eastAsia="Yu Mincho" w:hAnsiTheme="minorHAnsi" w:cstheme="minorHAnsi"/>
          <w:bCs/>
          <w:color w:val="000000"/>
          <w:szCs w:val="22"/>
          <w:lang w:eastAsia="ja-JP"/>
        </w:rPr>
        <w:t>suggest τ be estimated</w:t>
      </w:r>
      <w:proofErr w:type="gramEnd"/>
      <w:r w:rsidRPr="00B845AF">
        <w:rPr>
          <w:rFonts w:asciiTheme="minorHAnsi" w:eastAsia="Yu Mincho" w:hAnsiTheme="minorHAnsi" w:cstheme="minorHAnsi"/>
          <w:bCs/>
          <w:color w:val="000000"/>
          <w:szCs w:val="22"/>
          <w:lang w:eastAsia="ja-JP"/>
        </w:rPr>
        <w:t xml:space="preserve"> outside the model from fits to the tag data </w:t>
      </w:r>
      <w:proofErr w:type="gramStart"/>
      <w:r w:rsidRPr="00B845AF">
        <w:rPr>
          <w:rFonts w:asciiTheme="minorHAnsi" w:eastAsia="Yu Mincho" w:hAnsiTheme="minorHAnsi" w:cstheme="minorHAnsi"/>
          <w:bCs/>
          <w:color w:val="000000"/>
          <w:szCs w:val="22"/>
          <w:lang w:eastAsia="ja-JP"/>
        </w:rPr>
        <w:t>and also</w:t>
      </w:r>
      <w:proofErr w:type="gramEnd"/>
      <w:r w:rsidRPr="00B845AF">
        <w:rPr>
          <w:rFonts w:asciiTheme="minorHAnsi" w:eastAsia="Yu Mincho" w:hAnsiTheme="minorHAnsi" w:cstheme="minorHAnsi"/>
          <w:bCs/>
          <w:color w:val="000000"/>
          <w:szCs w:val="22"/>
          <w:lang w:eastAsia="ja-JP"/>
        </w:rPr>
        <w:t xml:space="preserve"> query whether the authors could consider adding τ to the ensemble?</w:t>
      </w:r>
    </w:p>
    <w:p w14:paraId="19B59C69" w14:textId="77777777" w:rsidR="00D47778" w:rsidRPr="00B845AF" w:rsidRDefault="00D47778" w:rsidP="00D47778">
      <w:pPr>
        <w:numPr>
          <w:ilvl w:val="0"/>
          <w:numId w:val="50"/>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We also note that steps 1 to 15 were developed under τ near 1, with τ = 2 only added once the diagnostic model was settled, and that Section 7.6 flags an interaction with the mixing period setting. It would be worth re-testing across a range of τ values.</w:t>
      </w:r>
    </w:p>
    <w:p w14:paraId="673E18FF" w14:textId="77777777" w:rsidR="00D47778" w:rsidRPr="00B845AF" w:rsidRDefault="00D47778" w:rsidP="00D47778">
      <w:pPr>
        <w:ind w:left="374" w:hanging="370"/>
        <w:jc w:val="both"/>
        <w:rPr>
          <w:rFonts w:asciiTheme="minorHAnsi" w:eastAsia="Yu Mincho" w:hAnsiTheme="minorHAnsi" w:cstheme="minorHAnsi"/>
          <w:bCs/>
          <w:color w:val="000000"/>
          <w:szCs w:val="22"/>
          <w:lang w:eastAsia="ja-JP"/>
        </w:rPr>
      </w:pPr>
    </w:p>
    <w:p w14:paraId="5451D8F6"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Direction of the τ effect, and growth</w:t>
      </w:r>
    </w:p>
    <w:p w14:paraId="62FD258A" w14:textId="77777777" w:rsidR="00D47778" w:rsidRPr="00B845AF" w:rsidRDefault="00D47778" w:rsidP="00D47778">
      <w:pPr>
        <w:numPr>
          <w:ilvl w:val="0"/>
          <w:numId w:val="51"/>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Fifteen reporting rates are at </w:t>
      </w:r>
      <w:proofErr w:type="gramStart"/>
      <w:r w:rsidRPr="00B845AF">
        <w:rPr>
          <w:rFonts w:asciiTheme="minorHAnsi" w:eastAsia="Yu Mincho" w:hAnsiTheme="minorHAnsi" w:cstheme="minorHAnsi"/>
          <w:bCs/>
          <w:color w:val="000000"/>
          <w:szCs w:val="22"/>
          <w:lang w:eastAsia="ja-JP"/>
        </w:rPr>
        <w:t>the 0.99</w:t>
      </w:r>
      <w:proofErr w:type="gramEnd"/>
      <w:r w:rsidRPr="00B845AF">
        <w:rPr>
          <w:rFonts w:asciiTheme="minorHAnsi" w:eastAsia="Yu Mincho" w:hAnsiTheme="minorHAnsi" w:cstheme="minorHAnsi"/>
          <w:bCs/>
          <w:color w:val="000000"/>
          <w:szCs w:val="22"/>
          <w:lang w:eastAsia="ja-JP"/>
        </w:rPr>
        <w:t xml:space="preserve"> bound and the model wants them higher, so it compensates </w:t>
      </w:r>
      <w:proofErr w:type="gramStart"/>
      <w:r w:rsidRPr="00B845AF">
        <w:rPr>
          <w:rFonts w:asciiTheme="minorHAnsi" w:eastAsia="Yu Mincho" w:hAnsiTheme="minorHAnsi" w:cstheme="minorHAnsi"/>
          <w:bCs/>
          <w:color w:val="000000"/>
          <w:szCs w:val="22"/>
          <w:lang w:eastAsia="ja-JP"/>
        </w:rPr>
        <w:t>through</w:t>
      </w:r>
      <w:proofErr w:type="gramEnd"/>
      <w:r w:rsidRPr="00B845AF">
        <w:rPr>
          <w:rFonts w:asciiTheme="minorHAnsi" w:eastAsia="Yu Mincho" w:hAnsiTheme="minorHAnsi" w:cstheme="minorHAnsi"/>
          <w:bCs/>
          <w:color w:val="000000"/>
          <w:szCs w:val="22"/>
          <w:lang w:eastAsia="ja-JP"/>
        </w:rPr>
        <w:t xml:space="preserve"> F, which caps biomass. Figure 30 shows the tag component preferring lower biomass than CPUE. Downweighting the tags should therefore raise biomass, but step 16 does the opposite. From the app, we estimate L1 falls from about 20 cm at step 15 to 12 cm at step 16, with τ the only change. Because the Lorenzen curve derives from growth with M fixed at age 40, mortality at age shifts at the same step. Given that M scale is the most influential ensemble factor, much of the step 16 biomass change may come through growth and M rather than tag weighting. A run at τ = 2 with growth fixed at the step 15 values would separate the two. We note this runs against Section 8.2.3, which attributes the low L1 to the tag likelihood and so predicts L1 rising when tags are downweighted, and that the step 16 L1 sits below effectively all age 1 CAAL observations while the step 15 value sits within them.</w:t>
      </w:r>
    </w:p>
    <w:p w14:paraId="2496069C" w14:textId="77777777" w:rsidR="00D47778" w:rsidRPr="00B845AF" w:rsidRDefault="00D47778" w:rsidP="00D47778">
      <w:pPr>
        <w:numPr>
          <w:ilvl w:val="0"/>
          <w:numId w:val="51"/>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Raising τ also increases the influence of the size data, which may not be internally consistent since growth likely varies spatially — as SPC document for bigeye in SA-IP-11 — while the assessment applies a single curve across all regions. The model then settles on a compromise that fits no region well, and because M at age derives from growth, that compromise propagates into mortality and scale; this may explain much of the large growth change at step 16. Combining the </w:t>
      </w:r>
      <w:proofErr w:type="gramStart"/>
      <w:r w:rsidRPr="00B845AF">
        <w:rPr>
          <w:rFonts w:asciiTheme="minorHAnsi" w:eastAsia="Yu Mincho" w:hAnsiTheme="minorHAnsi" w:cstheme="minorHAnsi"/>
          <w:bCs/>
          <w:color w:val="000000"/>
          <w:szCs w:val="22"/>
          <w:lang w:eastAsia="ja-JP"/>
        </w:rPr>
        <w:t>fleets</w:t>
      </w:r>
      <w:proofErr w:type="gramEnd"/>
      <w:r w:rsidRPr="00B845AF">
        <w:rPr>
          <w:rFonts w:asciiTheme="minorHAnsi" w:eastAsia="Yu Mincho" w:hAnsiTheme="minorHAnsi" w:cstheme="minorHAnsi"/>
          <w:bCs/>
          <w:color w:val="000000"/>
          <w:szCs w:val="22"/>
          <w:lang w:eastAsia="ja-JP"/>
        </w:rPr>
        <w:t>-as-areas approach in SA-IP-09 with regionally converted length-at-age data, as in SA-IP-11, would let regional growth differences be represented — is this tractable for the next assessment?</w:t>
      </w:r>
    </w:p>
    <w:p w14:paraId="2A886298" w14:textId="77777777" w:rsidR="00D47778" w:rsidRPr="00B845AF" w:rsidRDefault="00D47778" w:rsidP="00D47778">
      <w:pPr>
        <w:ind w:left="374" w:hanging="370"/>
        <w:jc w:val="both"/>
        <w:rPr>
          <w:rFonts w:asciiTheme="minorHAnsi" w:eastAsia="Yu Mincho" w:hAnsiTheme="minorHAnsi" w:cstheme="minorHAnsi"/>
          <w:bCs/>
          <w:color w:val="000000"/>
          <w:szCs w:val="22"/>
          <w:lang w:eastAsia="ja-JP"/>
        </w:rPr>
      </w:pPr>
    </w:p>
    <w:p w14:paraId="4D3B257A"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lastRenderedPageBreak/>
        <w:t>Tag data</w:t>
      </w:r>
    </w:p>
    <w:p w14:paraId="7119A55D" w14:textId="77777777" w:rsidR="00D47778" w:rsidRPr="00B845AF" w:rsidRDefault="00D47778" w:rsidP="00D47778">
      <w:pPr>
        <w:numPr>
          <w:ilvl w:val="0"/>
          <w:numId w:val="52"/>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Section 7.1 states that the two mixing period </w:t>
      </w:r>
      <w:r w:rsidRPr="00B845AF">
        <w:rPr>
          <w:rFonts w:asciiTheme="minorHAnsi" w:eastAsia="Yu Mincho" w:hAnsiTheme="minorHAnsi" w:cstheme="minorHAnsi"/>
          <w:b/>
          <w:bCs/>
          <w:color w:val="000000"/>
          <w:szCs w:val="22"/>
          <w:lang w:eastAsia="ja-JP"/>
        </w:rPr>
        <w:t xml:space="preserve">reporting rate </w:t>
      </w:r>
      <w:r w:rsidRPr="00B845AF">
        <w:rPr>
          <w:rFonts w:asciiTheme="minorHAnsi" w:eastAsia="Yu Mincho" w:hAnsiTheme="minorHAnsi" w:cstheme="minorHAnsi"/>
          <w:bCs/>
          <w:color w:val="000000"/>
          <w:szCs w:val="22"/>
          <w:lang w:eastAsia="ja-JP"/>
        </w:rPr>
        <w:t xml:space="preserve">options bias in opposite directions, and that conclusion carries the argument, since this is the second most influential ensemble factor. If both err in the same direction, the ensemble displaces rather than brackets. Could the authors set out the basis for the claim? Our understanding is that option 0 reduces the F estimate somewhat and option 1 reduces it further. Have the authors considered </w:t>
      </w:r>
      <w:r w:rsidRPr="00B845AF">
        <w:rPr>
          <w:rFonts w:asciiTheme="minorHAnsi" w:eastAsia="Yu Mincho" w:hAnsiTheme="minorHAnsi" w:cstheme="minorHAnsi"/>
          <w:b/>
          <w:bCs/>
          <w:color w:val="000000"/>
          <w:szCs w:val="22"/>
          <w:lang w:eastAsia="ja-JP"/>
        </w:rPr>
        <w:t xml:space="preserve">using option 0 only, and </w:t>
      </w:r>
      <w:r w:rsidRPr="00B845AF">
        <w:rPr>
          <w:rFonts w:asciiTheme="minorHAnsi" w:eastAsia="Yu Mincho" w:hAnsiTheme="minorHAnsi" w:cstheme="minorHAnsi"/>
          <w:bCs/>
          <w:color w:val="000000"/>
          <w:szCs w:val="22"/>
          <w:lang w:eastAsia="ja-JP"/>
        </w:rPr>
        <w:t>removing the release groups that reach the threshold at which problems arise under option 0?</w:t>
      </w:r>
    </w:p>
    <w:p w14:paraId="7FE9DE23" w14:textId="77777777" w:rsidR="00D47778" w:rsidRPr="00B845AF" w:rsidRDefault="00D47778" w:rsidP="00D47778">
      <w:pPr>
        <w:numPr>
          <w:ilvl w:val="0"/>
          <w:numId w:val="52"/>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Fifteen reporting rates are at 0.99, of 49 parameters on bound, and Figure 23 suggests a bimodal pattern, either at the bound or near 0.3. Is this a lack of identifiability between reporting rate, F and scale? The estimates also depart from the seeding priors consistently in one direction, a conflict with independent experimental data that is not treated as such in Section 7.4.1. Because the rates cannot rise further, the model compensates through F, so limited movement in the sensitivity results may reflect the constraint rather than robustness. How should SC interpret the Hessian based percentile ranges with 49 parameters at bounds?</w:t>
      </w:r>
    </w:p>
    <w:p w14:paraId="49FBE092" w14:textId="77777777" w:rsidR="00D47778" w:rsidRPr="00B845AF" w:rsidRDefault="00D47778" w:rsidP="00D47778">
      <w:pPr>
        <w:numPr>
          <w:ilvl w:val="0"/>
          <w:numId w:val="52"/>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Section 7.2.3 describes underestimation of tag returns at quarters 4 to 6; our reading of Figure 21 is that quarters 4 through 8 all sit above the predicted line, implying </w:t>
      </w:r>
      <w:r w:rsidRPr="00B845AF">
        <w:rPr>
          <w:rFonts w:asciiTheme="minorHAnsi" w:eastAsia="Yu Mincho" w:hAnsiTheme="minorHAnsi" w:cstheme="minorHAnsi"/>
          <w:b/>
          <w:bCs/>
          <w:color w:val="000000"/>
          <w:szCs w:val="22"/>
          <w:lang w:eastAsia="ja-JP"/>
        </w:rPr>
        <w:t xml:space="preserve">modelled </w:t>
      </w:r>
      <w:r w:rsidRPr="00B845AF">
        <w:rPr>
          <w:rFonts w:asciiTheme="minorHAnsi" w:eastAsia="Yu Mincho" w:hAnsiTheme="minorHAnsi" w:cstheme="minorHAnsi"/>
          <w:bCs/>
          <w:color w:val="000000"/>
          <w:szCs w:val="22"/>
          <w:lang w:eastAsia="ja-JP"/>
        </w:rPr>
        <w:t xml:space="preserve">attrition is too rapid after mixing. The authors may wish to consider revising this </w:t>
      </w:r>
      <w:proofErr w:type="gramStart"/>
      <w:r w:rsidRPr="00B845AF">
        <w:rPr>
          <w:rFonts w:asciiTheme="minorHAnsi" w:eastAsia="Yu Mincho" w:hAnsiTheme="minorHAnsi" w:cstheme="minorHAnsi"/>
          <w:bCs/>
          <w:color w:val="000000"/>
          <w:szCs w:val="22"/>
          <w:lang w:eastAsia="ja-JP"/>
        </w:rPr>
        <w:t>description, and</w:t>
      </w:r>
      <w:proofErr w:type="gramEnd"/>
      <w:r w:rsidRPr="00B845AF">
        <w:rPr>
          <w:rFonts w:asciiTheme="minorHAnsi" w:eastAsia="Yu Mincho" w:hAnsiTheme="minorHAnsi" w:cstheme="minorHAnsi"/>
          <w:bCs/>
          <w:color w:val="000000"/>
          <w:szCs w:val="22"/>
          <w:lang w:eastAsia="ja-JP"/>
        </w:rPr>
        <w:t xml:space="preserve"> noting that the close fit at quarters 1 and 2 carries little information, since the mixing period </w:t>
      </w:r>
      <w:proofErr w:type="spellStart"/>
      <w:r w:rsidRPr="00B845AF">
        <w:rPr>
          <w:rFonts w:asciiTheme="minorHAnsi" w:eastAsia="Yu Mincho" w:hAnsiTheme="minorHAnsi" w:cstheme="minorHAnsi"/>
          <w:bCs/>
          <w:color w:val="000000"/>
          <w:szCs w:val="22"/>
          <w:lang w:eastAsia="ja-JP"/>
        </w:rPr>
        <w:t>desensitises</w:t>
      </w:r>
      <w:proofErr w:type="spellEnd"/>
      <w:r w:rsidRPr="00B845AF">
        <w:rPr>
          <w:rFonts w:asciiTheme="minorHAnsi" w:eastAsia="Yu Mincho" w:hAnsiTheme="minorHAnsi" w:cstheme="minorHAnsi"/>
          <w:bCs/>
          <w:color w:val="000000"/>
          <w:szCs w:val="22"/>
          <w:lang w:eastAsia="ja-JP"/>
        </w:rPr>
        <w:t xml:space="preserve"> the likelihood there. Residuals against time at liberty are in the app but not the paper — would it be possible to include versions disaggregated by release region and tagging programme; and plotted on the log scale.</w:t>
      </w:r>
    </w:p>
    <w:p w14:paraId="5EE3249E" w14:textId="77777777" w:rsidR="00D47778" w:rsidRPr="00B845AF" w:rsidRDefault="00D47778" w:rsidP="00D47778">
      <w:pPr>
        <w:ind w:left="720"/>
        <w:jc w:val="both"/>
        <w:rPr>
          <w:rFonts w:asciiTheme="minorHAnsi" w:eastAsia="Yu Mincho" w:hAnsiTheme="minorHAnsi" w:cstheme="minorHAnsi"/>
          <w:bCs/>
          <w:color w:val="000000"/>
          <w:szCs w:val="22"/>
          <w:lang w:eastAsia="ja-JP"/>
        </w:rPr>
      </w:pPr>
    </w:p>
    <w:p w14:paraId="4B00AA99"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Convergence</w:t>
      </w:r>
    </w:p>
    <w:p w14:paraId="739D8A51" w14:textId="77777777" w:rsidR="00D47778" w:rsidRPr="00B845AF" w:rsidRDefault="00D47778" w:rsidP="00D47778">
      <w:pPr>
        <w:numPr>
          <w:ilvl w:val="0"/>
          <w:numId w:val="53"/>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Our reading of Figure 26 is that no jitter run recovered the diagnostic solution, with completed runs 36 to 56 units worse, clustering into around five groups. This may suggest a rugged likelihood surface with distinct local optima, rather than providing reassurance of a well-defined minimum — we would welcome the authors’ comment, and the basis for the 200-unit acceptance criterion. We also note that Section 8.1.2 states OPR was the only way to obtain a PDH, so the PDH cannot be treated as independent evidence that the model is well behaved. Are regional recruitment estimates without OPR available for comparison?</w:t>
      </w:r>
    </w:p>
    <w:p w14:paraId="7DD0445A" w14:textId="77777777" w:rsidR="00D47778" w:rsidRPr="00B845AF" w:rsidRDefault="00D47778" w:rsidP="00D47778">
      <w:pPr>
        <w:ind w:left="720"/>
        <w:jc w:val="both"/>
        <w:rPr>
          <w:rFonts w:asciiTheme="minorHAnsi" w:eastAsia="Yu Mincho" w:hAnsiTheme="minorHAnsi" w:cstheme="minorHAnsi"/>
          <w:bCs/>
          <w:color w:val="000000"/>
          <w:szCs w:val="22"/>
          <w:lang w:eastAsia="ja-JP"/>
        </w:rPr>
      </w:pPr>
    </w:p>
    <w:p w14:paraId="39DB2582"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Retrospective</w:t>
      </w:r>
    </w:p>
    <w:p w14:paraId="273ACCF6" w14:textId="77777777" w:rsidR="00D47778" w:rsidRPr="00B845AF" w:rsidRDefault="00D47778" w:rsidP="00D47778">
      <w:pPr>
        <w:numPr>
          <w:ilvl w:val="0"/>
          <w:numId w:val="54"/>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Mohn’s rho is within conventional bounds, but Figure 28 shows the peels sitting below the full-data run across the whole series, back to 1952. This appears to reflect a scale shift associated with one year of data, rather than a terminal-year pattern alone. If the cause is the 2024 Indonesian handline reallocation, could the authors indicate its estimated effect on historical spawning potential, and how SC should treat the 2026 results while the correction is outstanding?</w:t>
      </w:r>
    </w:p>
    <w:p w14:paraId="15D5BFF4" w14:textId="77777777" w:rsidR="00D47778" w:rsidRPr="00B845AF" w:rsidRDefault="00D47778" w:rsidP="00D47778">
      <w:pPr>
        <w:ind w:left="720"/>
        <w:jc w:val="both"/>
        <w:rPr>
          <w:rFonts w:asciiTheme="minorHAnsi" w:eastAsia="Yu Mincho" w:hAnsiTheme="minorHAnsi" w:cstheme="minorHAnsi"/>
          <w:bCs/>
          <w:color w:val="000000"/>
          <w:szCs w:val="22"/>
          <w:lang w:eastAsia="ja-JP"/>
        </w:rPr>
      </w:pPr>
    </w:p>
    <w:p w14:paraId="4431AB2A"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Spatial structure</w:t>
      </w:r>
    </w:p>
    <w:p w14:paraId="40803496" w14:textId="77777777" w:rsidR="00D47778" w:rsidRPr="00B845AF" w:rsidRDefault="00D47778" w:rsidP="00D47778">
      <w:pPr>
        <w:numPr>
          <w:ilvl w:val="0"/>
          <w:numId w:val="55"/>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Movement rates are low and 29 movement coefficients are at bounds. Movement and the regional distribution of vulnerable biomass together determine regional depletion and how the tags inform scale. How well determined are the movement parameters?</w:t>
      </w:r>
    </w:p>
    <w:p w14:paraId="116E3F87" w14:textId="77777777" w:rsidR="00D47778" w:rsidRPr="00B845AF" w:rsidRDefault="00D47778" w:rsidP="00D47778">
      <w:pPr>
        <w:numPr>
          <w:ilvl w:val="0"/>
          <w:numId w:val="55"/>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SA-IP-02 reports that in the bigeye test the penalty did not reach its targets in three of nine regions, that heavier weights came closer, and that some freed index fishery selectivities were spurious; it also found the penalty raised mean total biomass by 28–36%, left the stock about 8% less depleted, and shifted growth. Step 8 of the yellowfin stepwise moved in the opposite direction, toward </w:t>
      </w:r>
      <w:r w:rsidRPr="00B845AF">
        <w:rPr>
          <w:rFonts w:asciiTheme="minorHAnsi" w:eastAsia="Yu Mincho" w:hAnsiTheme="minorHAnsi" w:cstheme="minorHAnsi"/>
          <w:bCs/>
          <w:color w:val="000000"/>
          <w:szCs w:val="22"/>
          <w:lang w:eastAsia="ja-JP"/>
        </w:rPr>
        <w:lastRenderedPageBreak/>
        <w:t xml:space="preserve">lower SB and greater depletion, and the yellowfin paper does not state the penalty weight used. Could the authors report the weight and the estimated regional shares against the targets, confirm whether the index selectivities were checked, and comment on why the direction differs and whether growth also changed at step 8? This matters because freeing the regional catchabilities removes regional scaling information from the indices, so the penalty now carries essentially all of it — and since this was the largest single stepwise change, using the </w:t>
      </w:r>
      <w:proofErr w:type="gramStart"/>
      <w:r w:rsidRPr="00B845AF">
        <w:rPr>
          <w:rFonts w:asciiTheme="minorHAnsi" w:eastAsia="Yu Mincho" w:hAnsiTheme="minorHAnsi" w:cstheme="minorHAnsi"/>
          <w:bCs/>
          <w:color w:val="000000"/>
          <w:szCs w:val="22"/>
          <w:lang w:eastAsia="ja-JP"/>
        </w:rPr>
        <w:t>full time</w:t>
      </w:r>
      <w:proofErr w:type="gramEnd"/>
      <w:r w:rsidRPr="00B845AF">
        <w:rPr>
          <w:rFonts w:asciiTheme="minorHAnsi" w:eastAsia="Yu Mincho" w:hAnsiTheme="minorHAnsi" w:cstheme="minorHAnsi"/>
          <w:bCs/>
          <w:color w:val="000000"/>
          <w:szCs w:val="22"/>
          <w:lang w:eastAsia="ja-JP"/>
        </w:rPr>
        <w:t xml:space="preserve"> series rather than the PAW-recommended 1965–1969 period, is a sensitivity on the time period available?</w:t>
      </w:r>
    </w:p>
    <w:p w14:paraId="4D87DA23" w14:textId="77777777" w:rsidR="00D47778" w:rsidRPr="00B845AF" w:rsidRDefault="00D47778" w:rsidP="00D47778">
      <w:pPr>
        <w:numPr>
          <w:ilvl w:val="0"/>
          <w:numId w:val="55"/>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Recruitment is concentrated in region 2, attributed to catches of small yellowfin in the Indonesian and Philippine fisheries. How sensitive is the regional recruitment distribution to those catch and size inputs?</w:t>
      </w:r>
    </w:p>
    <w:p w14:paraId="6FC83E1D" w14:textId="77777777" w:rsidR="00D47778" w:rsidRPr="00B845AF" w:rsidRDefault="00D47778" w:rsidP="00D47778">
      <w:pPr>
        <w:ind w:left="720"/>
        <w:jc w:val="both"/>
        <w:rPr>
          <w:rFonts w:asciiTheme="minorHAnsi" w:eastAsia="Yu Mincho" w:hAnsiTheme="minorHAnsi" w:cstheme="minorHAnsi"/>
          <w:bCs/>
          <w:color w:val="000000"/>
          <w:szCs w:val="22"/>
          <w:lang w:eastAsia="ja-JP"/>
        </w:rPr>
      </w:pPr>
    </w:p>
    <w:p w14:paraId="7003D0B9"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Fits to data</w:t>
      </w:r>
    </w:p>
    <w:p w14:paraId="5D6B4284" w14:textId="77777777" w:rsidR="00D47778" w:rsidRPr="00B845AF" w:rsidRDefault="00D47778" w:rsidP="00D47778">
      <w:pPr>
        <w:numPr>
          <w:ilvl w:val="0"/>
          <w:numId w:val="56"/>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Section 7.2.2 reports that the model does not follow observed declines in mean length in several longline </w:t>
      </w:r>
      <w:proofErr w:type="gramStart"/>
      <w:r w:rsidRPr="00B845AF">
        <w:rPr>
          <w:rFonts w:asciiTheme="minorHAnsi" w:eastAsia="Yu Mincho" w:hAnsiTheme="minorHAnsi" w:cstheme="minorHAnsi"/>
          <w:bCs/>
          <w:color w:val="000000"/>
          <w:szCs w:val="22"/>
          <w:lang w:eastAsia="ja-JP"/>
        </w:rPr>
        <w:t>fisheries, and</w:t>
      </w:r>
      <w:proofErr w:type="gramEnd"/>
      <w:r w:rsidRPr="00B845AF">
        <w:rPr>
          <w:rFonts w:asciiTheme="minorHAnsi" w:eastAsia="Yu Mincho" w:hAnsiTheme="minorHAnsi" w:cstheme="minorHAnsi"/>
          <w:bCs/>
          <w:color w:val="000000"/>
          <w:szCs w:val="22"/>
          <w:lang w:eastAsia="ja-JP"/>
        </w:rPr>
        <w:t xml:space="preserve"> overpredicts median length in all five main industrial purse seine fisheries. Are standardised residual plots by fishery and year available, with input against implied effective sample sizes? Size weighting uses divisors of 10, 20 and 40, the Dirichlet multinomial having been rejected because it degraded the index fits, which suggests the tension with the indices is </w:t>
      </w:r>
      <w:proofErr w:type="gramStart"/>
      <w:r w:rsidRPr="00B845AF">
        <w:rPr>
          <w:rFonts w:asciiTheme="minorHAnsi" w:eastAsia="Yu Mincho" w:hAnsiTheme="minorHAnsi" w:cstheme="minorHAnsi"/>
          <w:bCs/>
          <w:color w:val="000000"/>
          <w:szCs w:val="22"/>
          <w:lang w:eastAsia="ja-JP"/>
        </w:rPr>
        <w:t>being managed</w:t>
      </w:r>
      <w:proofErr w:type="gramEnd"/>
      <w:r w:rsidRPr="00B845AF">
        <w:rPr>
          <w:rFonts w:asciiTheme="minorHAnsi" w:eastAsia="Yu Mincho" w:hAnsiTheme="minorHAnsi" w:cstheme="minorHAnsi"/>
          <w:bCs/>
          <w:color w:val="000000"/>
          <w:szCs w:val="22"/>
          <w:lang w:eastAsia="ja-JP"/>
        </w:rPr>
        <w:t xml:space="preserve"> by choice of divisor.</w:t>
      </w:r>
    </w:p>
    <w:p w14:paraId="76E39EC9" w14:textId="77777777" w:rsidR="00D47778" w:rsidRPr="00B845AF" w:rsidRDefault="00D47778" w:rsidP="00D47778">
      <w:pPr>
        <w:numPr>
          <w:ilvl w:val="0"/>
          <w:numId w:val="56"/>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Figure 13 presents CPUE residuals on the observation scale rather than standardised by the assumed error. With time varying CVs, the funnel could reflect either fit or weighting, so we suggest standardised residuals, a runs test, and RMSE by index.</w:t>
      </w:r>
    </w:p>
    <w:p w14:paraId="154F873F" w14:textId="77777777" w:rsidR="00D47778" w:rsidRPr="00B845AF" w:rsidRDefault="00D47778" w:rsidP="00D47778">
      <w:pPr>
        <w:numPr>
          <w:ilvl w:val="0"/>
          <w:numId w:val="56"/>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What does the PEN component in Figure 30 comprise? It is minimised at low biomass and rises monotonically, so it appears to contribute to scale. The figure is also truncated before the CAAL component reaches a minimum, so the size of that conflict cannot be read. Could a finer, wider version be provided?</w:t>
      </w:r>
    </w:p>
    <w:p w14:paraId="27044A0A" w14:textId="77777777" w:rsidR="00D47778" w:rsidRPr="00B845AF" w:rsidRDefault="00D47778" w:rsidP="00D47778">
      <w:pPr>
        <w:ind w:left="720"/>
        <w:jc w:val="both"/>
        <w:rPr>
          <w:rFonts w:asciiTheme="minorHAnsi" w:eastAsia="Yu Mincho" w:hAnsiTheme="minorHAnsi" w:cstheme="minorHAnsi"/>
          <w:bCs/>
          <w:color w:val="000000"/>
          <w:szCs w:val="22"/>
          <w:lang w:eastAsia="ja-JP"/>
        </w:rPr>
      </w:pPr>
    </w:p>
    <w:p w14:paraId="6A99266A" w14:textId="77777777" w:rsidR="00D47778" w:rsidRPr="00B845AF" w:rsidRDefault="00D47778" w:rsidP="00D47778">
      <w:pPr>
        <w:ind w:left="1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
          <w:bCs/>
          <w:color w:val="000000"/>
          <w:szCs w:val="22"/>
          <w:lang w:eastAsia="ja-JP"/>
        </w:rPr>
        <w:t>Further work</w:t>
      </w:r>
    </w:p>
    <w:p w14:paraId="1063A6F9" w14:textId="77777777" w:rsidR="00D47778" w:rsidRPr="00B845AF" w:rsidRDefault="00D47778" w:rsidP="00D47778">
      <w:pPr>
        <w:numPr>
          <w:ilvl w:val="0"/>
          <w:numId w:val="57"/>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New Zealand supports the recommendations in Section 8.2, particularly the tag modelling workshop and the observation that the MFCL-specific workarounds currently sit separately from the DTU external tagging analysis. We also support tracking the estimated regional biomass proportions against the prior and across stepwise models, as several comments above would draw on. We note two gaps: τ does not appear among the recommendations despite being identified as a major driver of scale, and we suggest adding it; and while Section 8.2.3 identifies the hard link between the Lorenzen curve and growth as the underlying concern, the recommendation is limited to fixing or estimating L1, which would not address that link itself.</w:t>
      </w:r>
    </w:p>
    <w:p w14:paraId="5A09589A" w14:textId="77777777" w:rsidR="00D47778" w:rsidRPr="00B845AF" w:rsidRDefault="00D47778" w:rsidP="00D47778">
      <w:pPr>
        <w:numPr>
          <w:ilvl w:val="0"/>
          <w:numId w:val="57"/>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More broadly, and as we noted for bigeye, simplification is now a scientific priority as well as a resourcing one. Many of the difficulties above stem from the interaction of spatial structure, movement estimation and tagging data within a single model, which lets settings interact in ways that are hard to anticipate or diagnose. The paper’s own recommendations already point toward three complementary directions — analysing tagging data outside the model (Section 8.2.4), a fleets-as-areas structure (Section 8.2.2, explored in SA-IP-09), and converting length compositions to ages externally using region-specific age-at-length (as applied to bigeye in SA-IP-11) — each of which would remove parameters that are currently poorly determined or at bounds, and together would be stronger than any one alone.</w:t>
      </w:r>
    </w:p>
    <w:p w14:paraId="3398E3FD" w14:textId="77777777" w:rsidR="00D47778" w:rsidRPr="00B845AF" w:rsidRDefault="00D47778" w:rsidP="00D47778">
      <w:pPr>
        <w:ind w:left="10"/>
        <w:jc w:val="both"/>
        <w:rPr>
          <w:rFonts w:asciiTheme="minorHAnsi" w:eastAsia="Yu Mincho" w:hAnsiTheme="minorHAnsi" w:cstheme="minorHAnsi"/>
          <w:color w:val="000000"/>
          <w:szCs w:val="22"/>
          <w:lang w:eastAsia="ja-JP"/>
        </w:rPr>
      </w:pPr>
    </w:p>
    <w:p w14:paraId="0B6F24CC" w14:textId="77777777" w:rsidR="00D47778" w:rsidRPr="00B845AF" w:rsidRDefault="00D47778" w:rsidP="00D47778">
      <w:pPr>
        <w:ind w:leftChars="205" w:left="45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lastRenderedPageBreak/>
        <w:t>Reply (SPC)</w:t>
      </w:r>
    </w:p>
    <w:p w14:paraId="41E36F51" w14:textId="77777777" w:rsidR="00D47778" w:rsidRPr="00B845AF" w:rsidRDefault="00D47778" w:rsidP="00D47778">
      <w:pPr>
        <w:ind w:leftChars="205" w:left="45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We acknowledge the commentary and </w:t>
      </w:r>
      <w:proofErr w:type="gramStart"/>
      <w:r w:rsidRPr="00B845AF">
        <w:rPr>
          <w:rFonts w:asciiTheme="minorHAnsi" w:eastAsia="Yu Mincho" w:hAnsiTheme="minorHAnsi" w:cstheme="minorHAnsi"/>
          <w:color w:val="000000"/>
          <w:szCs w:val="22"/>
          <w:lang w:eastAsia="ja-JP"/>
        </w:rPr>
        <w:t>a number of</w:t>
      </w:r>
      <w:proofErr w:type="gramEnd"/>
      <w:r w:rsidRPr="00B845AF">
        <w:rPr>
          <w:rFonts w:asciiTheme="minorHAnsi" w:eastAsia="Yu Mincho" w:hAnsiTheme="minorHAnsi" w:cstheme="minorHAnsi"/>
          <w:color w:val="000000"/>
          <w:szCs w:val="22"/>
          <w:lang w:eastAsia="ja-JP"/>
        </w:rPr>
        <w:t xml:space="preserve"> constructive recommendations provided by New Zealand on the yellowfin assessment report. We appreciate the time taken by NZ to review the assessment and develop this detailed ODF submission, especially considering the late delivery of the paper. We may not have time to review and respond to these comments in suitable detail before the ODF closure. They will be reviewed in detail and may be considered in future work for this stock assessment.</w:t>
      </w:r>
    </w:p>
    <w:p w14:paraId="4D323BA9" w14:textId="77777777" w:rsidR="00D47778" w:rsidRPr="00B845AF" w:rsidRDefault="00D47778" w:rsidP="00D47778">
      <w:pPr>
        <w:ind w:left="10"/>
        <w:jc w:val="both"/>
        <w:rPr>
          <w:rFonts w:asciiTheme="minorHAnsi" w:hAnsiTheme="minorHAnsi" w:cstheme="minorHAnsi"/>
          <w:color w:val="000000"/>
          <w:szCs w:val="22"/>
        </w:rPr>
      </w:pPr>
    </w:p>
    <w:p w14:paraId="1B2795F1"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bCs/>
          <w:color w:val="000000"/>
          <w:szCs w:val="22"/>
        </w:rPr>
      </w:pPr>
      <w:r w:rsidRPr="00B845AF">
        <w:rPr>
          <w:rFonts w:asciiTheme="minorHAnsi" w:hAnsiTheme="minorHAnsi" w:cstheme="minorHAnsi"/>
          <w:b/>
          <w:color w:val="000000"/>
          <w:szCs w:val="22"/>
        </w:rPr>
        <w:t>TOPIC 8.</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eastAsia="Arial" w:hAnsiTheme="minorHAnsi" w:cstheme="minorHAnsi"/>
          <w:b/>
          <w:bCs/>
          <w:color w:val="000000"/>
          <w:szCs w:val="22"/>
        </w:rPr>
        <w:t>Bigeye Tuna Stock Assessment</w:t>
      </w:r>
      <w:r w:rsidRPr="00B845AF">
        <w:rPr>
          <w:rFonts w:asciiTheme="minorHAnsi" w:eastAsia="Arial" w:hAnsiTheme="minorHAnsi" w:cstheme="minorHAnsi"/>
          <w:b/>
          <w:bCs/>
          <w:color w:val="000000"/>
          <w:szCs w:val="22"/>
        </w:rPr>
        <w:tab/>
      </w:r>
      <w:r w:rsidRPr="00B845AF">
        <w:rPr>
          <w:rFonts w:asciiTheme="minorHAnsi" w:hAnsiTheme="minorHAnsi" w:cstheme="minorHAnsi"/>
          <w:b/>
          <w:bCs/>
          <w:color w:val="000000"/>
          <w:szCs w:val="22"/>
        </w:rPr>
        <w:t xml:space="preserve"> </w:t>
      </w:r>
    </w:p>
    <w:p w14:paraId="58B00655"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b/>
          <w:bCs/>
          <w:color w:val="000000"/>
          <w:szCs w:val="22"/>
        </w:rPr>
        <w:t xml:space="preserve">Related papers: </w:t>
      </w:r>
      <w:hyperlink r:id="rId151" w:history="1">
        <w:r w:rsidRPr="00B845AF">
          <w:rPr>
            <w:rFonts w:asciiTheme="minorHAnsi" w:hAnsiTheme="minorHAnsi" w:cstheme="minorHAnsi"/>
            <w:color w:val="0563C1"/>
            <w:szCs w:val="22"/>
            <w:u w:val="single"/>
          </w:rPr>
          <w:t>WCPFC-SC22-2026-SA-WP06</w:t>
        </w:r>
        <w:r w:rsidRPr="00B845AF">
          <w:rPr>
            <w:rFonts w:asciiTheme="minorHAnsi" w:hAnsiTheme="minorHAnsi" w:cstheme="minorHAnsi"/>
            <w:szCs w:val="22"/>
          </w:rPr>
          <w:t>:</w:t>
        </w:r>
      </w:hyperlink>
      <w:r w:rsidRPr="00B845AF">
        <w:rPr>
          <w:rFonts w:asciiTheme="minorHAnsi" w:hAnsiTheme="minorHAnsi" w:cstheme="minorHAnsi"/>
          <w:b/>
          <w:bCs/>
          <w:color w:val="000000"/>
          <w:szCs w:val="22"/>
        </w:rPr>
        <w:t xml:space="preserve"> </w:t>
      </w:r>
      <w:r w:rsidRPr="00B845AF">
        <w:rPr>
          <w:rFonts w:asciiTheme="minorHAnsi" w:hAnsiTheme="minorHAnsi" w:cstheme="minorHAnsi"/>
          <w:color w:val="000000"/>
          <w:szCs w:val="22"/>
        </w:rPr>
        <w:t>K. Kim et al. Stock assessment of bigeye tuna in the western and central Pacific Ocean: 2026</w:t>
      </w:r>
    </w:p>
    <w:p w14:paraId="73EFC52A" w14:textId="77777777" w:rsidR="00D47778" w:rsidRPr="00B845AF" w:rsidRDefault="00D47778" w:rsidP="00D47778">
      <w:pPr>
        <w:ind w:left="14"/>
        <w:rPr>
          <w:rFonts w:asciiTheme="minorHAnsi" w:hAnsiTheme="minorHAnsi" w:cstheme="minorHAnsi"/>
          <w:color w:val="000000"/>
          <w:szCs w:val="22"/>
        </w:rPr>
      </w:pPr>
    </w:p>
    <w:p w14:paraId="506BD7BD" w14:textId="77777777" w:rsidR="00D47778" w:rsidRPr="00B845AF" w:rsidRDefault="00D47778" w:rsidP="00D47778">
      <w:pPr>
        <w:keepNext/>
        <w:keepLines/>
        <w:tabs>
          <w:tab w:val="left" w:pos="720"/>
        </w:tabs>
        <w:spacing w:after="9" w:line="252" w:lineRule="auto"/>
        <w:ind w:left="10" w:right="1" w:hanging="10"/>
        <w:outlineLvl w:val="1"/>
        <w:rPr>
          <w:rFonts w:asciiTheme="minorHAnsi" w:hAnsiTheme="minorHAnsi" w:cstheme="minorHAnsi"/>
          <w:b/>
          <w:color w:val="000000"/>
          <w:szCs w:val="22"/>
        </w:rPr>
      </w:pPr>
      <w:r w:rsidRPr="00B845AF">
        <w:rPr>
          <w:rFonts w:asciiTheme="minorHAnsi" w:hAnsiTheme="minorHAnsi" w:cstheme="minorHAnsi"/>
          <w:b/>
          <w:color w:val="000000"/>
          <w:szCs w:val="22"/>
        </w:rPr>
        <w:t>Questions and Comments</w:t>
      </w:r>
    </w:p>
    <w:p w14:paraId="544054B0" w14:textId="77777777" w:rsidR="00D47778" w:rsidRPr="00B845AF" w:rsidRDefault="00D47778" w:rsidP="00D47778">
      <w:pPr>
        <w:spacing w:after="5" w:line="248" w:lineRule="auto"/>
        <w:ind w:left="370" w:right="1" w:hanging="370"/>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New Zealand</w:t>
      </w:r>
    </w:p>
    <w:p w14:paraId="42FDB46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would like to thank the assessment team for a very substantial amount of work. Several aspects stand out.</w:t>
      </w:r>
    </w:p>
    <w:p w14:paraId="19FEFD22"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6641C4C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The diagnostics are a major step forward — phase-aware jitter, the first formal self-test, the retrospective, and parameters-on-bounds reporting are all substantial improvements, as is the transparent reporting of assessment results. Publishing the model files, jitter runs and executable also deserves mention: it allows us to repeat parts of the analysis independently.</w:t>
      </w:r>
    </w:p>
    <w:p w14:paraId="04273F2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0AE260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Allowing each index </w:t>
      </w:r>
      <w:proofErr w:type="gramStart"/>
      <w:r w:rsidRPr="00B845AF">
        <w:rPr>
          <w:rFonts w:asciiTheme="minorHAnsi" w:hAnsiTheme="minorHAnsi" w:cstheme="minorHAnsi"/>
          <w:color w:val="000000"/>
          <w:szCs w:val="22"/>
          <w:lang w:eastAsia="ja-JP"/>
        </w:rPr>
        <w:t>fishery</w:t>
      </w:r>
      <w:proofErr w:type="gramEnd"/>
      <w:r w:rsidRPr="00B845AF">
        <w:rPr>
          <w:rFonts w:asciiTheme="minorHAnsi" w:hAnsiTheme="minorHAnsi" w:cstheme="minorHAnsi"/>
          <w:color w:val="000000"/>
          <w:szCs w:val="22"/>
          <w:lang w:eastAsia="ja-JP"/>
        </w:rPr>
        <w:t xml:space="preserve"> its own selectivity, rather than one curve shared across regions, is a real improvement and should make </w:t>
      </w:r>
      <w:proofErr w:type="gramStart"/>
      <w:r w:rsidRPr="00B845AF">
        <w:rPr>
          <w:rFonts w:asciiTheme="minorHAnsi" w:hAnsiTheme="minorHAnsi" w:cstheme="minorHAnsi"/>
          <w:color w:val="000000"/>
          <w:szCs w:val="22"/>
          <w:lang w:eastAsia="ja-JP"/>
        </w:rPr>
        <w:t>size-composition</w:t>
      </w:r>
      <w:proofErr w:type="gramEnd"/>
      <w:r w:rsidRPr="00B845AF">
        <w:rPr>
          <w:rFonts w:asciiTheme="minorHAnsi" w:hAnsiTheme="minorHAnsi" w:cstheme="minorHAnsi"/>
          <w:color w:val="000000"/>
          <w:szCs w:val="22"/>
          <w:lang w:eastAsia="ja-JP"/>
        </w:rPr>
        <w:t xml:space="preserve"> </w:t>
      </w:r>
      <w:proofErr w:type="gramStart"/>
      <w:r w:rsidRPr="00B845AF">
        <w:rPr>
          <w:rFonts w:asciiTheme="minorHAnsi" w:hAnsiTheme="minorHAnsi" w:cstheme="minorHAnsi"/>
          <w:color w:val="000000"/>
          <w:szCs w:val="22"/>
          <w:lang w:eastAsia="ja-JP"/>
        </w:rPr>
        <w:t>fits</w:t>
      </w:r>
      <w:proofErr w:type="gramEnd"/>
      <w:r w:rsidRPr="00B845AF">
        <w:rPr>
          <w:rFonts w:asciiTheme="minorHAnsi" w:hAnsiTheme="minorHAnsi" w:cstheme="minorHAnsi"/>
          <w:color w:val="000000"/>
          <w:szCs w:val="22"/>
          <w:lang w:eastAsia="ja-JP"/>
        </w:rPr>
        <w:t xml:space="preserve"> far more meaningful. We also acknowledge the work on tag over-dispersion, including correcting how it was specified in the MULTIFAN-CL documentation, and the software changes in SA-IP02.</w:t>
      </w:r>
    </w:p>
    <w:p w14:paraId="63F61EEE"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740D6D72"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422C9837"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assessment team thanks New Zealand for recognising the substantial work undertaken for this assessment.</w:t>
      </w:r>
    </w:p>
    <w:p w14:paraId="43D83BB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9789F9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Several comments below exist only because the diagnostics were good enough to reveal the issues.</w:t>
      </w:r>
    </w:p>
    <w:p w14:paraId="0390681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5F4E45C" w14:textId="77777777" w:rsidR="00D47778" w:rsidRPr="00B845AF" w:rsidRDefault="00D47778" w:rsidP="00D47778">
      <w:pPr>
        <w:spacing w:after="5" w:line="248" w:lineRule="auto"/>
        <w:ind w:right="1"/>
        <w:jc w:val="both"/>
        <w:rPr>
          <w:rFonts w:asciiTheme="minorHAnsi" w:hAnsiTheme="minorHAnsi" w:cstheme="minorHAnsi"/>
          <w:b/>
          <w:bCs/>
          <w:color w:val="000000"/>
          <w:szCs w:val="22"/>
          <w:lang w:eastAsia="ja-JP"/>
        </w:rPr>
      </w:pPr>
      <w:bookmarkStart w:id="102" w:name="p-1964-a-general-observation-1"/>
      <w:bookmarkEnd w:id="102"/>
      <w:r w:rsidRPr="00B845AF">
        <w:rPr>
          <w:rFonts w:asciiTheme="minorHAnsi" w:hAnsiTheme="minorHAnsi" w:cstheme="minorHAnsi"/>
          <w:b/>
          <w:bCs/>
          <w:color w:val="000000"/>
          <w:szCs w:val="22"/>
          <w:lang w:eastAsia="ja-JP"/>
        </w:rPr>
        <w:t>A general observation</w:t>
      </w:r>
    </w:p>
    <w:p w14:paraId="2EE9804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Much of what follows traces back to complexity. The assessment has 1,997 estimated parameters, 33 fisheries and five regions. The combination of multiple regions and tagging data is among the biggest single sources, since it also requires movement between regions to be estimated. And the assessment sits on top of other models — CPUE standardisations, tag mixing estimated externally, growth weighting from a spatial density model — each with its own assumptions, and each needing a different data type assembled and cleaned first.</w:t>
      </w:r>
    </w:p>
    <w:p w14:paraId="4EEA077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32E4A5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This complexity </w:t>
      </w:r>
      <w:proofErr w:type="gramStart"/>
      <w:r w:rsidRPr="00B845AF">
        <w:rPr>
          <w:rFonts w:asciiTheme="minorHAnsi" w:hAnsiTheme="minorHAnsi" w:cstheme="minorHAnsi"/>
          <w:color w:val="000000"/>
          <w:szCs w:val="22"/>
          <w:lang w:eastAsia="ja-JP"/>
        </w:rPr>
        <w:t>carries</w:t>
      </w:r>
      <w:proofErr w:type="gramEnd"/>
      <w:r w:rsidRPr="00B845AF">
        <w:rPr>
          <w:rFonts w:asciiTheme="minorHAnsi" w:hAnsiTheme="minorHAnsi" w:cstheme="minorHAnsi"/>
          <w:color w:val="000000"/>
          <w:szCs w:val="22"/>
          <w:lang w:eastAsia="ja-JP"/>
        </w:rPr>
        <w:t xml:space="preserve"> two consequences. It creates room for settings to interact in ways that may not have been intended, and we believe this is where several of the issues below originate. It also makes assessments slower to build, check and document, which may contribute to papers arriving close to the meeting with limited time for review.</w:t>
      </w:r>
    </w:p>
    <w:p w14:paraId="21E7803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492F95A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We therefore support the work under Project 123 (SA-WP01) and would encourage simplification to be treated as a scientific priority. A simpler model that can be understood, tested and developed faster may serve management better than a more elaborate one that cannot.</w:t>
      </w:r>
    </w:p>
    <w:p w14:paraId="418E05CF"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0081A8A0"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092EAE1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We thank New Zealand for this observation and agree that model simplification should be considered carefully. Simplification has been a substantial component of this assessment: the spatial structure was reduced from nine regions to five, a single-region </w:t>
      </w:r>
      <w:proofErr w:type="gramStart"/>
      <w:r w:rsidRPr="00B845AF">
        <w:rPr>
          <w:rFonts w:asciiTheme="minorHAnsi" w:eastAsia="Yu Mincho" w:hAnsiTheme="minorHAnsi" w:cstheme="minorHAnsi"/>
          <w:color w:val="000000"/>
          <w:szCs w:val="22"/>
          <w:lang w:eastAsia="ja-JP"/>
        </w:rPr>
        <w:t>fleets</w:t>
      </w:r>
      <w:proofErr w:type="gramEnd"/>
      <w:r w:rsidRPr="00B845AF">
        <w:rPr>
          <w:rFonts w:asciiTheme="minorHAnsi" w:eastAsia="Yu Mincho" w:hAnsiTheme="minorHAnsi" w:cstheme="minorHAnsi"/>
          <w:color w:val="000000"/>
          <w:szCs w:val="22"/>
          <w:lang w:eastAsia="ja-JP"/>
        </w:rPr>
        <w:t>-as-areas model was examined in SC22-SA-IP09, and its results were compared with the diagnostic and alternative models in the assessment appendix.</w:t>
      </w:r>
    </w:p>
    <w:p w14:paraId="5EDA338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73F88338"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Further simplification would involve trade-offs, including the loss of regional, movement, tagging, and fishery-specific information. It should therefore be discussed across the Scientific Committee, together with requests for additional regional analyses. If there is a collective agreement on a simpler assessment structure and acceptance of the associated information loss, the assessment team would be happy to follow that direction in future assessments.</w:t>
      </w:r>
    </w:p>
    <w:p w14:paraId="1FCEFF85"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632D54A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also note that the additional CPUE work requested by PAW, that is supported in the general observations above, took considerable additional time of about 6 weeks, that was unplanned time. This was on top of the additional work to improve the size data preparation and developing the additional resources for the open science approach, enhance diagnostic analyses, and additional age length data - done since PAW. The difficulty with timing this year is not only related to complexity, but the reality is also that the time availability is problematic with the current timing of the SC and when data are finalised, and the increase in work that is being requested in each assessment. This issue has been ongoing and has not been resolved.</w:t>
      </w:r>
    </w:p>
    <w:p w14:paraId="5D16560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3CEE2015" w14:textId="77777777" w:rsidR="00D47778" w:rsidRPr="00B845AF" w:rsidRDefault="00D47778" w:rsidP="00D47778">
      <w:pPr>
        <w:spacing w:after="5" w:line="248" w:lineRule="auto"/>
        <w:ind w:right="1"/>
        <w:jc w:val="both"/>
        <w:rPr>
          <w:rFonts w:asciiTheme="minorHAnsi" w:hAnsiTheme="minorHAnsi" w:cstheme="minorHAnsi"/>
          <w:b/>
          <w:bCs/>
          <w:color w:val="000000"/>
          <w:szCs w:val="22"/>
          <w:lang w:eastAsia="ja-JP"/>
        </w:rPr>
      </w:pPr>
      <w:bookmarkStart w:id="103" w:name="p-1964-comments-questions-2"/>
      <w:bookmarkEnd w:id="103"/>
      <w:r w:rsidRPr="00B845AF">
        <w:rPr>
          <w:rFonts w:asciiTheme="minorHAnsi" w:hAnsiTheme="minorHAnsi" w:cstheme="minorHAnsi"/>
          <w:b/>
          <w:bCs/>
          <w:color w:val="000000"/>
          <w:szCs w:val="22"/>
          <w:lang w:eastAsia="ja-JP"/>
        </w:rPr>
        <w:t>Comments / Questions</w:t>
      </w:r>
    </w:p>
    <w:p w14:paraId="1651968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1. Tag over-dispersion (τ) </w:t>
      </w:r>
    </w:p>
    <w:p w14:paraId="53097FA8"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diagnostic model uses τ = 2.0, but every ensemble member uses 1.2, 1.3 or 1.4 — all giving the tagging data more influence than the diagnostic model, which the paper notes </w:t>
      </w:r>
      <w:proofErr w:type="gramStart"/>
      <w:r w:rsidRPr="00B845AF">
        <w:rPr>
          <w:rFonts w:asciiTheme="minorHAnsi" w:hAnsiTheme="minorHAnsi" w:cstheme="minorHAnsi"/>
          <w:color w:val="000000"/>
          <w:szCs w:val="22"/>
          <w:lang w:eastAsia="ja-JP"/>
        </w:rPr>
        <w:t>pushes</w:t>
      </w:r>
      <w:proofErr w:type="gramEnd"/>
      <w:r w:rsidRPr="00B845AF">
        <w:rPr>
          <w:rFonts w:asciiTheme="minorHAnsi" w:hAnsiTheme="minorHAnsi" w:cstheme="minorHAnsi"/>
          <w:color w:val="000000"/>
          <w:szCs w:val="22"/>
          <w:lang w:eastAsia="ja-JP"/>
        </w:rPr>
        <w:t xml:space="preserve"> results toward a more optimistic answer. We have done some provisional work to estimate </w:t>
      </w:r>
      <w:proofErr w:type="gramStart"/>
      <w:r w:rsidRPr="00B845AF">
        <w:rPr>
          <w:rFonts w:asciiTheme="minorHAnsi" w:hAnsiTheme="minorHAnsi" w:cstheme="minorHAnsi"/>
          <w:color w:val="000000"/>
          <w:szCs w:val="22"/>
          <w:lang w:eastAsia="ja-JP"/>
        </w:rPr>
        <w:t>tau</w:t>
      </w:r>
      <w:proofErr w:type="gramEnd"/>
      <w:r w:rsidRPr="00B845AF">
        <w:rPr>
          <w:rFonts w:asciiTheme="minorHAnsi" w:hAnsiTheme="minorHAnsi" w:cstheme="minorHAnsi"/>
          <w:color w:val="000000"/>
          <w:szCs w:val="22"/>
          <w:lang w:eastAsia="ja-JP"/>
        </w:rPr>
        <w:t xml:space="preserve"> from the assessment’s own data which gives a value of about 5. We would be happy to share the methodology we have used to do this.</w:t>
      </w:r>
    </w:p>
    <w:p w14:paraId="2E73211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1C9D0D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Could the ensemble be </w:t>
      </w:r>
      <w:proofErr w:type="spellStart"/>
      <w:r w:rsidRPr="00B845AF">
        <w:rPr>
          <w:rFonts w:asciiTheme="minorHAnsi" w:hAnsiTheme="minorHAnsi" w:cstheme="minorHAnsi"/>
          <w:color w:val="000000"/>
          <w:szCs w:val="22"/>
          <w:lang w:eastAsia="ja-JP"/>
        </w:rPr>
        <w:t>centred</w:t>
      </w:r>
      <w:proofErr w:type="spellEnd"/>
      <w:r w:rsidRPr="00B845AF">
        <w:rPr>
          <w:rFonts w:asciiTheme="minorHAnsi" w:hAnsiTheme="minorHAnsi" w:cstheme="minorHAnsi"/>
          <w:color w:val="000000"/>
          <w:szCs w:val="22"/>
          <w:lang w:eastAsia="ja-JP"/>
        </w:rPr>
        <w:t xml:space="preserve"> on the estimated values, rather than sitting entirely below even the diagnostic model?</w:t>
      </w:r>
    </w:p>
    <w:p w14:paraId="065CAAC3"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2C0F9D3C"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6E0FC895"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assessment team has discussed tau estimation with the New Zealand delegation, including the proposed methodology and its interpretation. These discussions identified areas of agreement as well as unresolved methodological disagreements. We agree that further research is warranted, but there is currently no shared basis for treating the provisional estimate of about 5 as sufficiently reliable to </w:t>
      </w:r>
      <w:proofErr w:type="spellStart"/>
      <w:r w:rsidRPr="00B845AF">
        <w:rPr>
          <w:rFonts w:asciiTheme="minorHAnsi" w:eastAsia="Yu Mincho" w:hAnsiTheme="minorHAnsi" w:cstheme="minorHAnsi"/>
          <w:color w:val="000000"/>
          <w:szCs w:val="22"/>
          <w:lang w:eastAsia="ja-JP"/>
        </w:rPr>
        <w:t>centre</w:t>
      </w:r>
      <w:proofErr w:type="spellEnd"/>
      <w:r w:rsidRPr="00B845AF">
        <w:rPr>
          <w:rFonts w:asciiTheme="minorHAnsi" w:eastAsia="Yu Mincho" w:hAnsiTheme="minorHAnsi" w:cstheme="minorHAnsi"/>
          <w:color w:val="000000"/>
          <w:szCs w:val="22"/>
          <w:lang w:eastAsia="ja-JP"/>
        </w:rPr>
        <w:t xml:space="preserve"> the ensemble. We therefore do not support re-centering the current ensemble on that value.</w:t>
      </w:r>
    </w:p>
    <w:p w14:paraId="6E8EE86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7B767D0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values tau = 1.2, 1.3, and 1.4 were selected deliberately. Sensitivity analyses showed that key management quantities changed below 1.4 but were very similar at 1.4 and above, including at the </w:t>
      </w:r>
      <w:r w:rsidRPr="00B845AF">
        <w:rPr>
          <w:rFonts w:asciiTheme="minorHAnsi" w:eastAsia="Yu Mincho" w:hAnsiTheme="minorHAnsi" w:cstheme="minorHAnsi"/>
          <w:color w:val="000000"/>
          <w:szCs w:val="22"/>
          <w:lang w:eastAsia="ja-JP"/>
        </w:rPr>
        <w:lastRenderedPageBreak/>
        <w:t xml:space="preserve">diagnostic value of 2. The selected range represents the transition from stronger to weaker tag influence while retaining uncertainty about that influence, an alternate could possibly be 2, 1.3 and 1.2. Centering the ensemble on a provisional value of 5 would instead place substantial tag </w:t>
      </w:r>
      <w:proofErr w:type="spellStart"/>
      <w:r w:rsidRPr="00B845AF">
        <w:rPr>
          <w:rFonts w:asciiTheme="minorHAnsi" w:eastAsia="Yu Mincho" w:hAnsiTheme="minorHAnsi" w:cstheme="minorHAnsi"/>
          <w:color w:val="000000"/>
          <w:szCs w:val="22"/>
          <w:lang w:eastAsia="ja-JP"/>
        </w:rPr>
        <w:t>downweighting</w:t>
      </w:r>
      <w:proofErr w:type="spellEnd"/>
      <w:r w:rsidRPr="00B845AF">
        <w:rPr>
          <w:rFonts w:asciiTheme="minorHAnsi" w:eastAsia="Yu Mincho" w:hAnsiTheme="minorHAnsi" w:cstheme="minorHAnsi"/>
          <w:color w:val="000000"/>
          <w:szCs w:val="22"/>
          <w:lang w:eastAsia="ja-JP"/>
        </w:rPr>
        <w:t xml:space="preserve"> before the estimation method and interpretation have been agreed.</w:t>
      </w:r>
    </w:p>
    <w:p w14:paraId="0BA745A5"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2B27852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Further analyses by the assessment lead indicated that a common </w:t>
      </w:r>
      <w:proofErr w:type="gramStart"/>
      <w:r w:rsidRPr="00B845AF">
        <w:rPr>
          <w:rFonts w:asciiTheme="minorHAnsi" w:eastAsia="Yu Mincho" w:hAnsiTheme="minorHAnsi" w:cstheme="minorHAnsi"/>
          <w:color w:val="000000"/>
          <w:szCs w:val="22"/>
          <w:lang w:eastAsia="ja-JP"/>
        </w:rPr>
        <w:t>tau</w:t>
      </w:r>
      <w:proofErr w:type="gramEnd"/>
      <w:r w:rsidRPr="00B845AF">
        <w:rPr>
          <w:rFonts w:asciiTheme="minorHAnsi" w:eastAsia="Yu Mincho" w:hAnsiTheme="minorHAnsi" w:cstheme="minorHAnsi"/>
          <w:color w:val="000000"/>
          <w:szCs w:val="22"/>
          <w:lang w:eastAsia="ja-JP"/>
        </w:rPr>
        <w:t xml:space="preserve"> was not reliably estimable and that its estimation could increase numerical instability. A single common value is also unlikely to be fully realistic, because over-dispersion may differ among release groups, fisheries, assumed mixing periods and periods at liberty. Estimating multiple tau values would require further methodological development and broader technical discussion.</w:t>
      </w:r>
    </w:p>
    <w:p w14:paraId="262C54E8"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0DC2080C"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Within the retained ensemble, the marginal results for tau = 1.2, 1.3, and 1.4 were very similar (Figure 59), while natural mortality and tag-mixing assumptions were more influential. Because all ensemble axes vary jointly, these comparisons should not be interpreted as independent one-factor effects. Any future change to the tau treatment should follow further research and broader agreement of the SC. Re-centering the current ensemble on a provisional estimate from a single CCM.</w:t>
      </w:r>
    </w:p>
    <w:p w14:paraId="67BB7DF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EDB484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2. Tags disappear faster than the model expects</w:t>
      </w:r>
    </w:p>
    <w:p w14:paraId="5D7017A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Figure 23 shows this, and the text notes over-prediction between 10 and 15 quarters at liberty. We would suggest </w:t>
      </w:r>
      <w:proofErr w:type="gramStart"/>
      <w:r w:rsidRPr="00B845AF">
        <w:rPr>
          <w:rFonts w:asciiTheme="minorHAnsi" w:hAnsiTheme="minorHAnsi" w:cstheme="minorHAnsi"/>
          <w:color w:val="000000"/>
          <w:szCs w:val="22"/>
          <w:lang w:eastAsia="ja-JP"/>
        </w:rPr>
        <w:t>a slightly</w:t>
      </w:r>
      <w:proofErr w:type="gramEnd"/>
      <w:r w:rsidRPr="00B845AF">
        <w:rPr>
          <w:rFonts w:asciiTheme="minorHAnsi" w:hAnsiTheme="minorHAnsi" w:cstheme="minorHAnsi"/>
          <w:color w:val="000000"/>
          <w:szCs w:val="22"/>
          <w:lang w:eastAsia="ja-JP"/>
        </w:rPr>
        <w:t xml:space="preserve"> stronger reading: the shortfall appears to grow steadily with time at liberty rather than being confined to that window, which suggests a systematic pattern. Ongoing tag loss seems a less likely explanation — double-tagging studies have found shedding rates low, and what is allowed for is a reduction in release numbers, which cannot create a trend through time. An underestimate of total mortality, whether natural or fishing mortality, would appear to fit the pattern better. Higher M reduced the trend when we ran the model, and a biomass scale that is too high would make F too low, which points in the same direction as comments 1 and 7.</w:t>
      </w:r>
    </w:p>
    <w:p w14:paraId="3047DE9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0335C4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Could this be used as a diagnostic on total mortality rather than read as a local feature of the tag fit?</w:t>
      </w:r>
    </w:p>
    <w:p w14:paraId="5D675785"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609579B5"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616B004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agree that the time-at-liberty pattern is potentially informative about total tag attrition, but it is not a unique diagnostic of natural or fishing mortality. Predicted recaptures also depend on tag mixing, movement, reporting rates, fishery selectivity and effort, release-group heterogeneity, and population scaling. Increasing M will mechanically reduce predicted recaptures, but an improved fit does not independently demonstrate that M is underestimated or identify which component of total mortality is responsible.</w:t>
      </w:r>
    </w:p>
    <w:p w14:paraId="60F6705E"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6941B869"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diagnostic model identified this pattern and informed the broader sensitivity analysis. Alternative M values are represented in the uncertainty ensemble, drawing on the Hamel and Cope longevity approach, the independent tag-based analysis in SC22-SA-IP14, and values considered in previous assessments. Natural mortality was also identified as one of the dominant </w:t>
      </w:r>
      <w:proofErr w:type="gramStart"/>
      <w:r w:rsidRPr="00B845AF">
        <w:rPr>
          <w:rFonts w:asciiTheme="minorHAnsi" w:eastAsia="Yu Mincho" w:hAnsiTheme="minorHAnsi" w:cstheme="minorHAnsi"/>
          <w:color w:val="000000"/>
          <w:szCs w:val="22"/>
          <w:lang w:eastAsia="ja-JP"/>
        </w:rPr>
        <w:t>driver s</w:t>
      </w:r>
      <w:proofErr w:type="gramEnd"/>
      <w:r w:rsidRPr="00B845AF">
        <w:rPr>
          <w:rFonts w:asciiTheme="minorHAnsi" w:eastAsia="Yu Mincho" w:hAnsiTheme="minorHAnsi" w:cstheme="minorHAnsi"/>
          <w:color w:val="000000"/>
          <w:szCs w:val="22"/>
          <w:lang w:eastAsia="ja-JP"/>
        </w:rPr>
        <w:t xml:space="preserve"> of ensemble uncertainty.</w:t>
      </w:r>
    </w:p>
    <w:p w14:paraId="194C946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29E6CBE0"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pattern can therefore be recognised as a diagnostic of the combined tag-survival and recapture process, but it should not be interpreted as direct evidence for a higher M. The ensemble provides a broader treatment of uncertainty in M than calibrating it to this single residual pattern would provide.</w:t>
      </w:r>
    </w:p>
    <w:p w14:paraId="162825A5"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1D38F98B"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This point also raises the issue of tagged bigeye, and likely the population in general, gradually and possibly permanently leaving the WCPO model region for the EPO. Currently, we only treat the tag data by omitting extra-WCPO recaptures and lowering the release numbers to preserve the original recapture rate of the remaining included recaptures. Perhaps a better way is, as alluded in this comment, to increase the M to include a permanent emigration component. Then </w:t>
      </w:r>
      <w:proofErr w:type="gramStart"/>
      <w:r w:rsidRPr="00B845AF">
        <w:rPr>
          <w:rFonts w:asciiTheme="minorHAnsi" w:eastAsia="Yu Mincho" w:hAnsiTheme="minorHAnsi" w:cstheme="minorHAnsi"/>
          <w:color w:val="000000"/>
          <w:szCs w:val="22"/>
          <w:lang w:eastAsia="ja-JP"/>
        </w:rPr>
        <w:t>the adjustment</w:t>
      </w:r>
      <w:proofErr w:type="gramEnd"/>
      <w:r w:rsidRPr="00B845AF">
        <w:rPr>
          <w:rFonts w:asciiTheme="minorHAnsi" w:eastAsia="Yu Mincho" w:hAnsiTheme="minorHAnsi" w:cstheme="minorHAnsi"/>
          <w:color w:val="000000"/>
          <w:szCs w:val="22"/>
          <w:lang w:eastAsia="ja-JP"/>
        </w:rPr>
        <w:t xml:space="preserve"> to the tag releases would not be required and it would also treat the untagged population equivalently (which the current model does not). Another way would be to add an EPO region to the model, which would include a movement parameter WCPO to EPO, although this would add complexity needing an additional spatial region and fishery(s). A good topic for the proposed tagging data workshop.</w:t>
      </w:r>
    </w:p>
    <w:p w14:paraId="2DCA11B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3C16EA4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3. Natural mortality is the largest single influence</w:t>
      </w:r>
    </w:p>
    <w:p w14:paraId="56279517"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welcome its inclusion as an uncertainty axis. In our model runs, raising M moved recent depletion from 0.18 to 0.44, and again to 0.72 — a larger effect than anything else we investigated, τ included. It also reduced the time-at-liberty trend in comment 2, so two independent lines point the same way. The paper reports the response to M is inconsistent in direction and calls the low-M result unexpected.</w:t>
      </w:r>
    </w:p>
    <w:p w14:paraId="478F7CA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66AD0E3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Has that been resolved, and does the ensemble’s range cover what SA-IP14 supports?</w:t>
      </w:r>
    </w:p>
    <w:p w14:paraId="1806689C"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48E7F759"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0608E089"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SA-IP14 is explicitly represented in the natural-mortality uncertainty range. The design range for M at age 40 quarters is 0.050–0.165 per quarter. The SA-IP14 estimate of 0.0624, including its 90% interval of 0.0500–0.0749, is therefore fully covered. The distribution also considers the previous-assessment value and the Hamel and Cope longevity analysis.</w:t>
      </w:r>
    </w:p>
    <w:p w14:paraId="1D9A9B0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4F39F1F2"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response of depletion to M should not be interpreted as a simple one-factor relationship. Changing M simultaneously affects survival, recruitment, population scale, fishing mortality, and the fit to tagging and other data. Large or non-monotonic changes should also be checked against convergence diagnostics because changing a fixed M value can move the </w:t>
      </w:r>
      <w:proofErr w:type="spellStart"/>
      <w:r w:rsidRPr="00B845AF">
        <w:rPr>
          <w:rFonts w:asciiTheme="minorHAnsi" w:eastAsia="Yu Mincho" w:hAnsiTheme="minorHAnsi" w:cstheme="minorHAnsi"/>
          <w:color w:val="000000"/>
          <w:szCs w:val="22"/>
          <w:lang w:eastAsia="ja-JP"/>
        </w:rPr>
        <w:t>optimisation</w:t>
      </w:r>
      <w:proofErr w:type="spellEnd"/>
      <w:r w:rsidRPr="00B845AF">
        <w:rPr>
          <w:rFonts w:asciiTheme="minorHAnsi" w:eastAsia="Yu Mincho" w:hAnsiTheme="minorHAnsi" w:cstheme="minorHAnsi"/>
          <w:color w:val="000000"/>
          <w:szCs w:val="22"/>
          <w:lang w:eastAsia="ja-JP"/>
        </w:rPr>
        <w:t xml:space="preserve"> between local optima. A direction observed in a small number of individual runs is therefore not necessarily general across model configurations.</w:t>
      </w:r>
    </w:p>
    <w:p w14:paraId="7D03B6A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12838B3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depletion response and the tag time-at-liberty pattern are not independent lines of evidence. Both arise within the same fitted model after changing M, and increasing M mechanically reduces predicted recaptures at longer times at liberty. An improved tag-attrition fit therefore does not independently validate a higher M.</w:t>
      </w:r>
    </w:p>
    <w:p w14:paraId="5B80E019"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7A22097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For these reasons, M was treated as an uncertainty axis and varied jointly with the other ensemble assumptions. The ensemble confirms that M is highly influential, but it does not support assigning a single, model-independent direction to its effect. The range supported by SA-IP14 is represented in the ensemble.</w:t>
      </w:r>
    </w:p>
    <w:p w14:paraId="06D28AD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624A41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4. Tag reporting rates </w:t>
      </w:r>
    </w:p>
    <w:p w14:paraId="56B794E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One group is estimated at its 0.99 upper </w:t>
      </w:r>
      <w:proofErr w:type="gramStart"/>
      <w:r w:rsidRPr="00B845AF">
        <w:rPr>
          <w:rFonts w:asciiTheme="minorHAnsi" w:hAnsiTheme="minorHAnsi" w:cstheme="minorHAnsi"/>
          <w:color w:val="000000"/>
          <w:szCs w:val="22"/>
          <w:lang w:eastAsia="ja-JP"/>
        </w:rPr>
        <w:t>limit</w:t>
      </w:r>
      <w:proofErr w:type="gramEnd"/>
      <w:r w:rsidRPr="00B845AF">
        <w:rPr>
          <w:rFonts w:asciiTheme="minorHAnsi" w:hAnsiTheme="minorHAnsi" w:cstheme="minorHAnsi"/>
          <w:color w:val="000000"/>
          <w:szCs w:val="22"/>
          <w:lang w:eastAsia="ja-JP"/>
        </w:rPr>
        <w:t xml:space="preserve"> and others sit where the prior considers very unlikely, which may suggest the model is struggling to reconcile predicted and observed recoveries. There is also an issue </w:t>
      </w:r>
      <w:r w:rsidRPr="00B845AF">
        <w:rPr>
          <w:rFonts w:asciiTheme="minorHAnsi" w:hAnsiTheme="minorHAnsi" w:cstheme="minorHAnsi"/>
          <w:color w:val="000000"/>
          <w:szCs w:val="22"/>
          <w:lang w:eastAsia="ja-JP"/>
        </w:rPr>
        <w:lastRenderedPageBreak/>
        <w:t>in how reporting rates are treated during the mixing period, which affects 44% of all returns; we expect others will comment on that in more detail.</w:t>
      </w:r>
    </w:p>
    <w:p w14:paraId="5BD7D1CF"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198CA0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Could the influence of the boundary and low-prior estimates on the biomass scale be reported?</w:t>
      </w:r>
    </w:p>
    <w:p w14:paraId="5D8AD0CC"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3178F7AE"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08C29DC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biomass-scale effect of the reporting-rate estimates cannot be isolated from the existing model fit. In the catch-conditioned MFCL model, catches are fixed, tightly coupling biomass and fishing mortality. Reporting rates therefore interact with fishing mortality, movement, mixing, and tau. Boundary estimates indicate this joint tension, not a standalone effect on biomass scale.</w:t>
      </w:r>
    </w:p>
    <w:p w14:paraId="2D2BFE1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0BC06D10"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boundary issue has nevertheless decreased: two groups reached the upper bound in 2020, three in 2023, and one in 2026. A catch-errors model could provide more flexibility, but would require substantially more parameters and computation, and the 2020 catch-er </w:t>
      </w:r>
      <w:proofErr w:type="spellStart"/>
      <w:r w:rsidRPr="00B845AF">
        <w:rPr>
          <w:rFonts w:asciiTheme="minorHAnsi" w:eastAsia="Yu Mincho" w:hAnsiTheme="minorHAnsi" w:cstheme="minorHAnsi"/>
          <w:color w:val="000000"/>
          <w:szCs w:val="22"/>
          <w:lang w:eastAsia="ja-JP"/>
        </w:rPr>
        <w:t>rors</w:t>
      </w:r>
      <w:proofErr w:type="spellEnd"/>
      <w:r w:rsidRPr="00B845AF">
        <w:rPr>
          <w:rFonts w:asciiTheme="minorHAnsi" w:eastAsia="Yu Mincho" w:hAnsiTheme="minorHAnsi" w:cstheme="minorHAnsi"/>
          <w:color w:val="000000"/>
          <w:szCs w:val="22"/>
          <w:lang w:eastAsia="ja-JP"/>
        </w:rPr>
        <w:t xml:space="preserve"> model still had two boundary estimates.</w:t>
      </w:r>
    </w:p>
    <w:p w14:paraId="7024C013"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4CE97AC2"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Reporting-rate treatment during mixing was tested and included in the ensemble. Following discussion with the US delegation at SC22, we agree that further improvement requires broader methodological work and cannot be resolved by a single additional analysis in the current assessment. This work could be considered for the next assessment in 2029.</w:t>
      </w:r>
    </w:p>
    <w:p w14:paraId="34174702"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C0BEC18"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5. Growth, and spatial variation in it </w:t>
      </w:r>
    </w:p>
    <w:p w14:paraId="706D42C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One curve is used for the whole region. Against the ageing data it grows fish too fast, reaching a given size more than a year too early for the largest fish, in every region. The size data </w:t>
      </w:r>
      <w:proofErr w:type="gramStart"/>
      <w:r w:rsidRPr="00B845AF">
        <w:rPr>
          <w:rFonts w:asciiTheme="minorHAnsi" w:hAnsiTheme="minorHAnsi" w:cstheme="minorHAnsi"/>
          <w:color w:val="000000"/>
          <w:szCs w:val="22"/>
          <w:lang w:eastAsia="ja-JP"/>
        </w:rPr>
        <w:t>agree:</w:t>
      </w:r>
      <w:proofErr w:type="gramEnd"/>
      <w:r w:rsidRPr="00B845AF">
        <w:rPr>
          <w:rFonts w:asciiTheme="minorHAnsi" w:hAnsiTheme="minorHAnsi" w:cstheme="minorHAnsi"/>
          <w:color w:val="000000"/>
          <w:szCs w:val="22"/>
          <w:lang w:eastAsia="ja-JP"/>
        </w:rPr>
        <w:t xml:space="preserve"> in 14 of 16 longline fisheries the model predicts too few fish at 130–150 cm and too many above 150 cm. </w:t>
      </w:r>
      <w:proofErr w:type="gramStart"/>
      <w:r w:rsidRPr="00B845AF">
        <w:rPr>
          <w:rFonts w:asciiTheme="minorHAnsi" w:hAnsiTheme="minorHAnsi" w:cstheme="minorHAnsi"/>
          <w:color w:val="000000"/>
          <w:szCs w:val="22"/>
          <w:lang w:eastAsia="ja-JP"/>
        </w:rPr>
        <w:t>So</w:t>
      </w:r>
      <w:proofErr w:type="gramEnd"/>
      <w:r w:rsidRPr="00B845AF">
        <w:rPr>
          <w:rFonts w:asciiTheme="minorHAnsi" w:hAnsiTheme="minorHAnsi" w:cstheme="minorHAnsi"/>
          <w:color w:val="000000"/>
          <w:szCs w:val="22"/>
          <w:lang w:eastAsia="ja-JP"/>
        </w:rPr>
        <w:t xml:space="preserve"> this is not two data sources disagreeing — both point the same way, and the ageing data that would settle it carry about one percent of the effective weight. The underlying cause does not yet appear to be firmly established; a likelihood profile on the growth rate may offer a useful and low-cost first step.</w:t>
      </w:r>
    </w:p>
    <w:p w14:paraId="2AA812C8"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0CE53C94"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5151BCE7"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We agree that these residual patterns warrant attention. </w:t>
      </w:r>
      <w:proofErr w:type="gramStart"/>
      <w:r w:rsidRPr="00B845AF">
        <w:rPr>
          <w:rFonts w:asciiTheme="minorHAnsi" w:eastAsia="Yu Mincho" w:hAnsiTheme="minorHAnsi" w:cstheme="minorHAnsi"/>
          <w:color w:val="000000"/>
          <w:szCs w:val="22"/>
          <w:lang w:eastAsia="ja-JP"/>
        </w:rPr>
        <w:t>The</w:t>
      </w:r>
      <w:proofErr w:type="gramEnd"/>
      <w:r w:rsidRPr="00B845AF">
        <w:rPr>
          <w:rFonts w:asciiTheme="minorHAnsi" w:eastAsia="Yu Mincho" w:hAnsiTheme="minorHAnsi" w:cstheme="minorHAnsi"/>
          <w:color w:val="000000"/>
          <w:szCs w:val="22"/>
          <w:lang w:eastAsia="ja-JP"/>
        </w:rPr>
        <w:t xml:space="preserve"> may not necessarily distinguish spatial variation in growth from a common growth-model mismatch or other model processes. Length compositions reflect not only growth, but also selectivity, recruitment, mortality, movement, and spatial and temporal sampling. The ageing residuals provide relevant information, but a similar mismatch across all regions may not by itself demonstrate variation among regions.</w:t>
      </w:r>
    </w:p>
    <w:p w14:paraId="47C8BA2B"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7A9ACBB3"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Recoverability and practical identifiability of the common growth parameters have been assessed through the parametric-bootstrap self-test. A likelihood profile would provide complementary information about support for the common growth rate in the observed data, but it would remain conditional on MFCL’s single-curve structure. It therefore could not test spatial growth variation or establish the cause of the residual pattern.</w:t>
      </w:r>
    </w:p>
    <w:p w14:paraId="1F858831"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60C68482"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A defensible profile analysis would require model setup, convergence checks, validation, interpretation, and reporting; it is not simply an additional model run. Given the substantial new analyses incorporated and the timeline for completing the current assessment, this additional work cannot be accommodated. Spatial growth variation is more appropriately considered through future </w:t>
      </w:r>
      <w:r w:rsidRPr="00B845AF">
        <w:rPr>
          <w:rFonts w:asciiTheme="minorHAnsi" w:eastAsia="Yu Mincho" w:hAnsiTheme="minorHAnsi" w:cstheme="minorHAnsi"/>
          <w:color w:val="000000"/>
          <w:szCs w:val="22"/>
          <w:lang w:eastAsia="ja-JP"/>
        </w:rPr>
        <w:lastRenderedPageBreak/>
        <w:t xml:space="preserve">methodological development informed by SA-IP08 and SA-IP11, and the next assessment, also pending more grow </w:t>
      </w:r>
      <w:proofErr w:type="spellStart"/>
      <w:r w:rsidRPr="00B845AF">
        <w:rPr>
          <w:rFonts w:asciiTheme="minorHAnsi" w:eastAsia="Yu Mincho" w:hAnsiTheme="minorHAnsi" w:cstheme="minorHAnsi"/>
          <w:color w:val="000000"/>
          <w:szCs w:val="22"/>
          <w:lang w:eastAsia="ja-JP"/>
        </w:rPr>
        <w:t>th</w:t>
      </w:r>
      <w:proofErr w:type="spellEnd"/>
      <w:r w:rsidRPr="00B845AF">
        <w:rPr>
          <w:rFonts w:asciiTheme="minorHAnsi" w:eastAsia="Yu Mincho" w:hAnsiTheme="minorHAnsi" w:cstheme="minorHAnsi"/>
          <w:color w:val="000000"/>
          <w:szCs w:val="22"/>
          <w:lang w:eastAsia="ja-JP"/>
        </w:rPr>
        <w:t xml:space="preserve"> data becoming available from age-length sampling.</w:t>
      </w:r>
    </w:p>
    <w:p w14:paraId="3AD65EB8"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4CFC9D7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6. What sets the biomass scale</w:t>
      </w:r>
    </w:p>
    <w:p w14:paraId="123202A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paper identifies population scale as the dominant data conflict, tags </w:t>
      </w:r>
      <w:proofErr w:type="spellStart"/>
      <w:r w:rsidRPr="00B845AF">
        <w:rPr>
          <w:rFonts w:asciiTheme="minorHAnsi" w:hAnsiTheme="minorHAnsi" w:cstheme="minorHAnsi"/>
          <w:color w:val="000000"/>
          <w:szCs w:val="22"/>
          <w:lang w:eastAsia="ja-JP"/>
        </w:rPr>
        <w:t>favouring</w:t>
      </w:r>
      <w:proofErr w:type="spellEnd"/>
      <w:r w:rsidRPr="00B845AF">
        <w:rPr>
          <w:rFonts w:asciiTheme="minorHAnsi" w:hAnsiTheme="minorHAnsi" w:cstheme="minorHAnsi"/>
          <w:color w:val="000000"/>
          <w:szCs w:val="22"/>
          <w:lang w:eastAsia="ja-JP"/>
        </w:rPr>
        <w:t xml:space="preserve"> a higher scale and CPUE and size data a lower one. In our model runs what resisted a lower scale appeared to involve the regional scaling constraint and a persistent shortfall in region 1, but we do not understand the mechanism.</w:t>
      </w:r>
    </w:p>
    <w:p w14:paraId="239B7B8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EDEEE38"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We believe this would benefit from further diagnostic work: would it be possible to examine the region </w:t>
      </w:r>
      <w:proofErr w:type="gramStart"/>
      <w:r w:rsidRPr="00B845AF">
        <w:rPr>
          <w:rFonts w:asciiTheme="minorHAnsi" w:hAnsiTheme="minorHAnsi" w:cstheme="minorHAnsi"/>
          <w:color w:val="000000"/>
          <w:szCs w:val="22"/>
          <w:lang w:eastAsia="ja-JP"/>
        </w:rPr>
        <w:t>1 behaviour</w:t>
      </w:r>
      <w:proofErr w:type="gramEnd"/>
      <w:r w:rsidRPr="00B845AF">
        <w:rPr>
          <w:rFonts w:asciiTheme="minorHAnsi" w:hAnsiTheme="minorHAnsi" w:cstheme="minorHAnsi"/>
          <w:color w:val="000000"/>
          <w:szCs w:val="22"/>
          <w:lang w:eastAsia="ja-JP"/>
        </w:rPr>
        <w:t xml:space="preserve"> directly, and to report the assessment with the constraint relaxed?</w:t>
      </w:r>
    </w:p>
    <w:p w14:paraId="69659DB4"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7A5FE78A"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4C42A194"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We agree that the regional scaling constraint and region 1 behaviour may warrant further investigation. However, examining this mechanism and presenting an assessment with the constraint relaxed would constitute substantial new diagnostic and sensitivity work rather than </w:t>
      </w:r>
      <w:proofErr w:type="gramStart"/>
      <w:r w:rsidRPr="00B845AF">
        <w:rPr>
          <w:rFonts w:asciiTheme="minorHAnsi" w:eastAsia="Yu Mincho" w:hAnsiTheme="minorHAnsi" w:cstheme="minorHAnsi"/>
          <w:color w:val="000000"/>
          <w:szCs w:val="22"/>
          <w:lang w:eastAsia="ja-JP"/>
        </w:rPr>
        <w:t>clarification of</w:t>
      </w:r>
      <w:proofErr w:type="gramEnd"/>
      <w:r w:rsidRPr="00B845AF">
        <w:rPr>
          <w:rFonts w:asciiTheme="minorHAnsi" w:eastAsia="Yu Mincho" w:hAnsiTheme="minorHAnsi" w:cstheme="minorHAnsi"/>
          <w:color w:val="000000"/>
          <w:szCs w:val="22"/>
          <w:lang w:eastAsia="ja-JP"/>
        </w:rPr>
        <w:t xml:space="preserve"> the existing results. A relaxed-constraint model would require full rerunning, validation, and interpretation before it could be presented as an assessment alternative.</w:t>
      </w:r>
    </w:p>
    <w:p w14:paraId="333D7BC4"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58C1CF3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current assessment includes substantial new analyses and developments beyond the previous SC accepted assessments, and no single assessment can resolve every diagnostic question or model alternative. Given the timeline for completing the current assessment, this may be considered in a future assessment if it remains relevant.</w:t>
      </w:r>
    </w:p>
    <w:p w14:paraId="1E384A7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08DF2B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7. How wide is the real uncertainty</w:t>
      </w:r>
    </w:p>
    <w:p w14:paraId="10A4A8B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ensemble gives a median depletion of 0.277, with 15 of 80 models below the limit reference point. The diagnostic model is among the most pessimistic in the ensemble, and on the τ axis one reason is visible: it uses a value closer to what the tag data </w:t>
      </w:r>
      <w:proofErr w:type="gramStart"/>
      <w:r w:rsidRPr="00B845AF">
        <w:rPr>
          <w:rFonts w:asciiTheme="minorHAnsi" w:hAnsiTheme="minorHAnsi" w:cstheme="minorHAnsi"/>
          <w:color w:val="000000"/>
          <w:szCs w:val="22"/>
          <w:lang w:eastAsia="ja-JP"/>
        </w:rPr>
        <w:t>support</w:t>
      </w:r>
      <w:proofErr w:type="gramEnd"/>
      <w:r w:rsidRPr="00B845AF">
        <w:rPr>
          <w:rFonts w:asciiTheme="minorHAnsi" w:hAnsiTheme="minorHAnsi" w:cstheme="minorHAnsi"/>
          <w:color w:val="000000"/>
          <w:szCs w:val="22"/>
          <w:lang w:eastAsia="ja-JP"/>
        </w:rPr>
        <w:t xml:space="preserve"> than any ensemble member does.</w:t>
      </w:r>
    </w:p>
    <w:p w14:paraId="17E8B59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58C3907"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Could the ensemble’s position relative to the diagnostic model be reported axis by axis? If it is systematically displaced, the probability of being below the limit may be displaced as well, and the operating models could inherit a similar gap.</w:t>
      </w:r>
    </w:p>
    <w:p w14:paraId="7F749815"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36FB55F7"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631DB3C7"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The diagnostic model is a reference for model development, it is not necessary that it should be the </w:t>
      </w:r>
      <w:proofErr w:type="spellStart"/>
      <w:r w:rsidRPr="00B845AF">
        <w:rPr>
          <w:rFonts w:asciiTheme="minorHAnsi" w:eastAsia="Yu Mincho" w:hAnsiTheme="minorHAnsi" w:cstheme="minorHAnsi"/>
          <w:color w:val="000000"/>
          <w:szCs w:val="22"/>
          <w:lang w:eastAsia="ja-JP"/>
        </w:rPr>
        <w:t>centre</w:t>
      </w:r>
      <w:proofErr w:type="spellEnd"/>
      <w:r w:rsidRPr="00B845AF">
        <w:rPr>
          <w:rFonts w:asciiTheme="minorHAnsi" w:eastAsia="Yu Mincho" w:hAnsiTheme="minorHAnsi" w:cstheme="minorHAnsi"/>
          <w:color w:val="000000"/>
          <w:szCs w:val="22"/>
          <w:lang w:eastAsia="ja-JP"/>
        </w:rPr>
        <w:t xml:space="preserve"> of the ensemble, and it was not included in the 80-model grid. Its tau = 2 setting was applied for consistency with the value reported in the 2017, 2020, and 2023 assessments, that on face value, was accepted as suitable by multiple SCs before this assessment, not because it was reliably estimated from the tag data, or a value the ‘tag data preferred’. While a diagnostic model in the </w:t>
      </w:r>
      <w:proofErr w:type="spellStart"/>
      <w:r w:rsidRPr="00B845AF">
        <w:rPr>
          <w:rFonts w:asciiTheme="minorHAnsi" w:eastAsia="Yu Mincho" w:hAnsiTheme="minorHAnsi" w:cstheme="minorHAnsi"/>
          <w:color w:val="000000"/>
          <w:szCs w:val="22"/>
          <w:lang w:eastAsia="ja-JP"/>
        </w:rPr>
        <w:t>centre</w:t>
      </w:r>
      <w:proofErr w:type="spellEnd"/>
      <w:r w:rsidRPr="00B845AF">
        <w:rPr>
          <w:rFonts w:asciiTheme="minorHAnsi" w:eastAsia="Yu Mincho" w:hAnsiTheme="minorHAnsi" w:cstheme="minorHAnsi"/>
          <w:color w:val="000000"/>
          <w:szCs w:val="22"/>
          <w:lang w:eastAsia="ja-JP"/>
        </w:rPr>
        <w:t xml:space="preserve"> of the ensemble might look better, distance from the diagnostic model does not necessarily measure ensemble bias.</w:t>
      </w:r>
    </w:p>
    <w:p w14:paraId="0586CB5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1F336741"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Further exploration by the lead assessment scientist indicated that tau is not reliably estimable in the current model. These findings have been shared and discussed with the New Zealand delegation and FFA member delegations. The rationale for using tau = 1.2, 1.3, and 1.4 is reported. Because all ensemble assumptions vary jointly, an axis-by-axis comparison with the diagnostic model would not </w:t>
      </w:r>
      <w:r w:rsidRPr="00B845AF">
        <w:rPr>
          <w:rFonts w:asciiTheme="minorHAnsi" w:eastAsia="Yu Mincho" w:hAnsiTheme="minorHAnsi" w:cstheme="minorHAnsi"/>
          <w:color w:val="000000"/>
          <w:szCs w:val="22"/>
          <w:lang w:eastAsia="ja-JP"/>
        </w:rPr>
        <w:lastRenderedPageBreak/>
        <w:t>isolate causal effects or demonstrate that the probability of falling below the limit reference point is displaced. The existing axis-based ensemble results provide an appropriate comparison.</w:t>
      </w:r>
    </w:p>
    <w:p w14:paraId="120CE742"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4107CC3" w14:textId="77777777" w:rsidR="00D47778" w:rsidRPr="00B845AF" w:rsidRDefault="00D47778" w:rsidP="00D47778">
      <w:pPr>
        <w:spacing w:after="5" w:line="248" w:lineRule="auto"/>
        <w:ind w:right="1"/>
        <w:jc w:val="both"/>
        <w:rPr>
          <w:rFonts w:asciiTheme="minorHAnsi" w:hAnsiTheme="minorHAnsi" w:cstheme="minorHAnsi"/>
          <w:b/>
          <w:bCs/>
          <w:color w:val="000000"/>
          <w:szCs w:val="22"/>
          <w:lang w:eastAsia="ja-JP"/>
        </w:rPr>
      </w:pPr>
      <w:bookmarkStart w:id="104" w:name="p-1964-priorities-for-future-work-3"/>
      <w:bookmarkEnd w:id="104"/>
      <w:r w:rsidRPr="00B845AF">
        <w:rPr>
          <w:rFonts w:asciiTheme="minorHAnsi" w:hAnsiTheme="minorHAnsi" w:cstheme="minorHAnsi"/>
          <w:b/>
          <w:bCs/>
          <w:color w:val="000000"/>
          <w:szCs w:val="22"/>
          <w:lang w:eastAsia="ja-JP"/>
        </w:rPr>
        <w:t>Priorities for future work</w:t>
      </w:r>
    </w:p>
    <w:p w14:paraId="578EF7A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1. Spatially varying growth</w:t>
      </w:r>
    </w:p>
    <w:p w14:paraId="22BF2E4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For a model fitting mainly to size data, growth converts what is observed into what is modelled, so errors there affect everything downstream. We think this is the key structural issue to address. SA-IP08 on spatial sampling bias in growth estimation and SA-IP11 on regional growth variation both address </w:t>
      </w:r>
      <w:proofErr w:type="gramStart"/>
      <w:r w:rsidRPr="00B845AF">
        <w:rPr>
          <w:rFonts w:asciiTheme="minorHAnsi" w:hAnsiTheme="minorHAnsi" w:cstheme="minorHAnsi"/>
          <w:color w:val="000000"/>
          <w:szCs w:val="22"/>
          <w:lang w:eastAsia="ja-JP"/>
        </w:rPr>
        <w:t>it, and</w:t>
      </w:r>
      <w:proofErr w:type="gramEnd"/>
      <w:r w:rsidRPr="00B845AF">
        <w:rPr>
          <w:rFonts w:asciiTheme="minorHAnsi" w:hAnsiTheme="minorHAnsi" w:cstheme="minorHAnsi"/>
          <w:color w:val="000000"/>
          <w:szCs w:val="22"/>
          <w:lang w:eastAsia="ja-JP"/>
        </w:rPr>
        <w:t xml:space="preserve"> should feed into the bigeye tuna assessment rather than remain background papers.</w:t>
      </w:r>
    </w:p>
    <w:p w14:paraId="1B5E9875"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170B8B5C"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30EE0D82"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thank New Zealand for this recommendation and agree that SA-IP08 and SA-IP11 provide relevant information for future model development. The assessment team will consider how spatial sampling bias and regional growth variation can be evaluated and, subject to methodological, improved data on growth from more age-length samples, and software feasibility, incorporated into future bigeye assessments.</w:t>
      </w:r>
    </w:p>
    <w:p w14:paraId="3788F9D6"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CE556C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2. Simpler spatial structure</w:t>
      </w:r>
    </w:p>
    <w:p w14:paraId="253E76BF"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SA-IP09 on single-region fleets-</w:t>
      </w:r>
      <w:proofErr w:type="gramStart"/>
      <w:r w:rsidRPr="00B845AF">
        <w:rPr>
          <w:rFonts w:asciiTheme="minorHAnsi" w:hAnsiTheme="minorHAnsi" w:cstheme="minorHAnsi"/>
          <w:color w:val="000000"/>
          <w:szCs w:val="22"/>
          <w:lang w:eastAsia="ja-JP"/>
        </w:rPr>
        <w:t>as-</w:t>
      </w:r>
      <w:proofErr w:type="gramEnd"/>
      <w:r w:rsidRPr="00B845AF">
        <w:rPr>
          <w:rFonts w:asciiTheme="minorHAnsi" w:hAnsiTheme="minorHAnsi" w:cstheme="minorHAnsi"/>
          <w:color w:val="000000"/>
          <w:szCs w:val="22"/>
          <w:lang w:eastAsia="ja-JP"/>
        </w:rPr>
        <w:t xml:space="preserve">areas models is promising. If a simpler structure reproduces the main </w:t>
      </w:r>
      <w:proofErr w:type="gramStart"/>
      <w:r w:rsidRPr="00B845AF">
        <w:rPr>
          <w:rFonts w:asciiTheme="minorHAnsi" w:hAnsiTheme="minorHAnsi" w:cstheme="minorHAnsi"/>
          <w:color w:val="000000"/>
          <w:szCs w:val="22"/>
          <w:lang w:eastAsia="ja-JP"/>
        </w:rPr>
        <w:t>results</w:t>
      </w:r>
      <w:proofErr w:type="gramEnd"/>
      <w:r w:rsidRPr="00B845AF">
        <w:rPr>
          <w:rFonts w:asciiTheme="minorHAnsi" w:hAnsiTheme="minorHAnsi" w:cstheme="minorHAnsi"/>
          <w:color w:val="000000"/>
          <w:szCs w:val="22"/>
          <w:lang w:eastAsia="ja-JP"/>
        </w:rPr>
        <w:t xml:space="preserve"> it would be easier to test, faster to run and easier to explain, and would reduce reliance on the regional constraints in comment 6.</w:t>
      </w:r>
    </w:p>
    <w:p w14:paraId="685E332F"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00DE7BF4"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7245E600"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agree that SA-IP09 provides a promising basis for further simplification. Subject to further validation and consideration of the associated loss of spatial and tagging information, the single-region fleets-as-areas model could be considered as a structural sensitivity and potentially as a component of a future ensemble.</w:t>
      </w:r>
    </w:p>
    <w:p w14:paraId="7E958E3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4A7D3E2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3. How tagging data are used inside the model</w:t>
      </w:r>
    </w:p>
    <w:p w14:paraId="41C723B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Tags are one of the main things setting the </w:t>
      </w:r>
      <w:proofErr w:type="gramStart"/>
      <w:r w:rsidRPr="00B845AF">
        <w:rPr>
          <w:rFonts w:asciiTheme="minorHAnsi" w:hAnsiTheme="minorHAnsi" w:cstheme="minorHAnsi"/>
          <w:color w:val="000000"/>
          <w:szCs w:val="22"/>
          <w:lang w:eastAsia="ja-JP"/>
        </w:rPr>
        <w:t>scale, but</w:t>
      </w:r>
      <w:proofErr w:type="gramEnd"/>
      <w:r w:rsidRPr="00B845AF">
        <w:rPr>
          <w:rFonts w:asciiTheme="minorHAnsi" w:hAnsiTheme="minorHAnsi" w:cstheme="minorHAnsi"/>
          <w:color w:val="000000"/>
          <w:szCs w:val="22"/>
          <w:lang w:eastAsia="ja-JP"/>
        </w:rPr>
        <w:t xml:space="preserve"> sit awkwardly in a five-region model: tagged fish move at much smaller scales than the regions they are assigned to. Estimating mixing periods outside the assessment with SEAPODYM and Ikamoana (SA-IP07, SA-IP10) is a sensible response, but it is another model stacked on the assessment, and the small-scale movement that matters most may still not be captured. If not, the tag data are biased in ways that are hard to see from inside. This is one of the strongest arguments for analysing tagging data outside of the stock assessment model.</w:t>
      </w:r>
    </w:p>
    <w:p w14:paraId="0FB29F8B"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529F4C78"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4445818B"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agree, and this issue is recognised in the assessment report. The assessment team supports further analysis of tagging data outside the integrated assessment model, particularly for movement, mixing, mortality, and reporting processes. The current assessment explored externally estimated mixing periods and examines models with tagging data removed and movement fixed from MFCL or SEAPODYM. This recommendation is therefore consistent with the explorations that were conducted by the assessment team. The SEAPODYM movement option maybe a viable alternative if population scaling is thought to be badly biased due to the tagging data not conforming to model assumptions, but in that case the other data needs to be sufficiently informative on population scaling.</w:t>
      </w:r>
    </w:p>
    <w:p w14:paraId="3987853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F0D7E8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4. Simulation testing</w:t>
      </w:r>
    </w:p>
    <w:p w14:paraId="63BB865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Several issues above concern whether a method behaves as intended rather than the </w:t>
      </w:r>
      <w:proofErr w:type="gramStart"/>
      <w:r w:rsidRPr="00B845AF">
        <w:rPr>
          <w:rFonts w:asciiTheme="minorHAnsi" w:hAnsiTheme="minorHAnsi" w:cstheme="minorHAnsi"/>
          <w:color w:val="000000"/>
          <w:szCs w:val="22"/>
          <w:lang w:eastAsia="ja-JP"/>
        </w:rPr>
        <w:t>data, and</w:t>
      </w:r>
      <w:proofErr w:type="gramEnd"/>
      <w:r w:rsidRPr="00B845AF">
        <w:rPr>
          <w:rFonts w:asciiTheme="minorHAnsi" w:hAnsiTheme="minorHAnsi" w:cstheme="minorHAnsi"/>
          <w:color w:val="000000"/>
          <w:szCs w:val="22"/>
          <w:lang w:eastAsia="ja-JP"/>
        </w:rPr>
        <w:t xml:space="preserve"> can only be answered by </w:t>
      </w:r>
      <w:proofErr w:type="gramStart"/>
      <w:r w:rsidRPr="00B845AF">
        <w:rPr>
          <w:rFonts w:asciiTheme="minorHAnsi" w:hAnsiTheme="minorHAnsi" w:cstheme="minorHAnsi"/>
          <w:color w:val="000000"/>
          <w:szCs w:val="22"/>
          <w:lang w:eastAsia="ja-JP"/>
        </w:rPr>
        <w:t>testing on</w:t>
      </w:r>
      <w:proofErr w:type="gramEnd"/>
      <w:r w:rsidRPr="00B845AF">
        <w:rPr>
          <w:rFonts w:asciiTheme="minorHAnsi" w:hAnsiTheme="minorHAnsi" w:cstheme="minorHAnsi"/>
          <w:color w:val="000000"/>
          <w:szCs w:val="22"/>
          <w:lang w:eastAsia="ja-JP"/>
        </w:rPr>
        <w:t xml:space="preserve"> data with known properties. We would encourage this in the development cycle — for the tag likelihood, and for the spatial growth methods above, where the whole question is whether a method recovers growth correctly when it varies by region. It applies equally to the modelling </w:t>
      </w:r>
      <w:proofErr w:type="gramStart"/>
      <w:r w:rsidRPr="00B845AF">
        <w:rPr>
          <w:rFonts w:asciiTheme="minorHAnsi" w:hAnsiTheme="minorHAnsi" w:cstheme="minorHAnsi"/>
          <w:color w:val="000000"/>
          <w:szCs w:val="22"/>
          <w:lang w:eastAsia="ja-JP"/>
        </w:rPr>
        <w:t>platform as a whole</w:t>
      </w:r>
      <w:proofErr w:type="gramEnd"/>
      <w:r w:rsidRPr="00B845AF">
        <w:rPr>
          <w:rFonts w:asciiTheme="minorHAnsi" w:hAnsiTheme="minorHAnsi" w:cstheme="minorHAnsi"/>
          <w:color w:val="000000"/>
          <w:szCs w:val="22"/>
          <w:lang w:eastAsia="ja-JP"/>
        </w:rPr>
        <w:t>. We support the paper’s recommendation to extend self-tests to structural cross-tests and would suggest making this a priority.</w:t>
      </w:r>
    </w:p>
    <w:p w14:paraId="2C1E73A8"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2747ADA7"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03DDAD4C"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agree that simulation testing and structural cross-tests are valuable, and this is recommended in the assessment report. The current assessment introduced phase-aware jittering and the first formal model self-test, alongside extensive sensitivity analyses and a large uncertainty ensemble.</w:t>
      </w:r>
    </w:p>
    <w:p w14:paraId="6A4DF6FA"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4C08C1C4"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Extending simulation testing would require substantial model development, computation, validation, and interpretation. Its scope and priority therefore need to be balanced against the existing diagnostic workload and the need to provide sufficient review time. Future work should focus on targeted tests of the most important structural questions rather than exhaustive simulation testing of every model configuration.</w:t>
      </w:r>
    </w:p>
    <w:p w14:paraId="06FE5A18"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66D2EEAF" w14:textId="77777777" w:rsidR="00D47778" w:rsidRPr="00B845AF" w:rsidRDefault="00D47778" w:rsidP="00D47778">
      <w:pPr>
        <w:spacing w:after="5" w:line="248" w:lineRule="auto"/>
        <w:ind w:right="1"/>
        <w:jc w:val="both"/>
        <w:rPr>
          <w:rFonts w:asciiTheme="minorHAnsi" w:hAnsiTheme="minorHAnsi" w:cstheme="minorHAnsi"/>
          <w:b/>
          <w:bCs/>
          <w:color w:val="000000"/>
          <w:szCs w:val="22"/>
          <w:lang w:eastAsia="ja-JP"/>
        </w:rPr>
      </w:pPr>
      <w:bookmarkStart w:id="105" w:name="p-1964-concluding-remarks-4"/>
      <w:bookmarkEnd w:id="105"/>
      <w:r w:rsidRPr="00B845AF">
        <w:rPr>
          <w:rFonts w:asciiTheme="minorHAnsi" w:hAnsiTheme="minorHAnsi" w:cstheme="minorHAnsi"/>
          <w:b/>
          <w:bCs/>
          <w:color w:val="000000"/>
          <w:szCs w:val="22"/>
          <w:lang w:eastAsia="ja-JP"/>
        </w:rPr>
        <w:t>Concluding remarks</w:t>
      </w:r>
    </w:p>
    <w:p w14:paraId="451B909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would like to close by again thanking the SPC assessment team for the depth and rigour of this year’s work.</w:t>
      </w:r>
    </w:p>
    <w:p w14:paraId="4D876CC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F64689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wish to stress that none of these issues are critical in isolation, and many are already acknowledged in the paper. Our main concern is that they appear to push mostly in the same direction and that, on the settings we have been able to check, the ensemble appears to sit on the optimistic side of the diagnostic model. We would like to understand how much of the reported status depends on that combination, and we think the medium-term answer lies in simpler, better-tested models.</w:t>
      </w:r>
    </w:p>
    <w:p w14:paraId="2A0DCE23"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6EA9E7A8"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07291B29"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We thank New Zealand for its constructive engagement and acknowledge that the identified issues warrant continued investigation. However, their apparent directional consistency should not be interpreted as independent evidence of </w:t>
      </w:r>
      <w:proofErr w:type="gramStart"/>
      <w:r w:rsidRPr="00B845AF">
        <w:rPr>
          <w:rFonts w:asciiTheme="minorHAnsi" w:eastAsia="Yu Mincho" w:hAnsiTheme="minorHAnsi" w:cstheme="minorHAnsi"/>
          <w:color w:val="000000"/>
          <w:szCs w:val="22"/>
          <w:lang w:eastAsia="ja-JP"/>
        </w:rPr>
        <w:t>a common</w:t>
      </w:r>
      <w:proofErr w:type="gramEnd"/>
      <w:r w:rsidRPr="00B845AF">
        <w:rPr>
          <w:rFonts w:asciiTheme="minorHAnsi" w:eastAsia="Yu Mincho" w:hAnsiTheme="minorHAnsi" w:cstheme="minorHAnsi"/>
          <w:color w:val="000000"/>
          <w:szCs w:val="22"/>
          <w:lang w:eastAsia="ja-JP"/>
        </w:rPr>
        <w:t xml:space="preserve"> bias, because many arise from the same interacting tag, mortality, population-scaling, and spatial assumptions. The diagnostic model is also not necessarily intended to define the </w:t>
      </w:r>
      <w:proofErr w:type="spellStart"/>
      <w:r w:rsidRPr="00B845AF">
        <w:rPr>
          <w:rFonts w:asciiTheme="minorHAnsi" w:eastAsia="Yu Mincho" w:hAnsiTheme="minorHAnsi" w:cstheme="minorHAnsi"/>
          <w:color w:val="000000"/>
          <w:szCs w:val="22"/>
          <w:lang w:eastAsia="ja-JP"/>
        </w:rPr>
        <w:t>centre</w:t>
      </w:r>
      <w:proofErr w:type="spellEnd"/>
      <w:r w:rsidRPr="00B845AF">
        <w:rPr>
          <w:rFonts w:asciiTheme="minorHAnsi" w:eastAsia="Yu Mincho" w:hAnsiTheme="minorHAnsi" w:cstheme="minorHAnsi"/>
          <w:color w:val="000000"/>
          <w:szCs w:val="22"/>
          <w:lang w:eastAsia="ja-JP"/>
        </w:rPr>
        <w:t xml:space="preserve"> or the preferred outcome of the uncertainty ensemble.</w:t>
      </w:r>
    </w:p>
    <w:p w14:paraId="4F03A293"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5980C176"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We agree that simpler and better-tested models are an appropriate medium-term objective. Achieving that objective will require Scientific Committee agreement on the information and spatial detail that may be lost, together with clear priorities for future methodological and simulation work. The current assessment reports the identified l imitations transparently and represents the principal uncertainties through the ensemble.</w:t>
      </w:r>
    </w:p>
    <w:p w14:paraId="3B8AA076" w14:textId="77777777" w:rsidR="00D47778" w:rsidRPr="00B845AF" w:rsidRDefault="00D47778" w:rsidP="00D47778">
      <w:pPr>
        <w:jc w:val="both"/>
        <w:rPr>
          <w:rFonts w:asciiTheme="minorHAnsi" w:hAnsiTheme="minorHAnsi" w:cstheme="minorHAnsi"/>
          <w:bCs/>
          <w:color w:val="000000"/>
          <w:szCs w:val="22"/>
        </w:rPr>
      </w:pPr>
    </w:p>
    <w:p w14:paraId="503AAB7A"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9.</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North Pacific Albacore Stock Assessment</w:t>
      </w:r>
    </w:p>
    <w:p w14:paraId="75D154A3"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color w:val="000000"/>
          <w:szCs w:val="22"/>
        </w:rPr>
        <w:t>No questions or comments</w:t>
      </w:r>
    </w:p>
    <w:p w14:paraId="7AA8F1F0" w14:textId="77777777" w:rsidR="00D47778" w:rsidRPr="00B845AF" w:rsidRDefault="00D47778" w:rsidP="00D47778">
      <w:pPr>
        <w:spacing w:after="15"/>
        <w:ind w:left="370" w:right="5" w:hanging="370"/>
        <w:jc w:val="both"/>
        <w:rPr>
          <w:rFonts w:asciiTheme="minorHAnsi" w:hAnsiTheme="minorHAnsi" w:cstheme="minorHAnsi"/>
          <w:color w:val="000000"/>
          <w:szCs w:val="22"/>
        </w:rPr>
      </w:pPr>
    </w:p>
    <w:p w14:paraId="3E5686CA"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lastRenderedPageBreak/>
        <w:t>TOPIC 10.</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Pacific Blue Marlin (Makaira nigricans) Stock Assessment</w:t>
      </w:r>
    </w:p>
    <w:p w14:paraId="187DBDF0"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b/>
          <w:bCs/>
          <w:color w:val="000000"/>
          <w:szCs w:val="22"/>
        </w:rPr>
        <w:t xml:space="preserve">Related papers: </w:t>
      </w:r>
      <w:hyperlink r:id="rId152" w:history="1">
        <w:r w:rsidRPr="00B845AF">
          <w:rPr>
            <w:rFonts w:asciiTheme="minorHAnsi" w:hAnsiTheme="minorHAnsi" w:cstheme="minorHAnsi"/>
            <w:color w:val="0563C1"/>
            <w:szCs w:val="22"/>
            <w:u w:val="single"/>
          </w:rPr>
          <w:t>WCPFC-SC22-2026-SA-WP10</w:t>
        </w:r>
      </w:hyperlink>
      <w:r w:rsidRPr="00B845AF">
        <w:rPr>
          <w:rFonts w:asciiTheme="minorHAnsi" w:hAnsiTheme="minorHAnsi" w:cstheme="minorHAnsi"/>
          <w:color w:val="000000"/>
          <w:szCs w:val="22"/>
        </w:rPr>
        <w:t>: ISC. Stock Assessment Report for Pacific Blue Marlin (</w:t>
      </w:r>
      <w:r w:rsidRPr="00B845AF">
        <w:rPr>
          <w:rFonts w:asciiTheme="minorHAnsi" w:hAnsiTheme="minorHAnsi" w:cstheme="minorHAnsi"/>
          <w:i/>
          <w:iCs/>
          <w:color w:val="000000"/>
          <w:szCs w:val="22"/>
        </w:rPr>
        <w:t>Makaira nigricans</w:t>
      </w:r>
      <w:r w:rsidRPr="00B845AF">
        <w:rPr>
          <w:rFonts w:asciiTheme="minorHAnsi" w:hAnsiTheme="minorHAnsi" w:cstheme="minorHAnsi"/>
          <w:color w:val="000000"/>
          <w:szCs w:val="22"/>
        </w:rPr>
        <w:t>) through 2024</w:t>
      </w:r>
    </w:p>
    <w:p w14:paraId="2AEC6FC3" w14:textId="77777777" w:rsidR="00D47778" w:rsidRPr="00B845AF" w:rsidRDefault="00D47778" w:rsidP="00D47778">
      <w:pPr>
        <w:ind w:left="734"/>
        <w:rPr>
          <w:rFonts w:asciiTheme="minorHAnsi" w:hAnsiTheme="minorHAnsi" w:cstheme="minorHAnsi"/>
          <w:color w:val="000000"/>
          <w:szCs w:val="22"/>
        </w:rPr>
      </w:pPr>
      <w:r w:rsidRPr="00B845AF">
        <w:rPr>
          <w:rFonts w:asciiTheme="minorHAnsi" w:hAnsiTheme="minorHAnsi" w:cstheme="minorHAnsi"/>
          <w:color w:val="000000"/>
          <w:szCs w:val="22"/>
        </w:rPr>
        <w:t xml:space="preserve"> </w:t>
      </w:r>
    </w:p>
    <w:p w14:paraId="4B8861EF" w14:textId="77777777" w:rsidR="00D47778" w:rsidRPr="00B845AF" w:rsidRDefault="00D47778" w:rsidP="00D47778">
      <w:pPr>
        <w:keepNext/>
        <w:keepLines/>
        <w:tabs>
          <w:tab w:val="left" w:pos="720"/>
          <w:tab w:val="center" w:pos="1685"/>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4A21DC59" w14:textId="77777777" w:rsidR="00D47778" w:rsidRPr="00B845AF" w:rsidRDefault="00D47778" w:rsidP="00D47778">
      <w:pPr>
        <w:rPr>
          <w:rFonts w:asciiTheme="minorHAnsi" w:hAnsiTheme="minorHAnsi" w:cstheme="minorHAnsi"/>
          <w:b/>
          <w:bCs/>
          <w:color w:val="000000"/>
          <w:szCs w:val="22"/>
          <w:u w:val="single"/>
        </w:rPr>
      </w:pPr>
      <w:r w:rsidRPr="00B845AF">
        <w:rPr>
          <w:rFonts w:asciiTheme="minorHAnsi" w:hAnsiTheme="minorHAnsi" w:cstheme="minorHAnsi"/>
          <w:b/>
          <w:bCs/>
          <w:color w:val="000000"/>
          <w:szCs w:val="22"/>
          <w:u w:val="single"/>
        </w:rPr>
        <w:t>Vanuatu</w:t>
      </w:r>
    </w:p>
    <w:p w14:paraId="100F29F6"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PNA and Vanuatu reiterate previous statement on billfish that Pacific blue marlin makes up a small but important component of our domestic longline fisheries they are also important for our sport fisheries. As such this stock is important to us and we want to ensure that it is sustainably managed.</w:t>
      </w:r>
    </w:p>
    <w:p w14:paraId="30C97DDD" w14:textId="77777777" w:rsidR="00D47778" w:rsidRPr="00B845AF" w:rsidRDefault="00D47778" w:rsidP="00D47778">
      <w:pPr>
        <w:ind w:left="10"/>
        <w:jc w:val="both"/>
        <w:rPr>
          <w:rFonts w:asciiTheme="minorHAnsi" w:hAnsiTheme="minorHAnsi" w:cstheme="minorHAnsi"/>
          <w:color w:val="000000"/>
          <w:szCs w:val="22"/>
        </w:rPr>
      </w:pPr>
    </w:p>
    <w:p w14:paraId="3CEE434E"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 xml:space="preserve">We believe that this assessment is an improvement </w:t>
      </w:r>
      <w:proofErr w:type="gramStart"/>
      <w:r w:rsidRPr="00B845AF">
        <w:rPr>
          <w:rFonts w:asciiTheme="minorHAnsi" w:hAnsiTheme="minorHAnsi" w:cstheme="minorHAnsi"/>
          <w:color w:val="000000"/>
          <w:szCs w:val="22"/>
        </w:rPr>
        <w:t>on</w:t>
      </w:r>
      <w:proofErr w:type="gramEnd"/>
      <w:r w:rsidRPr="00B845AF">
        <w:rPr>
          <w:rFonts w:asciiTheme="minorHAnsi" w:hAnsiTheme="minorHAnsi" w:cstheme="minorHAnsi"/>
          <w:color w:val="000000"/>
          <w:szCs w:val="22"/>
        </w:rPr>
        <w:t xml:space="preserve"> the previous assessments. We would like to ask the assessment team</w:t>
      </w:r>
    </w:p>
    <w:p w14:paraId="1B98CDC5" w14:textId="77777777" w:rsidR="00D47778" w:rsidRPr="00B845AF" w:rsidRDefault="00D47778" w:rsidP="00D47778">
      <w:pPr>
        <w:ind w:left="10"/>
        <w:jc w:val="both"/>
        <w:rPr>
          <w:rFonts w:asciiTheme="minorHAnsi" w:hAnsiTheme="minorHAnsi" w:cstheme="minorHAnsi"/>
          <w:color w:val="000000"/>
          <w:szCs w:val="22"/>
        </w:rPr>
      </w:pPr>
    </w:p>
    <w:p w14:paraId="501ACE84"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1. Why does the projected biomass decline very rapidly under the FMSY scenario? We would not expect this to happen faster than the FHigh scenario.</w:t>
      </w:r>
    </w:p>
    <w:p w14:paraId="2F717087" w14:textId="77777777" w:rsidR="00D47778" w:rsidRPr="00B845AF" w:rsidRDefault="00D47778" w:rsidP="00D47778">
      <w:pPr>
        <w:ind w:left="10"/>
        <w:jc w:val="both"/>
        <w:rPr>
          <w:rFonts w:asciiTheme="minorHAnsi" w:hAnsiTheme="minorHAnsi" w:cstheme="minorHAnsi"/>
          <w:color w:val="000000"/>
          <w:szCs w:val="22"/>
        </w:rPr>
      </w:pPr>
    </w:p>
    <w:p w14:paraId="2DF6A4F7"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2. Is this issue a result of the assumptions in the assessment or with the recruitment scenarios used in the projections?</w:t>
      </w:r>
    </w:p>
    <w:p w14:paraId="6A235ADD" w14:textId="77777777" w:rsidR="00D47778" w:rsidRPr="00B845AF" w:rsidRDefault="00D47778" w:rsidP="00D47778">
      <w:pPr>
        <w:ind w:left="10"/>
        <w:jc w:val="both"/>
        <w:rPr>
          <w:rFonts w:asciiTheme="minorHAnsi" w:hAnsiTheme="minorHAnsi" w:cstheme="minorHAnsi"/>
          <w:color w:val="000000"/>
          <w:szCs w:val="22"/>
        </w:rPr>
      </w:pPr>
    </w:p>
    <w:p w14:paraId="6961C6E5"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 xml:space="preserve">We note that the paper suggests that additional catch would be possible, however, we would like to ask. How could that happen given that this is almost entirely a </w:t>
      </w:r>
      <w:proofErr w:type="gramStart"/>
      <w:r w:rsidRPr="00B845AF">
        <w:rPr>
          <w:rFonts w:asciiTheme="minorHAnsi" w:hAnsiTheme="minorHAnsi" w:cstheme="minorHAnsi"/>
          <w:color w:val="000000"/>
          <w:szCs w:val="22"/>
        </w:rPr>
        <w:t>bycatch</w:t>
      </w:r>
      <w:proofErr w:type="gramEnd"/>
      <w:r w:rsidRPr="00B845AF">
        <w:rPr>
          <w:rFonts w:asciiTheme="minorHAnsi" w:hAnsiTheme="minorHAnsi" w:cstheme="minorHAnsi"/>
          <w:color w:val="000000"/>
          <w:szCs w:val="22"/>
        </w:rPr>
        <w:t xml:space="preserve"> fishery?</w:t>
      </w:r>
    </w:p>
    <w:p w14:paraId="67182DA2" w14:textId="77777777" w:rsidR="00D47778" w:rsidRPr="00B845AF" w:rsidRDefault="00D47778" w:rsidP="00D47778">
      <w:pPr>
        <w:ind w:left="10"/>
        <w:jc w:val="both"/>
        <w:rPr>
          <w:rFonts w:asciiTheme="minorHAnsi" w:hAnsiTheme="minorHAnsi" w:cstheme="minorHAnsi"/>
          <w:color w:val="000000"/>
          <w:szCs w:val="22"/>
        </w:rPr>
      </w:pPr>
    </w:p>
    <w:p w14:paraId="259B9604" w14:textId="77777777" w:rsidR="00D47778" w:rsidRPr="00B845AF" w:rsidRDefault="00D47778" w:rsidP="00D47778">
      <w:pPr>
        <w:ind w:left="10"/>
        <w:jc w:val="both"/>
        <w:rPr>
          <w:rFonts w:asciiTheme="minorHAnsi" w:hAnsiTheme="minorHAnsi" w:cstheme="minorHAnsi"/>
          <w:color w:val="000000"/>
          <w:szCs w:val="22"/>
        </w:rPr>
      </w:pPr>
      <w:r w:rsidRPr="00B845AF">
        <w:rPr>
          <w:rFonts w:asciiTheme="minorHAnsi" w:hAnsiTheme="minorHAnsi" w:cstheme="minorHAnsi"/>
          <w:color w:val="000000"/>
          <w:szCs w:val="22"/>
        </w:rPr>
        <w:t>Lastly, noting the issues with the projections if a catch increase is proposed PNA and Vanuatu believe that any catch increases should be undertaken with caution.</w:t>
      </w:r>
    </w:p>
    <w:p w14:paraId="5CD6DC16" w14:textId="77777777" w:rsidR="00D47778" w:rsidRPr="00B845AF" w:rsidRDefault="00D47778" w:rsidP="00D47778">
      <w:pPr>
        <w:ind w:left="10"/>
        <w:rPr>
          <w:rFonts w:asciiTheme="minorHAnsi" w:hAnsiTheme="minorHAnsi" w:cstheme="minorHAnsi"/>
          <w:color w:val="000000"/>
          <w:szCs w:val="22"/>
        </w:rPr>
      </w:pPr>
    </w:p>
    <w:p w14:paraId="39C62085" w14:textId="77777777" w:rsidR="00D47778" w:rsidRPr="00B845AF" w:rsidRDefault="00D47778" w:rsidP="00D47778">
      <w:pPr>
        <w:ind w:leftChars="206" w:left="823" w:hanging="370"/>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(USA)</w:t>
      </w:r>
    </w:p>
    <w:p w14:paraId="00DA50B5" w14:textId="77777777" w:rsidR="00D47778" w:rsidRPr="00B845AF" w:rsidRDefault="00D47778" w:rsidP="00D47778">
      <w:pPr>
        <w:ind w:leftChars="205" w:left="451"/>
        <w:jc w:val="both"/>
        <w:rPr>
          <w:rFonts w:asciiTheme="minorHAnsi" w:hAnsiTheme="minorHAnsi" w:cstheme="minorHAnsi"/>
          <w:color w:val="000000"/>
          <w:szCs w:val="22"/>
        </w:rPr>
      </w:pPr>
      <w:r w:rsidRPr="00B845AF">
        <w:rPr>
          <w:rFonts w:asciiTheme="minorHAnsi" w:hAnsiTheme="minorHAnsi" w:cstheme="minorHAnsi"/>
          <w:color w:val="000000"/>
          <w:szCs w:val="22"/>
        </w:rPr>
        <w:t xml:space="preserve">Thanks to PNA and Vanuatu for your comments and questions. The FHigh projection corresponded to the highest F estimated across the time series. This occurred in 2003 and was estimated to be F=0.23. The estimated FMSY was F=0.26, so the Fishing mortality on the stock was never above FMSY, which meant that the removals estimated for the FMSY projection were </w:t>
      </w:r>
      <w:proofErr w:type="gramStart"/>
      <w:r w:rsidRPr="00B845AF">
        <w:rPr>
          <w:rFonts w:asciiTheme="minorHAnsi" w:hAnsiTheme="minorHAnsi" w:cstheme="minorHAnsi"/>
          <w:color w:val="000000"/>
          <w:szCs w:val="22"/>
        </w:rPr>
        <w:t>actually higher</w:t>
      </w:r>
      <w:proofErr w:type="gramEnd"/>
      <w:r w:rsidRPr="00B845AF">
        <w:rPr>
          <w:rFonts w:asciiTheme="minorHAnsi" w:hAnsiTheme="minorHAnsi" w:cstheme="minorHAnsi"/>
          <w:color w:val="000000"/>
          <w:szCs w:val="22"/>
        </w:rPr>
        <w:t xml:space="preserve"> than the FHigh projection. As a result, the FMSY projected biomass decreased faster than the FHigh projected biomass.</w:t>
      </w:r>
    </w:p>
    <w:p w14:paraId="5256E0AE" w14:textId="77777777" w:rsidR="00D47778" w:rsidRPr="00B845AF" w:rsidRDefault="00D47778" w:rsidP="00D47778">
      <w:pPr>
        <w:ind w:leftChars="205" w:left="451"/>
        <w:jc w:val="both"/>
        <w:rPr>
          <w:rFonts w:asciiTheme="minorHAnsi" w:hAnsiTheme="minorHAnsi" w:cstheme="minorHAnsi"/>
          <w:color w:val="000000"/>
          <w:szCs w:val="22"/>
        </w:rPr>
      </w:pPr>
    </w:p>
    <w:p w14:paraId="69F66480" w14:textId="77777777" w:rsidR="00D47778" w:rsidRPr="00B845AF" w:rsidRDefault="00D47778" w:rsidP="00D47778">
      <w:pPr>
        <w:ind w:leftChars="205" w:left="451"/>
        <w:jc w:val="both"/>
        <w:rPr>
          <w:rFonts w:asciiTheme="minorHAnsi" w:hAnsiTheme="minorHAnsi" w:cstheme="minorHAnsi"/>
          <w:color w:val="000000"/>
          <w:szCs w:val="22"/>
        </w:rPr>
      </w:pPr>
      <w:r w:rsidRPr="00B845AF">
        <w:rPr>
          <w:rFonts w:asciiTheme="minorHAnsi" w:hAnsiTheme="minorHAnsi" w:cstheme="minorHAnsi"/>
          <w:color w:val="000000"/>
          <w:szCs w:val="22"/>
        </w:rPr>
        <w:t xml:space="preserve">The WG would also like to note that there are currently no catch limits for BUM, as you noted it is a </w:t>
      </w:r>
      <w:proofErr w:type="gramStart"/>
      <w:r w:rsidRPr="00B845AF">
        <w:rPr>
          <w:rFonts w:asciiTheme="minorHAnsi" w:hAnsiTheme="minorHAnsi" w:cstheme="minorHAnsi"/>
          <w:color w:val="000000"/>
          <w:szCs w:val="22"/>
        </w:rPr>
        <w:t>bycatch</w:t>
      </w:r>
      <w:proofErr w:type="gramEnd"/>
      <w:r w:rsidRPr="00B845AF">
        <w:rPr>
          <w:rFonts w:asciiTheme="minorHAnsi" w:hAnsiTheme="minorHAnsi" w:cstheme="minorHAnsi"/>
          <w:color w:val="000000"/>
          <w:szCs w:val="22"/>
        </w:rPr>
        <w:t xml:space="preserve"> species and only targeted occasionally. Our suggestion that the stock could withstand somewhat higher catches was intended to indicate that should the catch increase in the future, it is unlikely to lead to overfishing, and that no </w:t>
      </w:r>
      <w:proofErr w:type="gramStart"/>
      <w:r w:rsidRPr="00B845AF">
        <w:rPr>
          <w:rFonts w:asciiTheme="minorHAnsi" w:hAnsiTheme="minorHAnsi" w:cstheme="minorHAnsi"/>
          <w:color w:val="000000"/>
          <w:szCs w:val="22"/>
        </w:rPr>
        <w:t>actions</w:t>
      </w:r>
      <w:proofErr w:type="gramEnd"/>
      <w:r w:rsidRPr="00B845AF">
        <w:rPr>
          <w:rFonts w:asciiTheme="minorHAnsi" w:hAnsiTheme="minorHAnsi" w:cstheme="minorHAnsi"/>
          <w:color w:val="000000"/>
          <w:szCs w:val="22"/>
        </w:rPr>
        <w:t xml:space="preserve"> to reduce catch at this time would likely be necessary.</w:t>
      </w:r>
    </w:p>
    <w:p w14:paraId="2C7A8062" w14:textId="77777777" w:rsidR="00D47778" w:rsidRPr="00B845AF" w:rsidRDefault="00D47778" w:rsidP="00D47778">
      <w:pPr>
        <w:rPr>
          <w:rFonts w:asciiTheme="minorHAnsi" w:hAnsiTheme="minorHAnsi" w:cstheme="minorHAnsi"/>
          <w:color w:val="000000"/>
          <w:szCs w:val="22"/>
        </w:rPr>
      </w:pPr>
    </w:p>
    <w:p w14:paraId="729BE912"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11.</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Project 100d: Application of CKMR methods to SP albacore and cost-benefit evaluation and prioritization of CKMR to WCPFC stocks (tuna, billfish, sharks)</w:t>
      </w:r>
      <w:r w:rsidRPr="00B845AF">
        <w:rPr>
          <w:rFonts w:asciiTheme="minorHAnsi" w:hAnsiTheme="minorHAnsi" w:cstheme="minorHAnsi"/>
          <w:b/>
          <w:color w:val="000000"/>
          <w:szCs w:val="22"/>
        </w:rPr>
        <w:t xml:space="preserve"> </w:t>
      </w:r>
    </w:p>
    <w:p w14:paraId="62493D97"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b/>
          <w:color w:val="000000"/>
          <w:szCs w:val="22"/>
        </w:rPr>
        <w:t xml:space="preserve">Related papers: </w:t>
      </w:r>
      <w:hyperlink r:id="rId153" w:history="1">
        <w:r w:rsidRPr="00B845AF">
          <w:rPr>
            <w:rFonts w:asciiTheme="minorHAnsi" w:hAnsiTheme="minorHAnsi" w:cstheme="minorHAnsi"/>
            <w:color w:val="0563C1"/>
            <w:szCs w:val="22"/>
            <w:u w:val="single"/>
          </w:rPr>
          <w:t>WCPFC-SC22-2026-SA-WP11</w:t>
        </w:r>
      </w:hyperlink>
      <w:r w:rsidRPr="00B845AF">
        <w:rPr>
          <w:rFonts w:asciiTheme="minorHAnsi" w:hAnsiTheme="minorHAnsi" w:cstheme="minorHAnsi"/>
          <w:color w:val="000000"/>
          <w:szCs w:val="22"/>
        </w:rPr>
        <w:t>: SPC-OFP and CSIRO. Report on Project 100d: Application of CKMR methods to SP albacore and cost-benefit evaluation and prioritisation of CKMR to WCPFC stocks (tuna, billfish, sharks)</w:t>
      </w:r>
    </w:p>
    <w:p w14:paraId="2ECCB2FB" w14:textId="77777777" w:rsidR="00D47778" w:rsidRPr="00B845AF" w:rsidRDefault="00D47778" w:rsidP="00D47778">
      <w:pPr>
        <w:ind w:left="14"/>
        <w:rPr>
          <w:rFonts w:asciiTheme="minorHAnsi" w:hAnsiTheme="minorHAnsi" w:cstheme="minorHAnsi"/>
          <w:bCs/>
          <w:color w:val="000000"/>
          <w:szCs w:val="22"/>
        </w:rPr>
      </w:pPr>
    </w:p>
    <w:p w14:paraId="7DFB1AF3" w14:textId="77777777" w:rsidR="00D47778" w:rsidRPr="00B845AF" w:rsidRDefault="00D47778" w:rsidP="00D47778">
      <w:pPr>
        <w:keepNext/>
        <w:keepLines/>
        <w:tabs>
          <w:tab w:val="left" w:pos="720"/>
        </w:tabs>
        <w:spacing w:after="9" w:line="252" w:lineRule="auto"/>
        <w:ind w:left="10" w:right="1" w:hanging="10"/>
        <w:outlineLvl w:val="1"/>
        <w:rPr>
          <w:rFonts w:asciiTheme="minorHAnsi" w:hAnsiTheme="minorHAnsi" w:cstheme="minorHAnsi"/>
          <w:b/>
          <w:color w:val="000000"/>
          <w:szCs w:val="22"/>
        </w:rPr>
      </w:pPr>
      <w:r w:rsidRPr="00B845AF">
        <w:rPr>
          <w:rFonts w:asciiTheme="minorHAnsi" w:hAnsiTheme="minorHAnsi" w:cstheme="minorHAnsi"/>
          <w:b/>
          <w:color w:val="000000"/>
          <w:szCs w:val="22"/>
        </w:rPr>
        <w:t>Questions and Comments</w:t>
      </w:r>
    </w:p>
    <w:p w14:paraId="2545DF54" w14:textId="77777777" w:rsidR="00D47778" w:rsidRPr="00B845AF" w:rsidRDefault="00D47778" w:rsidP="00D47778">
      <w:pPr>
        <w:spacing w:after="5" w:line="248" w:lineRule="auto"/>
        <w:ind w:left="370" w:right="1" w:hanging="370"/>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Sharks Pacific</w:t>
      </w:r>
    </w:p>
    <w:p w14:paraId="0495678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lastRenderedPageBreak/>
        <w:t>Because CKMR uses genetics to estimate absolute abundance and mortality independent of a conventional stock assessment model, it could have real implications for future data-generation capacity for shark stocks, particularly those that are currently data deficient. Currently, sharks are triaged as the least CKMR-ready group of all candidate stocks in this paper noting that Pacific blue shark, oceanic whitetip, silky shark, and both southwest and northwest Pacific shortfin mako all need “additional investment” across every readiness category, including ageing, reproductive biology, population structure, and genomic assay development, in contrast to all the other target species that are rated as Validated/Established/Available. That recognition alone should be enough to elevate sharks in the consideration and development of future CKMR application.</w:t>
      </w:r>
    </w:p>
    <w:p w14:paraId="72B1102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DC5F39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note the challenge non-retention of some species presents and support the suggestion of non-lethal sampling that is proposed. We would like to highlight our side event that will be exploring some of these potential methodologies and approaches on Tuesday, August 11. However, we also emphasise, again, that any sampling must be facilitated and supported by adequate observer coverage onboard vessels. Specifically, we acknowledge the passage in the paper stating “Sampling for these species will likely also present logistical challenges given the low longline observer coverage and the incidental nature of their catch…” Like with so many other issues before the SC, any sampling needed for any CKMR application relies on increased observer coverage, which must be considered an imperative and absolute priority to improve scientific data collection across the board.</w:t>
      </w:r>
    </w:p>
    <w:p w14:paraId="7E1F1469"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95F0C9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Most importantly, we note that this paper highlights the need for sustained investment in the Shark Research Plan and Project 130 because it explicitly makes shark life-history knowledge gaps (ageing, reproductive biology, population structure) a precondition for future shark abundance science.</w:t>
      </w:r>
    </w:p>
    <w:p w14:paraId="1E71B31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AEFB3A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Lastly, we propose that existing CKMR sampler training infrastructure (241 samplers trained across 17 Pacific countries since 2023) be leveraged to build non-lethal shark tissue-sampling and molecular monitoring application capacity across the regional observer cadre as part of the ROP and National observer programme training platforms, noting also the recent publication of a paper on non-lethal sampling technologies: </w:t>
      </w:r>
      <w:proofErr w:type="spellStart"/>
      <w:r w:rsidRPr="00B845AF">
        <w:rPr>
          <w:rFonts w:asciiTheme="minorHAnsi" w:hAnsiTheme="minorHAnsi" w:cstheme="minorHAnsi"/>
          <w:color w:val="000000"/>
          <w:szCs w:val="22"/>
          <w:lang w:eastAsia="ja-JP"/>
        </w:rPr>
        <w:t>Boube</w:t>
      </w:r>
      <w:proofErr w:type="spellEnd"/>
      <w:r w:rsidRPr="00B845AF">
        <w:rPr>
          <w:rFonts w:asciiTheme="minorHAnsi" w:hAnsiTheme="minorHAnsi" w:cstheme="minorHAnsi"/>
          <w:color w:val="000000"/>
          <w:szCs w:val="22"/>
          <w:lang w:eastAsia="ja-JP"/>
        </w:rPr>
        <w:t xml:space="preserve">, T., Guilbert, A., Winkler, Y. et al. A new underwater probe for simultaneous tagging and biopsy of marine megafauna: a case study on the Critically Endangered Great hammerhead (Sphyrna </w:t>
      </w:r>
      <w:proofErr w:type="spellStart"/>
      <w:r w:rsidRPr="00B845AF">
        <w:rPr>
          <w:rFonts w:asciiTheme="minorHAnsi" w:hAnsiTheme="minorHAnsi" w:cstheme="minorHAnsi"/>
          <w:color w:val="000000"/>
          <w:szCs w:val="22"/>
          <w:lang w:eastAsia="ja-JP"/>
        </w:rPr>
        <w:t>mokarran</w:t>
      </w:r>
      <w:proofErr w:type="spellEnd"/>
      <w:r w:rsidRPr="00B845AF">
        <w:rPr>
          <w:rFonts w:asciiTheme="minorHAnsi" w:hAnsiTheme="minorHAnsi" w:cstheme="minorHAnsi"/>
          <w:color w:val="000000"/>
          <w:szCs w:val="22"/>
          <w:lang w:eastAsia="ja-JP"/>
        </w:rPr>
        <w:t>). Mar Biol 173, 150 (2026). </w:t>
      </w:r>
    </w:p>
    <w:p w14:paraId="28CCAA2C"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4EA927E9"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4A6CEBE3"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Thanks Sharks Pacific and Bubba for your comments. The broader CKMR aspect of the paper only provides a desktop triage on information available for tuna, billfish and sharks that the SC may be considering for CKMR application. The result suggests that there is a split between species where logistics and gaps in life history knowledge would be unlikely to compromise CKMR application, whereas for other species the consideration of CKMR application should be matched with investment in improving logistic and life-history knowledge to reduce any risk of compromise during implementation. The result </w:t>
      </w:r>
      <w:proofErr w:type="gramStart"/>
      <w:r w:rsidRPr="00B845AF">
        <w:rPr>
          <w:rFonts w:asciiTheme="minorHAnsi" w:eastAsia="Yu Mincho" w:hAnsiTheme="minorHAnsi" w:cstheme="minorHAnsi"/>
          <w:color w:val="000000"/>
          <w:szCs w:val="22"/>
          <w:lang w:eastAsia="ja-JP"/>
        </w:rPr>
        <w:t>in particular supports</w:t>
      </w:r>
      <w:proofErr w:type="gramEnd"/>
      <w:r w:rsidRPr="00B845AF">
        <w:rPr>
          <w:rFonts w:asciiTheme="minorHAnsi" w:eastAsia="Yu Mincho" w:hAnsiTheme="minorHAnsi" w:cstheme="minorHAnsi"/>
          <w:color w:val="000000"/>
          <w:szCs w:val="22"/>
          <w:lang w:eastAsia="ja-JP"/>
        </w:rPr>
        <w:t xml:space="preserve"> the implementation of both the billfish research plan and shark research plan.</w:t>
      </w:r>
    </w:p>
    <w:p w14:paraId="4FA23FE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1E7B467C"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SC22 is also advised to read SA-IP26. This paper notes that the genotyping completed to date and the number of half sibling pairs and parent offspring pairs observed indicates that these numbers are more closely aligned with the 2024 stock assessment population scenario used to inform the sampling design than other scenarios.</w:t>
      </w:r>
    </w:p>
    <w:p w14:paraId="7A4BBF49"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46F65538"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Both papers for P100d note that the delay in development of a </w:t>
      </w:r>
      <w:proofErr w:type="gramStart"/>
      <w:r w:rsidRPr="00B845AF">
        <w:rPr>
          <w:rFonts w:asciiTheme="minorHAnsi" w:eastAsia="Yu Mincho" w:hAnsiTheme="minorHAnsi" w:cstheme="minorHAnsi"/>
          <w:color w:val="000000"/>
          <w:szCs w:val="22"/>
          <w:lang w:eastAsia="ja-JP"/>
        </w:rPr>
        <w:t>cost effective</w:t>
      </w:r>
      <w:proofErr w:type="gramEnd"/>
      <w:r w:rsidRPr="00B845AF">
        <w:rPr>
          <w:rFonts w:asciiTheme="minorHAnsi" w:eastAsia="Yu Mincho" w:hAnsiTheme="minorHAnsi" w:cstheme="minorHAnsi"/>
          <w:color w:val="000000"/>
          <w:szCs w:val="22"/>
          <w:lang w:eastAsia="ja-JP"/>
        </w:rPr>
        <w:t xml:space="preserve"> epigenetic age methodology necessitates the collection of otoliths in the remainder of 2026 to provide age information for the CKMR model.</w:t>
      </w:r>
    </w:p>
    <w:p w14:paraId="73302F5D"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p>
    <w:p w14:paraId="1A9603D0" w14:textId="77777777" w:rsidR="00D47778" w:rsidRPr="00B845AF" w:rsidRDefault="00D47778" w:rsidP="00D47778">
      <w:pPr>
        <w:spacing w:after="5" w:line="248" w:lineRule="auto"/>
        <w:ind w:leftChars="200" w:left="440" w:right="1"/>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Both papers also note that progress towards provision of CKMR estimates for south Pacific albacore at SC23 is on track. The budget requested from WCPFC to complete this work in 2027 is USD115k.</w:t>
      </w:r>
    </w:p>
    <w:p w14:paraId="081D1450" w14:textId="77777777" w:rsidR="00D47778" w:rsidRPr="00B845AF" w:rsidRDefault="00D47778" w:rsidP="00D47778">
      <w:pPr>
        <w:rPr>
          <w:rFonts w:asciiTheme="minorHAnsi" w:hAnsiTheme="minorHAnsi" w:cstheme="minorHAnsi"/>
          <w:color w:val="000000"/>
          <w:szCs w:val="22"/>
        </w:rPr>
      </w:pPr>
    </w:p>
    <w:p w14:paraId="5EA0FB0E"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12.</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Project 129 update: Building an age-length data stream for tuna assessments</w:t>
      </w:r>
    </w:p>
    <w:p w14:paraId="60CC388D" w14:textId="77777777" w:rsidR="00D47778" w:rsidRPr="00B845AF" w:rsidRDefault="00D47778" w:rsidP="00D47778">
      <w:pPr>
        <w:ind w:left="14"/>
        <w:rPr>
          <w:rFonts w:asciiTheme="minorHAnsi" w:hAnsiTheme="minorHAnsi" w:cstheme="minorHAnsi"/>
          <w:bCs/>
          <w:color w:val="000000"/>
          <w:szCs w:val="22"/>
        </w:rPr>
      </w:pPr>
      <w:r w:rsidRPr="00B845AF">
        <w:rPr>
          <w:rFonts w:asciiTheme="minorHAnsi" w:hAnsiTheme="minorHAnsi" w:cstheme="minorHAnsi"/>
          <w:bCs/>
          <w:color w:val="000000"/>
          <w:szCs w:val="22"/>
        </w:rPr>
        <w:t>No questions or comments</w:t>
      </w:r>
    </w:p>
    <w:p w14:paraId="15A26BB7" w14:textId="77777777" w:rsidR="00D47778" w:rsidRPr="00B845AF" w:rsidRDefault="00D47778" w:rsidP="00D47778">
      <w:pPr>
        <w:spacing w:after="6"/>
        <w:ind w:left="370" w:hanging="370"/>
        <w:rPr>
          <w:rFonts w:asciiTheme="minorHAnsi" w:hAnsiTheme="minorHAnsi" w:cstheme="minorHAnsi"/>
          <w:color w:val="000000"/>
          <w:szCs w:val="22"/>
        </w:rPr>
      </w:pPr>
      <w:r w:rsidRPr="00B845AF">
        <w:rPr>
          <w:rFonts w:asciiTheme="minorHAnsi" w:hAnsiTheme="minorHAnsi" w:cstheme="minorHAnsi"/>
          <w:b/>
          <w:color w:val="000000"/>
          <w:szCs w:val="22"/>
        </w:rPr>
        <w:tab/>
        <w:t xml:space="preserve"> </w:t>
      </w:r>
      <w:r w:rsidRPr="00B845AF">
        <w:rPr>
          <w:rFonts w:asciiTheme="minorHAnsi" w:hAnsiTheme="minorHAnsi" w:cstheme="minorHAnsi"/>
          <w:color w:val="000000"/>
          <w:szCs w:val="22"/>
        </w:rPr>
        <w:t xml:space="preserve"> </w:t>
      </w:r>
    </w:p>
    <w:p w14:paraId="130B13F0"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13.</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 xml:space="preserve">Estimation of tag mixing periods for the 2026 WCPO tuna stock assessments </w:t>
      </w:r>
    </w:p>
    <w:p w14:paraId="2B08AA77" w14:textId="77777777" w:rsidR="00D47778" w:rsidRPr="00B845AF" w:rsidRDefault="00D47778" w:rsidP="00D47778">
      <w:pPr>
        <w:ind w:left="14"/>
        <w:rPr>
          <w:rFonts w:asciiTheme="minorHAnsi" w:hAnsiTheme="minorHAnsi" w:cstheme="minorHAnsi"/>
          <w:color w:val="000000"/>
          <w:szCs w:val="22"/>
        </w:rPr>
      </w:pPr>
      <w:r w:rsidRPr="00B845AF">
        <w:rPr>
          <w:rFonts w:asciiTheme="minorHAnsi" w:hAnsiTheme="minorHAnsi" w:cstheme="minorHAnsi"/>
          <w:b/>
          <w:color w:val="000000"/>
          <w:szCs w:val="22"/>
        </w:rPr>
        <w:t xml:space="preserve">Related papers: </w:t>
      </w:r>
      <w:hyperlink r:id="rId154" w:history="1">
        <w:r w:rsidRPr="00B845AF">
          <w:rPr>
            <w:rFonts w:asciiTheme="minorHAnsi" w:hAnsiTheme="minorHAnsi" w:cstheme="minorHAnsi"/>
            <w:color w:val="0563C1"/>
            <w:szCs w:val="22"/>
            <w:u w:val="single"/>
          </w:rPr>
          <w:t>WCPFC-SC22-2026-SA-IP10</w:t>
        </w:r>
      </w:hyperlink>
      <w:r w:rsidRPr="00B845AF">
        <w:rPr>
          <w:rFonts w:asciiTheme="minorHAnsi" w:hAnsiTheme="minorHAnsi" w:cstheme="minorHAnsi"/>
          <w:color w:val="000000"/>
          <w:szCs w:val="22"/>
        </w:rPr>
        <w:t>: J. Scutt Phillips, I. Senina and L. Bonin. Estimation of tag mixing periods for the 2026 WCPO tuna stock assessments</w:t>
      </w:r>
    </w:p>
    <w:p w14:paraId="06806DA0" w14:textId="77777777" w:rsidR="00D47778" w:rsidRPr="00B845AF" w:rsidRDefault="00D47778" w:rsidP="00D47778">
      <w:pPr>
        <w:ind w:left="14"/>
        <w:rPr>
          <w:rFonts w:asciiTheme="minorHAnsi" w:hAnsiTheme="minorHAnsi" w:cstheme="minorHAnsi"/>
          <w:b/>
          <w:color w:val="000000"/>
          <w:szCs w:val="22"/>
        </w:rPr>
      </w:pPr>
    </w:p>
    <w:p w14:paraId="07FA572A" w14:textId="77777777" w:rsidR="00D47778" w:rsidRPr="00B845AF" w:rsidRDefault="00D47778" w:rsidP="00D47778">
      <w:pPr>
        <w:keepNext/>
        <w:keepLines/>
        <w:tabs>
          <w:tab w:val="left" w:pos="720"/>
        </w:tabs>
        <w:spacing w:after="9" w:line="252" w:lineRule="auto"/>
        <w:ind w:left="10" w:right="1" w:hanging="10"/>
        <w:outlineLvl w:val="1"/>
        <w:rPr>
          <w:rFonts w:asciiTheme="minorHAnsi" w:hAnsiTheme="minorHAnsi" w:cstheme="minorHAnsi"/>
          <w:b/>
          <w:color w:val="000000"/>
          <w:szCs w:val="22"/>
        </w:rPr>
      </w:pPr>
      <w:r w:rsidRPr="00B845AF">
        <w:rPr>
          <w:rFonts w:asciiTheme="minorHAnsi" w:hAnsiTheme="minorHAnsi" w:cstheme="minorHAnsi"/>
          <w:b/>
          <w:color w:val="000000"/>
          <w:szCs w:val="22"/>
        </w:rPr>
        <w:t>Questions and Comments</w:t>
      </w:r>
    </w:p>
    <w:p w14:paraId="29EE970A" w14:textId="77777777" w:rsidR="00D47778" w:rsidRPr="00B845AF" w:rsidRDefault="00D47778" w:rsidP="00D47778">
      <w:pPr>
        <w:spacing w:after="5" w:line="248" w:lineRule="auto"/>
        <w:ind w:left="370" w:right="1" w:hanging="370"/>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New Zealand</w:t>
      </w:r>
    </w:p>
    <w:p w14:paraId="412517A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Thank you to the authors for SA-IP-10, a substantial and useful piece of work. The move from a binary mixed/not-mixed judgement to a continuous measure is a sensible reframing, and the observed tag density plots (e.g. Figures 9 and 10) are a welcome addition.</w:t>
      </w:r>
    </w:p>
    <w:p w14:paraId="4708296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F29D4F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Why these plots matter: Ikamoana now does more than describe mixing – it determines which tag recaptures enter the assessment likelihood, so the SEAPODYM movement model has become an assessment input as well as an ecosystem-modelling </w:t>
      </w:r>
      <w:proofErr w:type="gramStart"/>
      <w:r w:rsidRPr="00B845AF">
        <w:rPr>
          <w:rFonts w:asciiTheme="minorHAnsi" w:hAnsiTheme="minorHAnsi" w:cstheme="minorHAnsi"/>
          <w:color w:val="000000"/>
          <w:szCs w:val="22"/>
          <w:lang w:eastAsia="ja-JP"/>
        </w:rPr>
        <w:t>result, and</w:t>
      </w:r>
      <w:proofErr w:type="gramEnd"/>
      <w:r w:rsidRPr="00B845AF">
        <w:rPr>
          <w:rFonts w:asciiTheme="minorHAnsi" w:hAnsiTheme="minorHAnsi" w:cstheme="minorHAnsi"/>
          <w:color w:val="000000"/>
          <w:szCs w:val="22"/>
          <w:lang w:eastAsia="ja-JP"/>
        </w:rPr>
        <w:t xml:space="preserve"> now needs validation against observations to support this role. If the simulated movement is wrong, K will be wrong in a specific way: tags will be admitted when the fishing pressure they experience is not actually representative of the fishing pressure on the population.</w:t>
      </w:r>
    </w:p>
    <w:p w14:paraId="22DC2BE7"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38CEF6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This could </w:t>
      </w:r>
      <w:proofErr w:type="gramStart"/>
      <w:r w:rsidRPr="00B845AF">
        <w:rPr>
          <w:rFonts w:asciiTheme="minorHAnsi" w:hAnsiTheme="minorHAnsi" w:cstheme="minorHAnsi"/>
          <w:color w:val="000000"/>
          <w:szCs w:val="22"/>
          <w:lang w:eastAsia="ja-JP"/>
        </w:rPr>
        <w:t>happen:</w:t>
      </w:r>
      <w:proofErr w:type="gramEnd"/>
      <w:r w:rsidRPr="00B845AF">
        <w:rPr>
          <w:rFonts w:asciiTheme="minorHAnsi" w:hAnsiTheme="minorHAnsi" w:cstheme="minorHAnsi"/>
          <w:color w:val="000000"/>
          <w:szCs w:val="22"/>
          <w:lang w:eastAsia="ja-JP"/>
        </w:rPr>
        <w:t xml:space="preserve"> a) if dispersal is simulated too fast, so that dissimilarity falls faster than it should and mixing periods are set too short (the 2026 PAW noted SEAPODYM predicts greater diffusion than observed in the tag data); or b) because a real process, such as entrainment around islands/reefs or association with FADs, is missing from the simulation. Tag data enter the SEAPODYM likelihood aggregated to 6-degree cells, so such fine-scale processes cannot inform the fitted parameters regardless of dynamics resolution, and fish held near land or their release point by such processes would stay there longer than simulated, whatever the diffusion coefficient. Both mechanisms produce the same signature: tag density that stays elevated close to land or the release location for longer than simulated – exactly what the observed tag density plots could show. If the pooled plots show no such pattern, that would be a useful result too. This matters because no comparison currently tests the movement model against anything independent: the dissimilarity statistic compares two simulations, and comparing SEAPODYM with MFCL compares two models, neither of which is the truth. Tag recapture data are the only independent observation available, and tag density plots are the natural way to summarise them.</w:t>
      </w:r>
    </w:p>
    <w:p w14:paraId="00C9C60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7BF7CA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A few requests would help get more out of these plots:</w:t>
      </w:r>
    </w:p>
    <w:p w14:paraId="681EA2C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A58B9B6"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1. Cell-inclusion criteria. </w:t>
      </w:r>
      <w:proofErr w:type="spellStart"/>
      <w:r w:rsidRPr="00B845AF">
        <w:rPr>
          <w:rFonts w:asciiTheme="minorHAnsi" w:hAnsiTheme="minorHAnsi" w:cstheme="minorHAnsi"/>
          <w:color w:val="000000"/>
          <w:szCs w:val="22"/>
          <w:lang w:eastAsia="ja-JP"/>
        </w:rPr>
        <w:t>Coloured</w:t>
      </w:r>
      <w:proofErr w:type="spellEnd"/>
      <w:r w:rsidRPr="00B845AF">
        <w:rPr>
          <w:rFonts w:asciiTheme="minorHAnsi" w:hAnsiTheme="minorHAnsi" w:cstheme="minorHAnsi"/>
          <w:color w:val="000000"/>
          <w:szCs w:val="22"/>
          <w:lang w:eastAsia="ja-JP"/>
        </w:rPr>
        <w:t xml:space="preserve"> cells are often widely separated, and it looks like a cell is shown only if it contains at least one recaptured tag – could you confirm the criteria? Cells with catch and no tags are </w:t>
      </w:r>
      <w:r w:rsidRPr="00B845AF">
        <w:rPr>
          <w:rFonts w:asciiTheme="minorHAnsi" w:hAnsiTheme="minorHAnsi" w:cstheme="minorHAnsi"/>
          <w:color w:val="000000"/>
          <w:szCs w:val="22"/>
          <w:lang w:eastAsia="ja-JP"/>
        </w:rPr>
        <w:lastRenderedPageBreak/>
        <w:t xml:space="preserve">also informative: they show fishing occurred without catching a tagged fish, which is exactly the contrast that indicates uneven tag distribution. </w:t>
      </w:r>
      <w:proofErr w:type="gramStart"/>
      <w:r w:rsidRPr="00B845AF">
        <w:rPr>
          <w:rFonts w:asciiTheme="minorHAnsi" w:hAnsiTheme="minorHAnsi" w:cstheme="minorHAnsi"/>
          <w:color w:val="000000"/>
          <w:szCs w:val="22"/>
          <w:lang w:eastAsia="ja-JP"/>
        </w:rPr>
        <w:t>Otherwise</w:t>
      </w:r>
      <w:proofErr w:type="gramEnd"/>
      <w:r w:rsidRPr="00B845AF">
        <w:rPr>
          <w:rFonts w:asciiTheme="minorHAnsi" w:hAnsiTheme="minorHAnsi" w:cstheme="minorHAnsi"/>
          <w:color w:val="000000"/>
          <w:szCs w:val="22"/>
          <w:lang w:eastAsia="ja-JP"/>
        </w:rPr>
        <w:t xml:space="preserve"> we would expect more </w:t>
      </w:r>
      <w:proofErr w:type="spellStart"/>
      <w:r w:rsidRPr="00B845AF">
        <w:rPr>
          <w:rFonts w:asciiTheme="minorHAnsi" w:hAnsiTheme="minorHAnsi" w:cstheme="minorHAnsi"/>
          <w:color w:val="000000"/>
          <w:szCs w:val="22"/>
          <w:lang w:eastAsia="ja-JP"/>
        </w:rPr>
        <w:t>coloured</w:t>
      </w:r>
      <w:proofErr w:type="spellEnd"/>
      <w:r w:rsidRPr="00B845AF">
        <w:rPr>
          <w:rFonts w:asciiTheme="minorHAnsi" w:hAnsiTheme="minorHAnsi" w:cstheme="minorHAnsi"/>
          <w:color w:val="000000"/>
          <w:szCs w:val="22"/>
          <w:lang w:eastAsia="ja-JP"/>
        </w:rPr>
        <w:t xml:space="preserve"> cells, not fewer, over longer periods (e.g. 270–1000 days). We suggest including all cells with catch in the time window (perhaps above a minimum catch threshold), not just cells with a tag.</w:t>
      </w:r>
    </w:p>
    <w:p w14:paraId="38D9652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709F0D2"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2. Pooled plots. Individual release groups are too sparse to assess, but pooled plots, along the lines of SC9-SA-IP-06, could address whether tag density is systematically elevated near land or the release location – directly relevant to mixing, independent of the Ikamoana simulations, and a question about the systematic behaviour of release groups rather than any individual group, so pooling is the natural approach. To avoid confounding by the shared response of fish and fishing to a moving ocean, density should be estimated separately for each release group and time window and then averaged, not calculated as total recoveries over total catch. Because tag density is tags per </w:t>
      </w:r>
      <w:proofErr w:type="spellStart"/>
      <w:r w:rsidRPr="00B845AF">
        <w:rPr>
          <w:rFonts w:asciiTheme="minorHAnsi" w:hAnsiTheme="minorHAnsi" w:cstheme="minorHAnsi"/>
          <w:color w:val="000000"/>
          <w:szCs w:val="22"/>
          <w:lang w:eastAsia="ja-JP"/>
        </w:rPr>
        <w:t>tonne</w:t>
      </w:r>
      <w:proofErr w:type="spellEnd"/>
      <w:r w:rsidRPr="00B845AF">
        <w:rPr>
          <w:rFonts w:asciiTheme="minorHAnsi" w:hAnsiTheme="minorHAnsi" w:cstheme="minorHAnsi"/>
          <w:color w:val="000000"/>
          <w:szCs w:val="22"/>
          <w:lang w:eastAsia="ja-JP"/>
        </w:rPr>
        <w:t xml:space="preserve"> of catch, the ratio is largely unaffected when fish and fishing concentrate together on a feature. And because moving features lose influence under averaging, pooling is conservative. A pattern that survives it is likely real, and one that recurs in the same place across years is a persistent feature the assessment needs to account for.</w:t>
      </w:r>
    </w:p>
    <w:p w14:paraId="23685A7E"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75646212"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suggest pooled plots by assessment region: absolute coordinates for archipelagic regions, where proximity to land is fixed in space and releases are clustered; and, as a subsidiary, more demanding option, positions relative to release location for non-archipelagic regions, where releases are on TAO buoys/FADs and locations vary between cruises. Showing the number of contributing release groups per cell would help readers judge sampling coverage.</w:t>
      </w:r>
    </w:p>
    <w:p w14:paraId="271345A0"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2962D2F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most direct version of these plots would use only the release groups classified as sufficiently mixed under each mixing-period cutoff, since those are the tags that </w:t>
      </w:r>
      <w:proofErr w:type="gramStart"/>
      <w:r w:rsidRPr="00B845AF">
        <w:rPr>
          <w:rFonts w:asciiTheme="minorHAnsi" w:hAnsiTheme="minorHAnsi" w:cstheme="minorHAnsi"/>
          <w:color w:val="000000"/>
          <w:szCs w:val="22"/>
          <w:lang w:eastAsia="ja-JP"/>
        </w:rPr>
        <w:t>actually enter</w:t>
      </w:r>
      <w:proofErr w:type="gramEnd"/>
      <w:r w:rsidRPr="00B845AF">
        <w:rPr>
          <w:rFonts w:asciiTheme="minorHAnsi" w:hAnsiTheme="minorHAnsi" w:cstheme="minorHAnsi"/>
          <w:color w:val="000000"/>
          <w:szCs w:val="22"/>
          <w:lang w:eastAsia="ja-JP"/>
        </w:rPr>
        <w:t xml:space="preserve"> the assessment. Additional modifications are possible: (a) plot simulated Ikamoana density and observed tag density with each expressed relative to its own spatial mean, pooled over the same release groups and time windows, so predicted and realised distributions can be compared directly; and (b) summarise dispersal with the TART statistics of Kolody and Hoyle (2015), which give a formal, region-by-region comparison of simulated and observed spread. Both use data and methods that already exist.</w:t>
      </w:r>
    </w:p>
    <w:p w14:paraId="4F44C871"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CCA680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Finally, observed recapture density is also affected by spatial variation in reporting rates. The SA-IP-05 estimates should make it possible to adjust for this – could you comment on whether this could account for any of the pattern seen?</w:t>
      </w:r>
    </w:p>
    <w:p w14:paraId="1C067BC3"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3FC6B4CB" w14:textId="77777777" w:rsidR="00D47778" w:rsidRPr="00B845AF" w:rsidRDefault="00D47778" w:rsidP="00D47778">
      <w:pPr>
        <w:spacing w:after="5" w:line="248" w:lineRule="auto"/>
        <w:ind w:leftChars="200" w:left="440" w:right="1"/>
        <w:jc w:val="both"/>
        <w:rPr>
          <w:rFonts w:asciiTheme="minorHAnsi" w:eastAsia="Yu Mincho" w:hAnsiTheme="minorHAnsi" w:cstheme="minorHAnsi"/>
          <w:b/>
          <w:bCs/>
          <w:color w:val="000000"/>
          <w:szCs w:val="22"/>
          <w:lang w:eastAsia="ja-JP"/>
        </w:rPr>
      </w:pPr>
      <w:r w:rsidRPr="00B845AF">
        <w:rPr>
          <w:rFonts w:asciiTheme="minorHAnsi" w:eastAsia="Yu Mincho" w:hAnsiTheme="minorHAnsi" w:cstheme="minorHAnsi"/>
          <w:b/>
          <w:bCs/>
          <w:color w:val="000000"/>
          <w:szCs w:val="22"/>
          <w:lang w:eastAsia="ja-JP"/>
        </w:rPr>
        <w:t>Reply (SPC)</w:t>
      </w:r>
    </w:p>
    <w:p w14:paraId="45129820"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thank New Zealand for the detailed technical comments and requests, and we have tried to collate and answer them here.</w:t>
      </w:r>
    </w:p>
    <w:p w14:paraId="7562EF4B"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p>
    <w:p w14:paraId="6F83111F"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1. Regarding the validation of the SEAPODYM movement parameters, we direct those interested to the papers SC22-EB-WP-01, SC22-EB-IP-04 and SC21-IP-20, where diagnostic methods and validation scores are provided- noting that there remain areas for improvement, depending on the particular solution in question. It is incorrect to state that no comparison currently tests SEAPODYM movement models against anything independent, and such validation of the movement model against tagging data is presented in these papers, including held-out cross-validation for skipjack and out-of-sample tag validation for bigeye. We note that the authors of these papers have addressed related questions in more detail in the ODF responses to EB-WP-01. The suggestion that SEAPODYM and MFCL are </w:t>
      </w:r>
      <w:r w:rsidRPr="00B845AF">
        <w:rPr>
          <w:rFonts w:asciiTheme="minorHAnsi" w:hAnsiTheme="minorHAnsi" w:cstheme="minorHAnsi"/>
          <w:color w:val="000000"/>
          <w:szCs w:val="22"/>
          <w:lang w:eastAsia="ja-JP"/>
        </w:rPr>
        <w:lastRenderedPageBreak/>
        <w:t xml:space="preserve">somehow compared within this analysis is also untrue: the dissimilarity metric compares two recapture-probability distributions generated by the Ikamoana IBM under a single SEAPODYM movement solution. It does not compare SEAPODYM </w:t>
      </w:r>
      <w:proofErr w:type="gramStart"/>
      <w:r w:rsidRPr="00B845AF">
        <w:rPr>
          <w:rFonts w:asciiTheme="minorHAnsi" w:hAnsiTheme="minorHAnsi" w:cstheme="minorHAnsi"/>
          <w:color w:val="000000"/>
          <w:szCs w:val="22"/>
          <w:lang w:eastAsia="ja-JP"/>
        </w:rPr>
        <w:t>against</w:t>
      </w:r>
      <w:proofErr w:type="gramEnd"/>
      <w:r w:rsidRPr="00B845AF">
        <w:rPr>
          <w:rFonts w:asciiTheme="minorHAnsi" w:hAnsiTheme="minorHAnsi" w:cstheme="minorHAnsi"/>
          <w:color w:val="000000"/>
          <w:szCs w:val="22"/>
          <w:lang w:eastAsia="ja-JP"/>
        </w:rPr>
        <w:t xml:space="preserve"> MFCL.</w:t>
      </w:r>
    </w:p>
    <w:p w14:paraId="1234BC4A"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p>
    <w:p w14:paraId="0C281743"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2. Regarding the impact of local effects on movement parameters, such as islands or FADs, we acknowledge the potential for their influence on tuna movement at larger scales, and that this may influence the appropriate admission of tags into the MF-CL likelihood. It is important to note that this indirect influence of SEAPODYM on MF-CL assessments remains just one of a number of auxiliary analyses which inform the number and nature of tagging data, alongside many other data sources, that are included into the assessment (e.g. tagging condition effects SA-IP-04). However, we remain doubtful in the ability of any currently available movement model, estimated on real data, to model such influences at the assessment scale. The density of coastal regions, as well as anchored FADs, in the archipelagic region is such that at one degree density, descriptive statistics or plots of recapture tag densities are unlikely to reveal consistent patterns in recapture because this is confounded with the vast majority of release locations that coincide with these same areas. This confounding of release location with coastal/FAD proximity affects any method applied to these data, observational or simulation-based, and not only the one that we present here. Furthermore, given that the archipelagic area exhibits a unique combination of environmental variables, disentangling the impacts from the “island” or any dense FAD network with environmental drivers of movement will be challenging when using any estimation of diffusion/advection/distance attrition. There are no comparable areas where environmental data differ, but similar high density of islands and anchored FAD networks exist, with which to compare such results. Reporting rate also introduces further problems when interpreting data, as in local coastal areas of the archipelagic are reporting rate estimations are highly uncertain due to the increased small-scale and artisanal catch, further confounding the effects of any possible bias in a movement exhibited in these areas from tag recaptures.</w:t>
      </w:r>
    </w:p>
    <w:p w14:paraId="7911178A"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p>
    <w:p w14:paraId="1FC0FDCC"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3. The justifications for improved tag density plots are well taken, particularly the inclusion of catch-positive, recapture negative cells. However, the data </w:t>
      </w:r>
      <w:proofErr w:type="gramStart"/>
      <w:r w:rsidRPr="00B845AF">
        <w:rPr>
          <w:rFonts w:asciiTheme="minorHAnsi" w:hAnsiTheme="minorHAnsi" w:cstheme="minorHAnsi"/>
          <w:color w:val="000000"/>
          <w:szCs w:val="22"/>
          <w:lang w:eastAsia="ja-JP"/>
        </w:rPr>
        <w:t>still remain</w:t>
      </w:r>
      <w:proofErr w:type="gramEnd"/>
      <w:r w:rsidRPr="00B845AF">
        <w:rPr>
          <w:rFonts w:asciiTheme="minorHAnsi" w:hAnsiTheme="minorHAnsi" w:cstheme="minorHAnsi"/>
          <w:color w:val="000000"/>
          <w:szCs w:val="22"/>
          <w:lang w:eastAsia="ja-JP"/>
        </w:rPr>
        <w:t xml:space="preserve"> extremely sparse for almost, if not all, individual release groups, and drawing conclusions from recapture density plots remains challenging. Pooling release groups using a mean of each release groups’ recapture density (tags recaptured/</w:t>
      </w:r>
      <w:proofErr w:type="spellStart"/>
      <w:r w:rsidRPr="00B845AF">
        <w:rPr>
          <w:rFonts w:asciiTheme="minorHAnsi" w:hAnsiTheme="minorHAnsi" w:cstheme="minorHAnsi"/>
          <w:color w:val="000000"/>
          <w:szCs w:val="22"/>
          <w:lang w:eastAsia="ja-JP"/>
        </w:rPr>
        <w:t>tonne</w:t>
      </w:r>
      <w:proofErr w:type="spellEnd"/>
      <w:r w:rsidRPr="00B845AF">
        <w:rPr>
          <w:rFonts w:asciiTheme="minorHAnsi" w:hAnsiTheme="minorHAnsi" w:cstheme="minorHAnsi"/>
          <w:color w:val="000000"/>
          <w:szCs w:val="22"/>
          <w:lang w:eastAsia="ja-JP"/>
        </w:rPr>
        <w:t xml:space="preserve"> of catch) does introduce a smoothing of the data, but a strong signal of consistently higher recapture densities along coastlines may be possible to identify.</w:t>
      </w:r>
      <w:r w:rsidRPr="00B845AF">
        <w:rPr>
          <w:rFonts w:asciiTheme="minorHAnsi" w:hAnsiTheme="minorHAnsi" w:cstheme="minorHAnsi"/>
          <w:color w:val="000000"/>
          <w:szCs w:val="22"/>
          <w:lang w:eastAsia="ja-JP"/>
        </w:rPr>
        <w:br/>
        <w:t xml:space="preserve">To this end, we are providing a revised version of SA-IP-10, with pooled mean recapture densities for the species/region combinations that represent the most significant sources of PTTP tagging data. These recapture densities exclude catch from longline, due to differences in data reporting, ignore any contributions from cells that experienced &lt; 1 </w:t>
      </w:r>
      <w:proofErr w:type="spellStart"/>
      <w:r w:rsidRPr="00B845AF">
        <w:rPr>
          <w:rFonts w:asciiTheme="minorHAnsi" w:hAnsiTheme="minorHAnsi" w:cstheme="minorHAnsi"/>
          <w:color w:val="000000"/>
          <w:szCs w:val="22"/>
          <w:lang w:eastAsia="ja-JP"/>
        </w:rPr>
        <w:t>tonne</w:t>
      </w:r>
      <w:proofErr w:type="spellEnd"/>
      <w:r w:rsidRPr="00B845AF">
        <w:rPr>
          <w:rFonts w:asciiTheme="minorHAnsi" w:hAnsiTheme="minorHAnsi" w:cstheme="minorHAnsi"/>
          <w:color w:val="000000"/>
          <w:szCs w:val="22"/>
          <w:lang w:eastAsia="ja-JP"/>
        </w:rPr>
        <w:t xml:space="preserve"> of catch during a particular quarter strata, as well as apparent recapture densities above the 98th percentile, typically driven by few numbers of recaptures in very low catch cells, which we here consider to be noise. Similarly, cells for which fewer than three release groups contributed data are also highlighted with crosses, to indicate that they are less supported with data for any apparent signal.</w:t>
      </w:r>
    </w:p>
    <w:p w14:paraId="49D54DE8" w14:textId="77777777" w:rsidR="00D47778" w:rsidRPr="00B845AF" w:rsidRDefault="00D47778" w:rsidP="00D47778">
      <w:pPr>
        <w:spacing w:after="5" w:line="248" w:lineRule="auto"/>
        <w:ind w:leftChars="200" w:left="440" w:right="1"/>
        <w:jc w:val="both"/>
        <w:rPr>
          <w:rFonts w:asciiTheme="minorHAnsi" w:hAnsiTheme="minorHAnsi" w:cstheme="minorHAnsi"/>
          <w:color w:val="0563C1"/>
          <w:szCs w:val="22"/>
          <w:u w:val="single"/>
          <w:lang w:eastAsia="ja-JP"/>
        </w:rPr>
      </w:pPr>
      <w:r w:rsidRPr="00B845AF">
        <w:rPr>
          <w:rFonts w:asciiTheme="minorHAnsi" w:hAnsiTheme="minorHAnsi" w:cstheme="minorHAnsi"/>
          <w:color w:val="000000"/>
          <w:szCs w:val="22"/>
          <w:lang w:eastAsia="ja-JP"/>
        </w:rPr>
        <w:lastRenderedPageBreak/>
        <w:fldChar w:fldCharType="begin"/>
      </w:r>
      <w:r w:rsidRPr="00B845AF">
        <w:rPr>
          <w:rFonts w:asciiTheme="minorHAnsi" w:hAnsiTheme="minorHAnsi" w:cstheme="minorHAnsi"/>
          <w:color w:val="000000"/>
          <w:szCs w:val="22"/>
          <w:lang w:eastAsia="ja-JP"/>
        </w:rPr>
        <w:instrText xml:space="preserve"> HYPERLINK "https://forum.wcpfc.int/uploads/default/original/1X/00319f6b779f8ece879f6e66b0fc6ba0d26633ed.gif" \o "image" </w:instrText>
      </w:r>
      <w:r w:rsidRPr="00B845AF">
        <w:rPr>
          <w:rFonts w:asciiTheme="minorHAnsi" w:hAnsiTheme="minorHAnsi" w:cstheme="minorHAnsi"/>
          <w:color w:val="000000"/>
          <w:szCs w:val="22"/>
          <w:lang w:eastAsia="ja-JP"/>
        </w:rPr>
      </w:r>
      <w:r w:rsidRPr="00B845AF">
        <w:rPr>
          <w:rFonts w:asciiTheme="minorHAnsi" w:hAnsiTheme="minorHAnsi" w:cstheme="minorHAnsi"/>
          <w:color w:val="000000"/>
          <w:szCs w:val="22"/>
          <w:lang w:eastAsia="ja-JP"/>
        </w:rPr>
        <w:fldChar w:fldCharType="separate"/>
      </w:r>
      <w:r w:rsidRPr="00B845AF">
        <w:rPr>
          <w:rFonts w:asciiTheme="minorHAnsi" w:hAnsiTheme="minorHAnsi" w:cstheme="minorHAnsi"/>
          <w:noProof/>
          <w:color w:val="0563C1"/>
          <w:szCs w:val="22"/>
          <w:u w:val="single"/>
          <w:lang w:eastAsia="ja-JP"/>
        </w:rPr>
        <w:drawing>
          <wp:inline distT="0" distB="0" distL="0" distR="0" wp14:anchorId="3DFADB81" wp14:editId="5BC3C2B9">
            <wp:extent cx="5943600" cy="3014870"/>
            <wp:effectExtent l="0" t="0" r="0" b="0"/>
            <wp:docPr id="1370846877" name="Picture 1370846877" descr="image">
              <a:hlinkClick xmlns:a="http://schemas.openxmlformats.org/drawingml/2006/main" r:id="rId155" tooltip="&quot;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a:hlinkClick r:id="rId155" tooltip="&quot;image&quot;"/>
                    </pic:cNvPr>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5957856" cy="3022101"/>
                    </a:xfrm>
                    <a:prstGeom prst="rect">
                      <a:avLst/>
                    </a:prstGeom>
                    <a:noFill/>
                    <a:ln>
                      <a:noFill/>
                    </a:ln>
                  </pic:spPr>
                </pic:pic>
              </a:graphicData>
            </a:graphic>
          </wp:inline>
        </w:drawing>
      </w:r>
    </w:p>
    <w:p w14:paraId="171A8C1C" w14:textId="77777777" w:rsidR="00D47778" w:rsidRPr="00B845AF" w:rsidRDefault="00D47778" w:rsidP="00D47778">
      <w:pPr>
        <w:spacing w:after="5" w:line="248" w:lineRule="auto"/>
        <w:ind w:leftChars="168" w:left="740" w:right="1" w:hanging="370"/>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fldChar w:fldCharType="end"/>
      </w:r>
    </w:p>
    <w:p w14:paraId="707DC4F1"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The pooled mean recapture-density surfaces for region-3 yellowfin release groups show density elevated near the release area, persisting for roughly one to two quarters at liberty and relaxing thereafter as tags disperse, notably eastward and out of the archipelago into more oceanic waters. This near-release elevation is carried by cells with multiple contributing release groups (i.e. it is systematic across groups, not an artefact of individual groups</w:t>
      </w:r>
      <w:proofErr w:type="gramStart"/>
      <w:r w:rsidRPr="00B845AF">
        <w:rPr>
          <w:rFonts w:asciiTheme="minorHAnsi" w:hAnsiTheme="minorHAnsi" w:cstheme="minorHAnsi"/>
          <w:color w:val="000000"/>
          <w:szCs w:val="22"/>
          <w:lang w:eastAsia="ja-JP"/>
        </w:rPr>
        <w:t>), and</w:t>
      </w:r>
      <w:proofErr w:type="gramEnd"/>
      <w:r w:rsidRPr="00B845AF">
        <w:rPr>
          <w:rFonts w:asciiTheme="minorHAnsi" w:hAnsiTheme="minorHAnsi" w:cstheme="minorHAnsi"/>
          <w:color w:val="000000"/>
          <w:szCs w:val="22"/>
          <w:lang w:eastAsia="ja-JP"/>
        </w:rPr>
        <w:t xml:space="preserve"> includes some moderately high recapture cells even at four quarters. However, the surfaces do not resolve into a consistent, spatially-fixed pattern of elevated density along particular coastlines or at recurring locations: the elevation tracks release location rather than recurring at fixed coastal cells, and because essentially every fished cell in the archipelagic region is close to land, there is no non-coastal fished area within the region against which a distinct proximity-to-land effect could be contrasted. The pattern is therefore consistent with incomplete near-release mixing that relaxes with time at liberty, but does not provide evidence for, nor can it isolate, a specific island- or FAD-driven stickiness effect.</w:t>
      </w:r>
    </w:p>
    <w:p w14:paraId="23F9494A" w14:textId="77777777" w:rsidR="00D47778" w:rsidRPr="00B845AF" w:rsidRDefault="00D47778" w:rsidP="00D47778">
      <w:pPr>
        <w:spacing w:after="5" w:line="248" w:lineRule="auto"/>
        <w:ind w:leftChars="200" w:left="440" w:right="1"/>
        <w:jc w:val="both"/>
        <w:rPr>
          <w:rFonts w:asciiTheme="minorHAnsi" w:hAnsiTheme="minorHAnsi" w:cstheme="minorHAnsi"/>
          <w:color w:val="0563C1"/>
          <w:szCs w:val="22"/>
          <w:u w:val="single"/>
          <w:lang w:eastAsia="ja-JP"/>
        </w:rPr>
      </w:pPr>
      <w:r w:rsidRPr="00B845AF">
        <w:rPr>
          <w:rFonts w:asciiTheme="minorHAnsi" w:hAnsiTheme="minorHAnsi" w:cstheme="minorHAnsi"/>
          <w:color w:val="000000"/>
          <w:szCs w:val="22"/>
          <w:lang w:eastAsia="ja-JP"/>
        </w:rPr>
        <w:lastRenderedPageBreak/>
        <w:fldChar w:fldCharType="begin"/>
      </w:r>
      <w:r w:rsidRPr="00B845AF">
        <w:rPr>
          <w:rFonts w:asciiTheme="minorHAnsi" w:hAnsiTheme="minorHAnsi" w:cstheme="minorHAnsi"/>
          <w:color w:val="000000"/>
          <w:szCs w:val="22"/>
          <w:lang w:eastAsia="ja-JP"/>
        </w:rPr>
        <w:instrText xml:space="preserve"> HYPERLINK "https://forum.wcpfc.int/uploads/default/original/1X/4436bc6021e9cabfe0525adce31a8157c52d99a6.gif" \o "image" </w:instrText>
      </w:r>
      <w:r w:rsidRPr="00B845AF">
        <w:rPr>
          <w:rFonts w:asciiTheme="minorHAnsi" w:hAnsiTheme="minorHAnsi" w:cstheme="minorHAnsi"/>
          <w:color w:val="000000"/>
          <w:szCs w:val="22"/>
          <w:lang w:eastAsia="ja-JP"/>
        </w:rPr>
      </w:r>
      <w:r w:rsidRPr="00B845AF">
        <w:rPr>
          <w:rFonts w:asciiTheme="minorHAnsi" w:hAnsiTheme="minorHAnsi" w:cstheme="minorHAnsi"/>
          <w:color w:val="000000"/>
          <w:szCs w:val="22"/>
          <w:lang w:eastAsia="ja-JP"/>
        </w:rPr>
        <w:fldChar w:fldCharType="separate"/>
      </w:r>
      <w:r w:rsidRPr="00B845AF">
        <w:rPr>
          <w:rFonts w:asciiTheme="minorHAnsi" w:hAnsiTheme="minorHAnsi" w:cstheme="minorHAnsi"/>
          <w:noProof/>
          <w:color w:val="0563C1"/>
          <w:szCs w:val="22"/>
          <w:u w:val="single"/>
          <w:lang w:eastAsia="ja-JP"/>
        </w:rPr>
        <w:drawing>
          <wp:inline distT="0" distB="0" distL="0" distR="0" wp14:anchorId="00120B67" wp14:editId="4F4C19E0">
            <wp:extent cx="5971359" cy="3028950"/>
            <wp:effectExtent l="0" t="0" r="0" b="0"/>
            <wp:docPr id="2" name="Picture 2" descr="image">
              <a:hlinkClick xmlns:a="http://schemas.openxmlformats.org/drawingml/2006/main" r:id="rId157" tooltip="&quot;im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a:hlinkClick r:id="rId157" tooltip="&quot;image&quot;"/>
                    </pic:cNvPr>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5979928" cy="3033296"/>
                    </a:xfrm>
                    <a:prstGeom prst="rect">
                      <a:avLst/>
                    </a:prstGeom>
                    <a:noFill/>
                    <a:ln>
                      <a:noFill/>
                    </a:ln>
                  </pic:spPr>
                </pic:pic>
              </a:graphicData>
            </a:graphic>
          </wp:inline>
        </w:drawing>
      </w:r>
    </w:p>
    <w:p w14:paraId="2D7D598D"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fldChar w:fldCharType="end"/>
      </w:r>
    </w:p>
    <w:p w14:paraId="3CE13C82"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pooled density for all bigeye tuna release groups in region four shows a highly patchy surface, even at three quarters time-at-liberty, driven mainly by more heterogeneous fishing effort as evidenced by the increased instances of cells for which less than three release groups contained catch data. Note the significant, consistent recapture density in the EPO, which may influence the assessment results of SA-WP-06 over estimating tag recaptures through time, as observed EPO recaptures are removed from the release group in the assessment. As with the results for yellowfin tuna in region 3, some consistently </w:t>
      </w:r>
      <w:proofErr w:type="gramStart"/>
      <w:r w:rsidRPr="00B845AF">
        <w:rPr>
          <w:rFonts w:asciiTheme="minorHAnsi" w:hAnsiTheme="minorHAnsi" w:cstheme="minorHAnsi"/>
          <w:color w:val="000000"/>
          <w:szCs w:val="22"/>
          <w:lang w:eastAsia="ja-JP"/>
        </w:rPr>
        <w:t>high density</w:t>
      </w:r>
      <w:proofErr w:type="gramEnd"/>
      <w:r w:rsidRPr="00B845AF">
        <w:rPr>
          <w:rFonts w:asciiTheme="minorHAnsi" w:hAnsiTheme="minorHAnsi" w:cstheme="minorHAnsi"/>
          <w:color w:val="000000"/>
          <w:szCs w:val="22"/>
          <w:lang w:eastAsia="ja-JP"/>
        </w:rPr>
        <w:t xml:space="preserve"> cells exist at 4, and to some degree 5 quarters plus time-at-liberty, despite this area having no archipelagic waters nor dense network of anchored FADs.</w:t>
      </w:r>
    </w:p>
    <w:p w14:paraId="27DB093D"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p>
    <w:p w14:paraId="18FE43FA"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4. Calculation of the proposed distance-from-release gradient is similarly challenging for the same reasons. Particularly for the species explored here, individual release group recapture densities are sparse, but pooling releases groups </w:t>
      </w:r>
      <w:proofErr w:type="gramStart"/>
      <w:r w:rsidRPr="00B845AF">
        <w:rPr>
          <w:rFonts w:asciiTheme="minorHAnsi" w:hAnsiTheme="minorHAnsi" w:cstheme="minorHAnsi"/>
          <w:color w:val="000000"/>
          <w:szCs w:val="22"/>
          <w:lang w:eastAsia="ja-JP"/>
        </w:rPr>
        <w:t>confounds</w:t>
      </w:r>
      <w:proofErr w:type="gramEnd"/>
      <w:r w:rsidRPr="00B845AF">
        <w:rPr>
          <w:rFonts w:asciiTheme="minorHAnsi" w:hAnsiTheme="minorHAnsi" w:cstheme="minorHAnsi"/>
          <w:color w:val="000000"/>
          <w:szCs w:val="22"/>
          <w:lang w:eastAsia="ja-JP"/>
        </w:rPr>
        <w:t xml:space="preserve"> the many and spread-out release locations across these groups against any clear signal that may be related to landmasses or dense networks of anchored FADs. Given resources available, and the confounding nature of release location, reporting rate, and variable environment with the local impacts being examined, we feel that these analyses will not yield insightful results for the two species being assessed at SC22 and hence are not seen as priorities within the existing workload.</w:t>
      </w:r>
    </w:p>
    <w:p w14:paraId="6D8286FD"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p>
    <w:p w14:paraId="43818874" w14:textId="77777777" w:rsidR="00D47778" w:rsidRPr="00B845AF" w:rsidRDefault="00D47778" w:rsidP="00D47778">
      <w:pPr>
        <w:spacing w:after="5" w:line="248" w:lineRule="auto"/>
        <w:ind w:leftChars="200" w:left="44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The results of the simulation study presented here remain just that, a simulation study. They are based on an independently estimated and validated model, but which nevertheless exhibits its own uncertainties and assumptions. There is no doubt that the requirement of a mixing period assumption within MF-CL stock assessments appears highly influential on the stock status indicators for WCPO tunas. The purpose of this work is to quantify the degree of difference between potential mixing across tag release groups, at the dimensionality that they are aggregated within the assessment, and to provide a sliding scale that can be used by stock assessment scientists to bracket this uncertainty in MF-CL results. The additional tag recapture density calculations we have provided here form a further, useful contextual layer for the question of tag mixing, despite having no </w:t>
      </w:r>
      <w:r w:rsidRPr="00B845AF">
        <w:rPr>
          <w:rFonts w:asciiTheme="minorHAnsi" w:hAnsiTheme="minorHAnsi" w:cstheme="minorHAnsi"/>
          <w:color w:val="000000"/>
          <w:szCs w:val="22"/>
          <w:lang w:eastAsia="ja-JP"/>
        </w:rPr>
        <w:lastRenderedPageBreak/>
        <w:t>dissimilarity K estimates for yellowfin tuna for comparison, and those figures for bigeye being largely uninformative for selecting a mixing period. We hope that New Zealand finds them useful.</w:t>
      </w:r>
    </w:p>
    <w:p w14:paraId="5B5C9D62" w14:textId="77777777" w:rsidR="00D47778" w:rsidRPr="00B845AF" w:rsidRDefault="00D47778" w:rsidP="00D47778">
      <w:pPr>
        <w:ind w:left="14"/>
        <w:rPr>
          <w:rFonts w:asciiTheme="minorHAnsi" w:hAnsiTheme="minorHAnsi" w:cstheme="minorHAnsi"/>
          <w:color w:val="000000"/>
          <w:szCs w:val="22"/>
        </w:rPr>
      </w:pPr>
    </w:p>
    <w:p w14:paraId="0B0EB13D"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14.</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Project 120: Revisiting the Reproductive Biology of Western and Central Pacific Ocean Yellowfin Tuna (Thunnus albacares)</w:t>
      </w:r>
    </w:p>
    <w:p w14:paraId="4DB23592" w14:textId="77777777" w:rsidR="00D47778" w:rsidRPr="00B845AF" w:rsidRDefault="00D47778" w:rsidP="00D47778">
      <w:pPr>
        <w:rPr>
          <w:rFonts w:asciiTheme="minorHAnsi" w:hAnsiTheme="minorHAnsi" w:cstheme="minorHAnsi"/>
          <w:bCs/>
          <w:color w:val="000000"/>
          <w:szCs w:val="22"/>
        </w:rPr>
      </w:pPr>
      <w:r w:rsidRPr="00B845AF">
        <w:rPr>
          <w:rFonts w:asciiTheme="minorHAnsi" w:hAnsiTheme="minorHAnsi" w:cstheme="minorHAnsi"/>
          <w:bCs/>
          <w:color w:val="000000"/>
          <w:szCs w:val="22"/>
        </w:rPr>
        <w:t>No questions or comments</w:t>
      </w:r>
    </w:p>
    <w:p w14:paraId="48BDF5A9" w14:textId="77777777" w:rsidR="00D47778" w:rsidRPr="00B845AF" w:rsidRDefault="00D47778" w:rsidP="00D47778">
      <w:pPr>
        <w:ind w:left="374"/>
        <w:rPr>
          <w:rFonts w:asciiTheme="minorHAnsi" w:hAnsiTheme="minorHAnsi" w:cstheme="minorHAnsi"/>
          <w:color w:val="000000"/>
          <w:szCs w:val="22"/>
        </w:rPr>
      </w:pPr>
      <w:r w:rsidRPr="00B845AF">
        <w:rPr>
          <w:rFonts w:asciiTheme="minorHAnsi" w:hAnsiTheme="minorHAnsi" w:cstheme="minorHAnsi"/>
          <w:b/>
          <w:color w:val="000000"/>
          <w:szCs w:val="22"/>
        </w:rPr>
        <w:t xml:space="preserve"> </w:t>
      </w:r>
    </w:p>
    <w:p w14:paraId="3A862325"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15.</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Project 122a: Global Joint Tuna RFMO Longline CPUE Technical Workshop</w:t>
      </w:r>
      <w:r w:rsidRPr="00B845AF">
        <w:rPr>
          <w:rFonts w:asciiTheme="minorHAnsi" w:hAnsiTheme="minorHAnsi" w:cstheme="minorHAnsi"/>
          <w:b/>
          <w:color w:val="000000"/>
          <w:szCs w:val="22"/>
        </w:rPr>
        <w:t xml:space="preserve">  </w:t>
      </w:r>
    </w:p>
    <w:p w14:paraId="46FF189C" w14:textId="77777777" w:rsidR="00D47778" w:rsidRPr="00B845AF" w:rsidRDefault="00D47778" w:rsidP="00D47778">
      <w:pPr>
        <w:rPr>
          <w:rFonts w:asciiTheme="minorHAnsi" w:hAnsiTheme="minorHAnsi" w:cstheme="minorHAnsi"/>
          <w:bCs/>
          <w:color w:val="000000"/>
          <w:szCs w:val="22"/>
        </w:rPr>
      </w:pPr>
      <w:r w:rsidRPr="00B845AF">
        <w:rPr>
          <w:rFonts w:asciiTheme="minorHAnsi" w:hAnsiTheme="minorHAnsi" w:cstheme="minorHAnsi"/>
          <w:bCs/>
          <w:color w:val="000000"/>
          <w:szCs w:val="22"/>
        </w:rPr>
        <w:t>No questions or comments</w:t>
      </w:r>
    </w:p>
    <w:p w14:paraId="435FEE2A" w14:textId="77777777" w:rsidR="00D47778" w:rsidRPr="00B845AF" w:rsidRDefault="00D47778" w:rsidP="00D47778">
      <w:pPr>
        <w:ind w:left="374"/>
        <w:rPr>
          <w:rFonts w:asciiTheme="minorHAnsi" w:hAnsiTheme="minorHAnsi" w:cstheme="minorHAnsi"/>
          <w:color w:val="000000"/>
          <w:szCs w:val="22"/>
        </w:rPr>
      </w:pPr>
    </w:p>
    <w:p w14:paraId="5240A4C3"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16.</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Project 125: Biology of South Paciﬁc striped marlin, blue marlin, black marlin, shortbill spearﬁsh, and sailﬁsh in the WCPO from longline ﬁsheries</w:t>
      </w:r>
    </w:p>
    <w:p w14:paraId="14FDAF13" w14:textId="77777777" w:rsidR="00D47778" w:rsidRPr="00B845AF" w:rsidRDefault="00D47778" w:rsidP="00D47778">
      <w:pPr>
        <w:rPr>
          <w:rFonts w:asciiTheme="minorHAnsi" w:hAnsiTheme="minorHAnsi" w:cstheme="minorHAnsi"/>
          <w:bCs/>
          <w:color w:val="000000"/>
          <w:szCs w:val="22"/>
        </w:rPr>
      </w:pPr>
      <w:r w:rsidRPr="00B845AF">
        <w:rPr>
          <w:rFonts w:asciiTheme="minorHAnsi" w:hAnsiTheme="minorHAnsi" w:cstheme="minorHAnsi"/>
          <w:bCs/>
          <w:color w:val="000000"/>
          <w:szCs w:val="22"/>
        </w:rPr>
        <w:t>No questions or comments</w:t>
      </w:r>
    </w:p>
    <w:p w14:paraId="63322465" w14:textId="77777777" w:rsidR="00D47778" w:rsidRPr="00B845AF" w:rsidRDefault="00D47778" w:rsidP="00D47778">
      <w:pPr>
        <w:ind w:left="374"/>
        <w:rPr>
          <w:rFonts w:asciiTheme="minorHAnsi" w:hAnsiTheme="minorHAnsi" w:cstheme="minorHAnsi"/>
          <w:color w:val="000000"/>
          <w:szCs w:val="22"/>
        </w:rPr>
      </w:pPr>
    </w:p>
    <w:p w14:paraId="15AB3540"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17.</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 xml:space="preserve">Projects 117,118 and 126: Biological sampling plans for tuna, billfish and sharks </w:t>
      </w:r>
    </w:p>
    <w:p w14:paraId="642683B5" w14:textId="77777777" w:rsidR="00D47778" w:rsidRPr="00B845AF" w:rsidRDefault="00D47778" w:rsidP="00D47778">
      <w:pPr>
        <w:ind w:left="14"/>
        <w:rPr>
          <w:rFonts w:asciiTheme="minorHAnsi" w:hAnsiTheme="minorHAnsi" w:cstheme="minorHAnsi"/>
          <w:bCs/>
          <w:color w:val="000000"/>
          <w:szCs w:val="22"/>
        </w:rPr>
      </w:pPr>
      <w:r w:rsidRPr="00B845AF">
        <w:rPr>
          <w:rFonts w:asciiTheme="minorHAnsi" w:hAnsiTheme="minorHAnsi" w:cstheme="minorHAnsi"/>
          <w:bCs/>
          <w:color w:val="000000"/>
          <w:szCs w:val="22"/>
        </w:rPr>
        <w:t>No questions or comments</w:t>
      </w:r>
    </w:p>
    <w:p w14:paraId="34979E15" w14:textId="77777777" w:rsidR="00D47778" w:rsidRPr="00B845AF" w:rsidRDefault="00D47778" w:rsidP="00D47778">
      <w:pPr>
        <w:ind w:left="374"/>
        <w:rPr>
          <w:rFonts w:asciiTheme="minorHAnsi" w:hAnsiTheme="minorHAnsi" w:cstheme="minorHAnsi"/>
          <w:color w:val="000000"/>
          <w:szCs w:val="22"/>
        </w:rPr>
      </w:pPr>
    </w:p>
    <w:p w14:paraId="3798519D"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18.</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WCPFC Project 130: Joint bycatch assessment workshop for billfish and sharks</w:t>
      </w:r>
    </w:p>
    <w:p w14:paraId="697FC089" w14:textId="77777777" w:rsidR="00D47778" w:rsidRPr="00B845AF" w:rsidRDefault="00D47778" w:rsidP="00D47778">
      <w:pPr>
        <w:rPr>
          <w:rFonts w:asciiTheme="minorHAnsi" w:hAnsiTheme="minorHAnsi" w:cstheme="minorHAnsi"/>
          <w:b/>
          <w:color w:val="000000"/>
          <w:szCs w:val="22"/>
        </w:rPr>
      </w:pPr>
      <w:r w:rsidRPr="00B845AF">
        <w:rPr>
          <w:rFonts w:asciiTheme="minorHAnsi" w:hAnsiTheme="minorHAnsi" w:cstheme="minorHAnsi"/>
          <w:b/>
          <w:color w:val="000000"/>
          <w:szCs w:val="22"/>
        </w:rPr>
        <w:t xml:space="preserve">Related papers: </w:t>
      </w:r>
      <w:hyperlink r:id="rId159" w:history="1">
        <w:r w:rsidRPr="00B845AF">
          <w:rPr>
            <w:rFonts w:asciiTheme="minorHAnsi" w:hAnsiTheme="minorHAnsi" w:cstheme="minorHAnsi"/>
            <w:color w:val="0563C1"/>
            <w:szCs w:val="22"/>
            <w:u w:val="single"/>
          </w:rPr>
          <w:t>WCPFC-SC22-2026-SA-IP21_Rev01</w:t>
        </w:r>
      </w:hyperlink>
      <w:r w:rsidRPr="00B845AF">
        <w:rPr>
          <w:rFonts w:asciiTheme="minorHAnsi" w:hAnsiTheme="minorHAnsi" w:cstheme="minorHAnsi"/>
          <w:color w:val="000000"/>
          <w:szCs w:val="22"/>
        </w:rPr>
        <w:t xml:space="preserve">: P. Neubauer, P. </w:t>
      </w:r>
      <w:proofErr w:type="spellStart"/>
      <w:r w:rsidRPr="00B845AF">
        <w:rPr>
          <w:rFonts w:asciiTheme="minorHAnsi" w:hAnsiTheme="minorHAnsi" w:cstheme="minorHAnsi"/>
          <w:color w:val="000000"/>
          <w:szCs w:val="22"/>
        </w:rPr>
        <w:t>Hamer.WCPFC</w:t>
      </w:r>
      <w:proofErr w:type="spellEnd"/>
      <w:r w:rsidRPr="00B845AF">
        <w:rPr>
          <w:rFonts w:asciiTheme="minorHAnsi" w:hAnsiTheme="minorHAnsi" w:cstheme="minorHAnsi"/>
          <w:color w:val="000000"/>
          <w:szCs w:val="22"/>
        </w:rPr>
        <w:t xml:space="preserve"> Project 130 — Joint bycatch assessment workshop for billfish and sharks: progress and outcomes of the first steering group meeting</w:t>
      </w:r>
    </w:p>
    <w:p w14:paraId="650A3311" w14:textId="77777777" w:rsidR="00D47778" w:rsidRPr="00B845AF" w:rsidRDefault="00D47778" w:rsidP="00D47778">
      <w:pPr>
        <w:rPr>
          <w:rFonts w:asciiTheme="minorHAnsi" w:hAnsiTheme="minorHAnsi" w:cstheme="minorHAnsi"/>
          <w:bCs/>
          <w:color w:val="000000"/>
          <w:szCs w:val="22"/>
        </w:rPr>
      </w:pPr>
      <w:r w:rsidRPr="00B845AF">
        <w:rPr>
          <w:rFonts w:asciiTheme="minorHAnsi" w:hAnsiTheme="minorHAnsi" w:cstheme="minorHAnsi"/>
          <w:b/>
          <w:color w:val="000000"/>
          <w:szCs w:val="22"/>
        </w:rPr>
        <w:t xml:space="preserve"> </w:t>
      </w:r>
    </w:p>
    <w:p w14:paraId="5355F136" w14:textId="77777777" w:rsidR="00D47778" w:rsidRPr="00B845AF" w:rsidRDefault="00D47778" w:rsidP="00D47778">
      <w:pPr>
        <w:keepNext/>
        <w:keepLines/>
        <w:tabs>
          <w:tab w:val="left" w:pos="720"/>
          <w:tab w:val="center" w:pos="2156"/>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23137CE3" w14:textId="77777777" w:rsidR="00D47778" w:rsidRPr="00B845AF" w:rsidRDefault="00D47778" w:rsidP="00D47778">
      <w:pPr>
        <w:ind w:left="14"/>
        <w:rPr>
          <w:rFonts w:asciiTheme="minorHAnsi" w:hAnsiTheme="minorHAnsi" w:cstheme="minorHAnsi"/>
          <w:b/>
          <w:color w:val="000000"/>
          <w:szCs w:val="22"/>
          <w:u w:val="single"/>
        </w:rPr>
      </w:pPr>
      <w:r w:rsidRPr="00B845AF">
        <w:rPr>
          <w:rFonts w:asciiTheme="minorHAnsi" w:hAnsiTheme="minorHAnsi" w:cstheme="minorHAnsi"/>
          <w:b/>
          <w:color w:val="000000"/>
          <w:szCs w:val="22"/>
          <w:u w:val="single"/>
        </w:rPr>
        <w:t>Sharks Pacific</w:t>
      </w:r>
    </w:p>
    <w:p w14:paraId="3DAAC2E4" w14:textId="77777777" w:rsidR="00D47778" w:rsidRPr="00B845AF" w:rsidRDefault="00D47778" w:rsidP="00D47778">
      <w:pPr>
        <w:jc w:val="both"/>
        <w:rPr>
          <w:rFonts w:asciiTheme="minorHAnsi" w:hAnsiTheme="minorHAnsi" w:cstheme="minorHAnsi"/>
          <w:bCs/>
          <w:color w:val="000000"/>
          <w:szCs w:val="22"/>
        </w:rPr>
      </w:pPr>
      <w:r w:rsidRPr="00B845AF">
        <w:rPr>
          <w:rFonts w:asciiTheme="minorHAnsi" w:hAnsiTheme="minorHAnsi" w:cstheme="minorHAnsi"/>
          <w:bCs/>
          <w:color w:val="000000"/>
          <w:szCs w:val="22"/>
        </w:rPr>
        <w:t xml:space="preserve">Sharks Pacific would like to thank Drs Neubauer and Hamer for leading the development of this long overdue workshop on bycatch assessment for billfish and sharks. We note the importance of this workshop not only to generally advance better methodologies to assess bycatch and non-target species, but also to help review and identify potential candidate stocks for CKMR-based abundance estimation. We would like to recommend that Project 130 consider scoping various monitoring strategies for sharks and billfish, so that non-target species are not managed only as a residual assumption within tuna-focused MPs. Lastly, Sharks Pacific looks forward to </w:t>
      </w:r>
      <w:proofErr w:type="gramStart"/>
      <w:r w:rsidRPr="00B845AF">
        <w:rPr>
          <w:rFonts w:asciiTheme="minorHAnsi" w:hAnsiTheme="minorHAnsi" w:cstheme="minorHAnsi"/>
          <w:bCs/>
          <w:color w:val="000000"/>
          <w:szCs w:val="22"/>
        </w:rPr>
        <w:t>participating</w:t>
      </w:r>
      <w:proofErr w:type="gramEnd"/>
      <w:r w:rsidRPr="00B845AF">
        <w:rPr>
          <w:rFonts w:asciiTheme="minorHAnsi" w:hAnsiTheme="minorHAnsi" w:cstheme="minorHAnsi"/>
          <w:bCs/>
          <w:color w:val="000000"/>
          <w:szCs w:val="22"/>
        </w:rPr>
        <w:t xml:space="preserve"> or supporting this workshop in whatever capacity it is able.</w:t>
      </w:r>
    </w:p>
    <w:p w14:paraId="5B038808" w14:textId="77777777" w:rsidR="00D47778" w:rsidRPr="00B845AF" w:rsidRDefault="00D47778" w:rsidP="00D47778">
      <w:pPr>
        <w:jc w:val="both"/>
        <w:rPr>
          <w:rFonts w:asciiTheme="minorHAnsi" w:hAnsiTheme="minorHAnsi" w:cstheme="minorHAnsi"/>
          <w:bCs/>
          <w:color w:val="000000"/>
          <w:szCs w:val="22"/>
        </w:rPr>
      </w:pPr>
    </w:p>
    <w:p w14:paraId="318687A1"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19.</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SEAPODYM modelling framework: methodology, validation, and analyse</w:t>
      </w:r>
    </w:p>
    <w:p w14:paraId="110DF479" w14:textId="77777777" w:rsidR="00D47778" w:rsidRPr="00B845AF" w:rsidRDefault="00D47778" w:rsidP="00D47778">
      <w:pPr>
        <w:ind w:left="14"/>
        <w:jc w:val="both"/>
        <w:rPr>
          <w:rFonts w:asciiTheme="minorHAnsi" w:hAnsiTheme="minorHAnsi" w:cstheme="minorHAnsi"/>
          <w:color w:val="000000"/>
          <w:szCs w:val="22"/>
        </w:rPr>
      </w:pPr>
      <w:r w:rsidRPr="00B845AF">
        <w:rPr>
          <w:rFonts w:asciiTheme="minorHAnsi" w:hAnsiTheme="minorHAnsi" w:cstheme="minorHAnsi"/>
          <w:b/>
          <w:color w:val="000000"/>
          <w:szCs w:val="22"/>
        </w:rPr>
        <w:t xml:space="preserve">Related papers: </w:t>
      </w:r>
      <w:hyperlink r:id="rId160" w:history="1">
        <w:r w:rsidRPr="00B845AF">
          <w:rPr>
            <w:rFonts w:asciiTheme="minorHAnsi" w:hAnsiTheme="minorHAnsi" w:cstheme="minorHAnsi"/>
            <w:color w:val="0563C1"/>
            <w:szCs w:val="22"/>
            <w:u w:val="single"/>
          </w:rPr>
          <w:t>WCPFC-SC22-2026-EB-WP01</w:t>
        </w:r>
      </w:hyperlink>
      <w:r w:rsidRPr="00B845AF">
        <w:rPr>
          <w:rFonts w:asciiTheme="minorHAnsi" w:hAnsiTheme="minorHAnsi" w:cstheme="minorHAnsi"/>
          <w:color w:val="000000"/>
          <w:szCs w:val="22"/>
        </w:rPr>
        <w:t>: I. Senina, L. Bonnin, R. Forestier, and S. Nicol. Advancing the SEAPODYM modelling framework: methodology, validation, and analyses</w:t>
      </w:r>
    </w:p>
    <w:p w14:paraId="5F687649" w14:textId="77777777" w:rsidR="00D47778" w:rsidRPr="00B845AF" w:rsidRDefault="00D47778" w:rsidP="00D47778">
      <w:pPr>
        <w:ind w:left="14"/>
        <w:jc w:val="both"/>
        <w:rPr>
          <w:rFonts w:asciiTheme="minorHAnsi" w:hAnsiTheme="minorHAnsi" w:cstheme="minorHAnsi"/>
          <w:color w:val="000000"/>
          <w:szCs w:val="22"/>
        </w:rPr>
      </w:pPr>
      <w:hyperlink r:id="rId161" w:history="1">
        <w:r w:rsidRPr="00B845AF">
          <w:rPr>
            <w:rFonts w:asciiTheme="minorHAnsi" w:hAnsiTheme="minorHAnsi" w:cstheme="minorHAnsi"/>
            <w:color w:val="0563C1"/>
            <w:szCs w:val="22"/>
            <w:u w:val="single"/>
          </w:rPr>
          <w:t>WCPFC-SC22-2026-EB-I</w:t>
        </w:r>
      </w:hyperlink>
      <w:hyperlink r:id="rId162" w:history="1">
        <w:r w:rsidRPr="00B845AF">
          <w:rPr>
            <w:rFonts w:asciiTheme="minorHAnsi" w:hAnsiTheme="minorHAnsi" w:cstheme="minorHAnsi"/>
            <w:color w:val="0563C1"/>
            <w:szCs w:val="22"/>
            <w:u w:val="single"/>
          </w:rPr>
          <w:t>P04</w:t>
        </w:r>
      </w:hyperlink>
      <w:r w:rsidRPr="00B845AF">
        <w:rPr>
          <w:rFonts w:asciiTheme="minorHAnsi" w:hAnsiTheme="minorHAnsi" w:cstheme="minorHAnsi"/>
          <w:color w:val="000000"/>
          <w:szCs w:val="22"/>
        </w:rPr>
        <w:t xml:space="preserve">: I. Senina, L. Bonnin, R. Forestier, M. </w:t>
      </w:r>
      <w:proofErr w:type="spellStart"/>
      <w:r w:rsidRPr="00B845AF">
        <w:rPr>
          <w:rFonts w:asciiTheme="minorHAnsi" w:hAnsiTheme="minorHAnsi" w:cstheme="minorHAnsi"/>
          <w:color w:val="000000"/>
          <w:szCs w:val="22"/>
        </w:rPr>
        <w:t>Lengaigne</w:t>
      </w:r>
      <w:proofErr w:type="spellEnd"/>
      <w:r w:rsidRPr="00B845AF">
        <w:rPr>
          <w:rFonts w:asciiTheme="minorHAnsi" w:hAnsiTheme="minorHAnsi" w:cstheme="minorHAnsi"/>
          <w:color w:val="000000"/>
          <w:szCs w:val="22"/>
        </w:rPr>
        <w:t xml:space="preserve">, K. </w:t>
      </w:r>
      <w:proofErr w:type="spellStart"/>
      <w:r w:rsidRPr="00B845AF">
        <w:rPr>
          <w:rFonts w:asciiTheme="minorHAnsi" w:hAnsiTheme="minorHAnsi" w:cstheme="minorHAnsi"/>
          <w:color w:val="000000"/>
          <w:szCs w:val="22"/>
        </w:rPr>
        <w:t>Guihou</w:t>
      </w:r>
      <w:proofErr w:type="spellEnd"/>
      <w:r w:rsidRPr="00B845AF">
        <w:rPr>
          <w:rFonts w:asciiTheme="minorHAnsi" w:hAnsiTheme="minorHAnsi" w:cstheme="minorHAnsi"/>
          <w:color w:val="000000"/>
          <w:szCs w:val="22"/>
        </w:rPr>
        <w:t>, J. Temple-Bouyer, and S. Nicol. Updated SEAPODYM reference models for four Pacific tuna species</w:t>
      </w:r>
    </w:p>
    <w:p w14:paraId="458EAE6D" w14:textId="77777777" w:rsidR="00D47778" w:rsidRPr="00B845AF" w:rsidRDefault="00D47778" w:rsidP="00D47778">
      <w:pPr>
        <w:ind w:left="14"/>
        <w:rPr>
          <w:rFonts w:asciiTheme="minorHAnsi" w:hAnsiTheme="minorHAnsi" w:cstheme="minorHAnsi"/>
          <w:b/>
          <w:color w:val="000000"/>
          <w:szCs w:val="22"/>
        </w:rPr>
      </w:pPr>
    </w:p>
    <w:p w14:paraId="0DC6789F" w14:textId="77777777" w:rsidR="00D47778" w:rsidRPr="00B845AF" w:rsidRDefault="00D47778" w:rsidP="00D47778">
      <w:pPr>
        <w:keepNext/>
        <w:keepLines/>
        <w:tabs>
          <w:tab w:val="left" w:pos="720"/>
          <w:tab w:val="center" w:pos="2183"/>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120E2A41" w14:textId="77777777" w:rsidR="00D47778" w:rsidRPr="00B845AF" w:rsidRDefault="00D47778" w:rsidP="00D47778">
      <w:pPr>
        <w:ind w:left="14"/>
        <w:rPr>
          <w:rFonts w:asciiTheme="minorHAnsi" w:eastAsia="Yu Mincho" w:hAnsiTheme="minorHAnsi" w:cstheme="minorHAnsi"/>
          <w:b/>
          <w:color w:val="000000"/>
          <w:szCs w:val="22"/>
          <w:u w:val="single"/>
          <w:lang w:eastAsia="ja-JP"/>
        </w:rPr>
      </w:pPr>
      <w:r w:rsidRPr="00B845AF">
        <w:rPr>
          <w:rFonts w:asciiTheme="minorHAnsi" w:eastAsia="Yu Mincho" w:hAnsiTheme="minorHAnsi" w:cstheme="minorHAnsi"/>
          <w:b/>
          <w:color w:val="000000"/>
          <w:szCs w:val="22"/>
          <w:u w:val="single"/>
          <w:lang w:eastAsia="ja-JP"/>
        </w:rPr>
        <w:t>Chinese Taipei</w:t>
      </w:r>
    </w:p>
    <w:p w14:paraId="4477C5D2" w14:textId="77777777" w:rsidR="00D47778" w:rsidRPr="00B845AF" w:rsidRDefault="00D47778" w:rsidP="00D47778">
      <w:pPr>
        <w:ind w:left="1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I am just curious about whether SEAPODYM model could apply to sea </w:t>
      </w:r>
      <w:proofErr w:type="gramStart"/>
      <w:r w:rsidRPr="00B845AF">
        <w:rPr>
          <w:rFonts w:asciiTheme="minorHAnsi" w:eastAsia="Yu Mincho" w:hAnsiTheme="minorHAnsi" w:cstheme="minorHAnsi"/>
          <w:bCs/>
          <w:color w:val="000000"/>
          <w:szCs w:val="22"/>
          <w:lang w:eastAsia="ja-JP"/>
        </w:rPr>
        <w:t>turtles</w:t>
      </w:r>
      <w:proofErr w:type="gramEnd"/>
      <w:r w:rsidRPr="00B845AF">
        <w:rPr>
          <w:rFonts w:asciiTheme="minorHAnsi" w:eastAsia="Yu Mincho" w:hAnsiTheme="minorHAnsi" w:cstheme="minorHAnsi"/>
          <w:bCs/>
          <w:color w:val="000000"/>
          <w:szCs w:val="22"/>
          <w:lang w:eastAsia="ja-JP"/>
        </w:rPr>
        <w:t xml:space="preserve"> distribution research or not.</w:t>
      </w:r>
    </w:p>
    <w:p w14:paraId="41ECEAB2" w14:textId="77777777" w:rsidR="00D47778" w:rsidRPr="00B845AF" w:rsidRDefault="00D47778" w:rsidP="00D47778">
      <w:pPr>
        <w:ind w:left="14"/>
        <w:jc w:val="both"/>
        <w:rPr>
          <w:rFonts w:asciiTheme="minorHAnsi" w:eastAsia="Yu Mincho" w:hAnsiTheme="minorHAnsi" w:cstheme="minorHAnsi"/>
          <w:bCs/>
          <w:color w:val="000000"/>
          <w:szCs w:val="22"/>
          <w:lang w:eastAsia="ja-JP"/>
        </w:rPr>
      </w:pPr>
    </w:p>
    <w:p w14:paraId="38F48D99" w14:textId="77777777" w:rsidR="00D47778" w:rsidRPr="00B845AF" w:rsidRDefault="00D47778" w:rsidP="00D47778">
      <w:pPr>
        <w:ind w:left="1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Ren-Fen</w:t>
      </w:r>
    </w:p>
    <w:p w14:paraId="18E905BE" w14:textId="77777777" w:rsidR="00D47778" w:rsidRPr="00B845AF" w:rsidRDefault="00D47778" w:rsidP="00D47778">
      <w:pPr>
        <w:ind w:left="14"/>
        <w:jc w:val="both"/>
        <w:rPr>
          <w:rFonts w:asciiTheme="minorHAnsi" w:eastAsia="Yu Mincho" w:hAnsiTheme="minorHAnsi" w:cstheme="minorHAnsi"/>
          <w:bCs/>
          <w:color w:val="000000"/>
          <w:szCs w:val="22"/>
          <w:lang w:eastAsia="ja-JP"/>
        </w:rPr>
      </w:pPr>
    </w:p>
    <w:p w14:paraId="3E8E17B9" w14:textId="77777777" w:rsidR="00D47778" w:rsidRPr="00B845AF" w:rsidRDefault="00D47778" w:rsidP="00D47778">
      <w:pPr>
        <w:ind w:leftChars="206" w:left="453"/>
        <w:jc w:val="both"/>
        <w:rPr>
          <w:rFonts w:asciiTheme="minorHAnsi" w:eastAsia="Yu Mincho" w:hAnsiTheme="minorHAnsi" w:cstheme="minorHAnsi"/>
          <w:b/>
          <w:color w:val="000000"/>
          <w:szCs w:val="22"/>
          <w:lang w:eastAsia="ja-JP"/>
        </w:rPr>
      </w:pPr>
      <w:r w:rsidRPr="00B845AF">
        <w:rPr>
          <w:rFonts w:asciiTheme="minorHAnsi" w:eastAsia="Yu Mincho" w:hAnsiTheme="minorHAnsi" w:cstheme="minorHAnsi"/>
          <w:b/>
          <w:color w:val="000000"/>
          <w:szCs w:val="22"/>
          <w:lang w:eastAsia="ja-JP"/>
        </w:rPr>
        <w:t>Reply (SPC)</w:t>
      </w:r>
    </w:p>
    <w:p w14:paraId="6C30FBE8" w14:textId="77777777" w:rsidR="00D47778" w:rsidRPr="00B845AF" w:rsidRDefault="00D47778" w:rsidP="00D47778">
      <w:pPr>
        <w:ind w:leftChars="200" w:left="440"/>
        <w:jc w:val="both"/>
        <w:rPr>
          <w:rFonts w:asciiTheme="minorHAnsi" w:hAnsiTheme="minorHAnsi" w:cstheme="minorHAnsi"/>
          <w:bCs/>
          <w:color w:val="000000"/>
          <w:szCs w:val="22"/>
        </w:rPr>
      </w:pPr>
      <w:r w:rsidRPr="00B845AF">
        <w:rPr>
          <w:rFonts w:asciiTheme="minorHAnsi" w:hAnsiTheme="minorHAnsi" w:cstheme="minorHAnsi"/>
          <w:bCs/>
          <w:color w:val="000000"/>
          <w:szCs w:val="22"/>
        </w:rPr>
        <w:lastRenderedPageBreak/>
        <w:t xml:space="preserve">The underlying equations can be used to model sea turtle habitat and movement. Previously we did this for juvenile loggerhead turtles in the North Pacific using MOVEMOD, a single-cohort simplified version of SEAPODYM (Abecassis et al., 2013, A Model of Loggerhead Sea Turtle (Caretta caretta) Habitat and Movement in the Oceanic North </w:t>
      </w:r>
      <w:proofErr w:type="gramStart"/>
      <w:r w:rsidRPr="00B845AF">
        <w:rPr>
          <w:rFonts w:asciiTheme="minorHAnsi" w:hAnsiTheme="minorHAnsi" w:cstheme="minorHAnsi"/>
          <w:bCs/>
          <w:color w:val="000000"/>
          <w:szCs w:val="22"/>
        </w:rPr>
        <w:t>Pacific )</w:t>
      </w:r>
      <w:proofErr w:type="gramEnd"/>
      <w:r w:rsidRPr="00B845AF">
        <w:rPr>
          <w:rFonts w:asciiTheme="minorHAnsi" w:hAnsiTheme="minorHAnsi" w:cstheme="minorHAnsi"/>
          <w:bCs/>
          <w:color w:val="000000"/>
          <w:szCs w:val="22"/>
        </w:rPr>
        <w:t>. Note, however, that the current framework is specifically designed for modelling tuna population dynamics and has no single-cohort module, though one could be added.</w:t>
      </w:r>
    </w:p>
    <w:p w14:paraId="2E3CDC1B" w14:textId="77777777" w:rsidR="00D47778" w:rsidRPr="00B845AF" w:rsidRDefault="00D47778" w:rsidP="00D47778">
      <w:pPr>
        <w:jc w:val="both"/>
        <w:rPr>
          <w:rFonts w:asciiTheme="minorHAnsi" w:hAnsiTheme="minorHAnsi" w:cstheme="minorHAnsi"/>
          <w:bCs/>
          <w:color w:val="000000"/>
          <w:szCs w:val="22"/>
        </w:rPr>
      </w:pPr>
    </w:p>
    <w:p w14:paraId="6FD4D624" w14:textId="77777777" w:rsidR="00D47778" w:rsidRPr="00B845AF" w:rsidRDefault="00D47778" w:rsidP="00D47778">
      <w:pPr>
        <w:ind w:leftChars="400" w:left="880"/>
        <w:jc w:val="both"/>
        <w:rPr>
          <w:rFonts w:asciiTheme="minorHAnsi" w:eastAsia="Yu Mincho" w:hAnsiTheme="minorHAnsi" w:cstheme="minorHAnsi"/>
          <w:b/>
          <w:color w:val="000000"/>
          <w:szCs w:val="22"/>
          <w:lang w:eastAsia="ja-JP"/>
        </w:rPr>
      </w:pPr>
      <w:r w:rsidRPr="00B845AF">
        <w:rPr>
          <w:rFonts w:asciiTheme="minorHAnsi" w:eastAsia="Yu Mincho" w:hAnsiTheme="minorHAnsi" w:cstheme="minorHAnsi"/>
          <w:b/>
          <w:color w:val="000000"/>
          <w:szCs w:val="22"/>
          <w:lang w:eastAsia="ja-JP"/>
        </w:rPr>
        <w:t>Response to SPC (Chinese Taipei)</w:t>
      </w:r>
    </w:p>
    <w:p w14:paraId="53281737" w14:textId="77777777" w:rsidR="00D47778" w:rsidRPr="00B845AF" w:rsidRDefault="00D47778" w:rsidP="00D47778">
      <w:pPr>
        <w:ind w:leftChars="400" w:left="880"/>
        <w:jc w:val="both"/>
        <w:rPr>
          <w:rFonts w:asciiTheme="minorHAnsi" w:hAnsiTheme="minorHAnsi" w:cstheme="minorHAnsi"/>
          <w:bCs/>
          <w:color w:val="000000"/>
          <w:szCs w:val="22"/>
        </w:rPr>
      </w:pPr>
      <w:r w:rsidRPr="00B845AF">
        <w:rPr>
          <w:rFonts w:asciiTheme="minorHAnsi" w:hAnsiTheme="minorHAnsi" w:cstheme="minorHAnsi"/>
          <w:bCs/>
          <w:color w:val="000000"/>
          <w:szCs w:val="22"/>
        </w:rPr>
        <w:t>Merci beaucoup, Inna. This information is very helpful. Ren-Fen</w:t>
      </w:r>
    </w:p>
    <w:p w14:paraId="440F87CD" w14:textId="77777777" w:rsidR="00D47778" w:rsidRPr="00B845AF" w:rsidRDefault="00D47778" w:rsidP="00D47778">
      <w:pPr>
        <w:ind w:leftChars="400" w:left="880"/>
        <w:jc w:val="both"/>
        <w:rPr>
          <w:rFonts w:asciiTheme="minorHAnsi" w:hAnsiTheme="minorHAnsi" w:cstheme="minorHAnsi"/>
          <w:bCs/>
          <w:color w:val="000000"/>
          <w:szCs w:val="22"/>
        </w:rPr>
      </w:pPr>
    </w:p>
    <w:p w14:paraId="22D98FC0" w14:textId="77777777" w:rsidR="00D47778" w:rsidRPr="00B845AF" w:rsidRDefault="00D47778" w:rsidP="00D47778">
      <w:pPr>
        <w:jc w:val="both"/>
        <w:rPr>
          <w:rFonts w:asciiTheme="minorHAnsi" w:eastAsia="Yu Mincho" w:hAnsiTheme="minorHAnsi" w:cstheme="minorHAnsi"/>
          <w:b/>
          <w:color w:val="000000"/>
          <w:szCs w:val="22"/>
          <w:u w:val="single"/>
          <w:lang w:eastAsia="ja-JP"/>
        </w:rPr>
      </w:pPr>
      <w:r w:rsidRPr="00B845AF">
        <w:rPr>
          <w:rFonts w:asciiTheme="minorHAnsi" w:eastAsia="Yu Mincho" w:hAnsiTheme="minorHAnsi" w:cstheme="minorHAnsi"/>
          <w:b/>
          <w:color w:val="000000"/>
          <w:szCs w:val="22"/>
          <w:u w:val="single"/>
          <w:lang w:eastAsia="ja-JP"/>
        </w:rPr>
        <w:t>New Zealand</w:t>
      </w:r>
    </w:p>
    <w:p w14:paraId="0F6C8F2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Thank you to the authors for the substantial work behind EB-WP01 and EB-IP04.</w:t>
      </w:r>
    </w:p>
    <w:p w14:paraId="52BC427A"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1B4F1977"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 raise four items on these two papers below; comments on the use of SEAPODYM outputs in the 2026 assessments, including SA-IP-10, are posted separately under the stock assessment item. Given the scope of the validation material, some of the questions below may simply reflect places where we’ve missed something.</w:t>
      </w:r>
    </w:p>
    <w:p w14:paraId="4490A739" w14:textId="77777777" w:rsidR="00D47778" w:rsidRPr="00B845AF" w:rsidRDefault="00D47778" w:rsidP="00D47778">
      <w:pPr>
        <w:spacing w:after="5" w:line="248" w:lineRule="auto"/>
        <w:ind w:right="1"/>
        <w:rPr>
          <w:rFonts w:asciiTheme="minorHAnsi" w:eastAsia="Yu Mincho" w:hAnsiTheme="minorHAnsi" w:cstheme="minorHAnsi"/>
          <w:color w:val="000000"/>
          <w:szCs w:val="22"/>
          <w:lang w:eastAsia="ja-JP"/>
        </w:rPr>
      </w:pPr>
    </w:p>
    <w:p w14:paraId="7C6C09FF" w14:textId="77777777" w:rsidR="00D47778" w:rsidRPr="00B845AF" w:rsidRDefault="00D47778" w:rsidP="00D47778">
      <w:pPr>
        <w:spacing w:after="5" w:line="248" w:lineRule="auto"/>
        <w:ind w:right="1"/>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1. Validation against observations (Comment)</w:t>
      </w:r>
    </w:p>
    <w:p w14:paraId="57C8891A" w14:textId="77777777" w:rsidR="00D47778" w:rsidRPr="00B845AF" w:rsidRDefault="00D47778" w:rsidP="00D47778">
      <w:pPr>
        <w:spacing w:after="5" w:line="248" w:lineRule="auto"/>
        <w:ind w:leftChars="84" w:left="185"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New Zealand thanks the authors for the validation framework set out in EB-WP01 Section 8. The out-of-sample tag scores in Section 8.2.3 are equal to or better than the in-sample scores. We would be interested to know whether any of the tag validation is spatially independent, for instance whether the EPO recapture groups were withheld from estimation, since spatial hold-out would test the movement model more strongly than cross-validation by recapture group alone. Section 8.5 also reports a cross-basin transfer test, where the Pacific albacore solution reproduced Atlantic dynamics, without re-fitting parameters, at a level of skill comparable to an Atlantic-fitted baseline. This is a demanding test of structural transferability. Would SPC consider extending it to a tropical tuna?</w:t>
      </w:r>
    </w:p>
    <w:p w14:paraId="434081E3" w14:textId="77777777" w:rsidR="00D47778" w:rsidRPr="00B845AF" w:rsidRDefault="00D47778" w:rsidP="00D47778">
      <w:pPr>
        <w:spacing w:after="5" w:line="248" w:lineRule="auto"/>
        <w:ind w:right="1"/>
        <w:jc w:val="both"/>
        <w:rPr>
          <w:rFonts w:asciiTheme="minorHAnsi" w:eastAsia="Yu Mincho" w:hAnsiTheme="minorHAnsi" w:cstheme="minorHAnsi"/>
          <w:color w:val="000000"/>
          <w:szCs w:val="22"/>
          <w:lang w:eastAsia="ja-JP"/>
        </w:rPr>
      </w:pPr>
    </w:p>
    <w:p w14:paraId="1CC3BA5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2. Forward prediction and out-of-window diagnostics (Question)</w:t>
      </w:r>
    </w:p>
    <w:p w14:paraId="1BD012B1" w14:textId="77777777" w:rsidR="00D47778" w:rsidRPr="00B845AF" w:rsidRDefault="00D47778" w:rsidP="00D47778">
      <w:pPr>
        <w:spacing w:after="5" w:line="248" w:lineRule="auto"/>
        <w:ind w:leftChars="84" w:left="185"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Section 8.5 states that the full set of out-of-window diagnostics for skipjack, yellowfin and bigeye is reported in EB-IP04, but Table 3 reports scores only over the common 1986 to 2010 window; we couldn’t locate scores for the validation periods defined in EB-IP04’s Table 1 (e.g. bigeye 1960 to 1994, skipjack 2013 to 2022). Separately, even where reported, within-window scores measure fit rather than forecast skill. Given SEAPODYM’s role in forward projection, we’d find a hindcast (truncate, refit, score forward predictions via MASE; Kell et al. 2016, Carvalho et al. 2021) more informative for how heavily the 2050 projections should be caveated. We’d also note Section 8.2.1 confines CPUE validation to EEZ scales within each species’ current core area, which the projections expect to shift.</w:t>
      </w:r>
    </w:p>
    <w:p w14:paraId="1869D28A"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p>
    <w:p w14:paraId="2EBEC17D"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Could the Table 1 scores be reported please, and has hindcast cross-validation been considered (and if so, which quantities would be re-derived within each peel, given Section 5 selected the skipjack ceiling using the 2013 to 2022 period)?</w:t>
      </w:r>
    </w:p>
    <w:p w14:paraId="6711AB9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2BF03E6F" w14:textId="77777777" w:rsidR="00D47778" w:rsidRPr="00B845AF" w:rsidRDefault="00D47778" w:rsidP="00D47778">
      <w:pPr>
        <w:spacing w:after="5" w:line="248" w:lineRule="auto"/>
        <w:ind w:right="1"/>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3. Uncertainty in stock scale and recruitment (Comment and question)</w:t>
      </w:r>
    </w:p>
    <w:p w14:paraId="3A97F0DB" w14:textId="77777777" w:rsidR="00D47778" w:rsidRPr="00B845AF" w:rsidRDefault="00D47778" w:rsidP="00D47778">
      <w:pPr>
        <w:spacing w:after="5" w:line="248" w:lineRule="auto"/>
        <w:ind w:leftChars="84" w:left="185"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Section 7.2 reports a condition number of 3.1 x 10^7 for the full joint skipjack fit, above the paper’s own threshold of 10^6 for severe ill-conditioning, traced to a saturated prey coefficient in the spawning habitat and to correlated recruitment-scale, larval-catchability and mortality parameters. We note the </w:t>
      </w:r>
      <w:r w:rsidRPr="00B845AF">
        <w:rPr>
          <w:rFonts w:asciiTheme="minorHAnsi" w:hAnsiTheme="minorHAnsi" w:cstheme="minorHAnsi"/>
          <w:color w:val="000000"/>
          <w:szCs w:val="22"/>
          <w:lang w:eastAsia="ja-JP"/>
        </w:rPr>
        <w:lastRenderedPageBreak/>
        <w:t>movement and habitat parameters carry none of this. Section 5 shows the profile against stock size flattens rather than reaching a minimum, so the stock ceiling (demonstrated for skipjack on the WCPO) must be selected rather than estimated; Section 9 notes this scale is configuration-dependent for all species and must be re-validated when forcing or resolution changes, but we couldn’t find the equivalent profile or ceiling reported for bigeye, yellowfin or albacore.</w:t>
      </w:r>
    </w:p>
    <w:p w14:paraId="71FFD4CD" w14:textId="77777777" w:rsidR="00D47778" w:rsidRPr="00B845AF" w:rsidRDefault="00D47778" w:rsidP="00D47778">
      <w:pPr>
        <w:spacing w:after="5" w:line="248" w:lineRule="auto"/>
        <w:ind w:leftChars="84" w:left="185" w:right="1"/>
        <w:jc w:val="both"/>
        <w:rPr>
          <w:rFonts w:asciiTheme="minorHAnsi" w:hAnsiTheme="minorHAnsi" w:cstheme="minorHAnsi"/>
          <w:color w:val="000000"/>
          <w:szCs w:val="22"/>
          <w:lang w:eastAsia="ja-JP"/>
        </w:rPr>
      </w:pPr>
    </w:p>
    <w:p w14:paraId="7E93B51B"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We’d also note the catch-removal formulation enforces biomass at least equal to the reported catch as a one-sided penalty: an overstated catch forces the model to supply biomass that wasn’t there, while an understated one costs nothing, and Section 5 identifies the free-school purse-seine fishery as the binding constraint on the skipjack ceiling.</w:t>
      </w:r>
    </w:p>
    <w:p w14:paraId="0397B7BC"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p>
    <w:p w14:paraId="6E706290"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Could standard errors be provided for the EB-IP04 Table 2 reference parameters please, and is the suggested remedy for high uncertainty planned? How sensitive is regional scaling to the choice of ceiling across the range in Figure 4? And what is the form and weight of the catch-removal penalty, noting the bigeye high-latitude overestimation reported in EB-IP04 Section 4.1.3: how does that overestimation affect the utility of the bigeye model for regional scaling and regional recruitment distribution?</w:t>
      </w:r>
    </w:p>
    <w:p w14:paraId="68822226"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6365051D"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4. Validating movement predictions, including in archipelagic waters (Comment and question)</w:t>
      </w:r>
    </w:p>
    <w:p w14:paraId="3582064C"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EB-WP01 Section 8.2.3 validates movement through recapture maps, profiles and cross-validated scalar metrics, but aggregate scores can mask directional </w:t>
      </w:r>
      <w:proofErr w:type="gramStart"/>
      <w:r w:rsidRPr="00B845AF">
        <w:rPr>
          <w:rFonts w:asciiTheme="minorHAnsi" w:hAnsiTheme="minorHAnsi" w:cstheme="minorHAnsi"/>
          <w:color w:val="000000"/>
          <w:szCs w:val="22"/>
          <w:lang w:eastAsia="ja-JP"/>
        </w:rPr>
        <w:t>error</w:t>
      </w:r>
      <w:proofErr w:type="gramEnd"/>
      <w:r w:rsidRPr="00B845AF">
        <w:rPr>
          <w:rFonts w:asciiTheme="minorHAnsi" w:hAnsiTheme="minorHAnsi" w:cstheme="minorHAnsi"/>
          <w:color w:val="000000"/>
          <w:szCs w:val="22"/>
          <w:lang w:eastAsia="ja-JP"/>
        </w:rPr>
        <w:t>. SC21-SA-IP-20 reported that meridional skipjack movement is poorly reproduced, that the model under-predicts the northernmost extent of feeding grounds, and that a zonal bias displaces EPO tags east of where they were observed. A model can disperse tags the right distance in the wrong direction and still score well. We’d expect this to be compounded by SEAPODYM’s lack of FAD/island attraction (which SPC noted at SC21 enters only through coarse oceanographic forcing): if retention is absent, predicted dispersal should exceed observed dispersal, with the gap growing in archipelagic waters, where many Pacific EEZs sit. We also note tag recaptures are modelled aggregated to 6-degree squares, even though release position and date must be exact as initial conditions for the advection-diffusion equations for tagged fish.</w:t>
      </w:r>
    </w:p>
    <w:p w14:paraId="58386681"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p>
    <w:p w14:paraId="06C134FD" w14:textId="77777777" w:rsidR="00D47778" w:rsidRPr="00B845AF" w:rsidRDefault="00D47778" w:rsidP="00D47778">
      <w:pPr>
        <w:spacing w:after="5" w:line="248" w:lineRule="auto"/>
        <w:ind w:leftChars="100" w:left="220"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Does the Section 8 validation include a diagnostic for systematic directional bias, for example spatial residual maps alongside the scalar metrics, and could reliability be reported separately for </w:t>
      </w:r>
      <w:proofErr w:type="gramStart"/>
      <w:r w:rsidRPr="00B845AF">
        <w:rPr>
          <w:rFonts w:asciiTheme="minorHAnsi" w:hAnsiTheme="minorHAnsi" w:cstheme="minorHAnsi"/>
          <w:color w:val="000000"/>
          <w:szCs w:val="22"/>
          <w:lang w:eastAsia="ja-JP"/>
        </w:rPr>
        <w:t>open-ocean</w:t>
      </w:r>
      <w:proofErr w:type="gramEnd"/>
      <w:r w:rsidRPr="00B845AF">
        <w:rPr>
          <w:rFonts w:asciiTheme="minorHAnsi" w:hAnsiTheme="minorHAnsi" w:cstheme="minorHAnsi"/>
          <w:color w:val="000000"/>
          <w:szCs w:val="22"/>
          <w:lang w:eastAsia="ja-JP"/>
        </w:rPr>
        <w:t xml:space="preserve"> versus archipelagic waters and by quarter since release?</w:t>
      </w:r>
    </w:p>
    <w:p w14:paraId="3D1A8462" w14:textId="77777777" w:rsidR="00D47778" w:rsidRPr="00B845AF" w:rsidRDefault="00D47778" w:rsidP="00D47778">
      <w:pPr>
        <w:jc w:val="both"/>
        <w:rPr>
          <w:rFonts w:asciiTheme="minorHAnsi" w:eastAsia="Yu Mincho" w:hAnsiTheme="minorHAnsi" w:cstheme="minorHAnsi"/>
          <w:bCs/>
          <w:color w:val="000000"/>
          <w:szCs w:val="22"/>
          <w:lang w:eastAsia="ja-JP"/>
        </w:rPr>
      </w:pPr>
    </w:p>
    <w:p w14:paraId="3D557F77" w14:textId="77777777" w:rsidR="00D47778" w:rsidRPr="00B845AF" w:rsidRDefault="00D47778" w:rsidP="00D47778">
      <w:pPr>
        <w:jc w:val="both"/>
        <w:rPr>
          <w:rFonts w:asciiTheme="minorHAnsi" w:eastAsia="Yu Mincho" w:hAnsiTheme="minorHAnsi" w:cstheme="minorHAnsi"/>
          <w:b/>
          <w:color w:val="000000"/>
          <w:szCs w:val="22"/>
          <w:u w:val="single"/>
          <w:lang w:eastAsia="ja-JP"/>
        </w:rPr>
      </w:pPr>
      <w:r w:rsidRPr="00B845AF">
        <w:rPr>
          <w:rFonts w:asciiTheme="minorHAnsi" w:eastAsia="Yu Mincho" w:hAnsiTheme="minorHAnsi" w:cstheme="minorHAnsi"/>
          <w:b/>
          <w:color w:val="000000"/>
          <w:szCs w:val="22"/>
          <w:u w:val="single"/>
          <w:lang w:eastAsia="ja-JP"/>
        </w:rPr>
        <w:t>USA</w:t>
      </w:r>
    </w:p>
    <w:p w14:paraId="1407C63C" w14:textId="77777777" w:rsidR="00D47778" w:rsidRPr="00B845AF" w:rsidRDefault="00D47778" w:rsidP="00D47778">
      <w:pPr>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We have a few follow-up questions for the authors, one recommendation and one request for additional work. We note that the authors identified that total population scale is not estimable but is an emergent property of balancing a total population scale cap with producing a large enough population to explain the spatial catches. They also describe that the maximum stock constraint was only applied to the WCPO and not the EPO. Our question is </w:t>
      </w:r>
      <w:proofErr w:type="spellStart"/>
      <w:proofErr w:type="gramStart"/>
      <w:r w:rsidRPr="00B845AF">
        <w:rPr>
          <w:rFonts w:asciiTheme="minorHAnsi" w:eastAsia="Yu Mincho" w:hAnsiTheme="minorHAnsi" w:cstheme="minorHAnsi"/>
          <w:bCs/>
          <w:color w:val="000000"/>
          <w:szCs w:val="22"/>
          <w:lang w:eastAsia="ja-JP"/>
        </w:rPr>
        <w:t>two fold</w:t>
      </w:r>
      <w:proofErr w:type="spellEnd"/>
      <w:proofErr w:type="gramEnd"/>
      <w:r w:rsidRPr="00B845AF">
        <w:rPr>
          <w:rFonts w:asciiTheme="minorHAnsi" w:eastAsia="Yu Mincho" w:hAnsiTheme="minorHAnsi" w:cstheme="minorHAnsi"/>
          <w:bCs/>
          <w:color w:val="000000"/>
          <w:szCs w:val="22"/>
          <w:lang w:eastAsia="ja-JP"/>
        </w:rPr>
        <w:t>, given that these are basin wide models, how sensitive are outcomes to alternative assumptions made to either WCPO and/or EPO stock constraints? Secondly, how sensitive are key inputs for stock assessment, regional scaling and bulk transfer coefficients, to assumptions made when determining the total population scale?</w:t>
      </w:r>
    </w:p>
    <w:p w14:paraId="094CA2A6" w14:textId="77777777" w:rsidR="00D47778" w:rsidRPr="00B845AF" w:rsidRDefault="00D47778" w:rsidP="00D47778">
      <w:pPr>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br/>
        <w:t xml:space="preserve">In the presentation of the Hessian convergence diagnostics for the example SKJ joint model the authors note that while the model appeared to converged to a minimum based on the Newton step diagnostic, their condition number diagnostic indicated that the solution was very poorly defined, and assuming this was the same model as presented in Section 3 had a number of parameters on a bound. Do the authors </w:t>
      </w:r>
      <w:r w:rsidRPr="00B845AF">
        <w:rPr>
          <w:rFonts w:asciiTheme="minorHAnsi" w:eastAsia="Yu Mincho" w:hAnsiTheme="minorHAnsi" w:cstheme="minorHAnsi"/>
          <w:bCs/>
          <w:color w:val="000000"/>
          <w:szCs w:val="22"/>
          <w:lang w:eastAsia="ja-JP"/>
        </w:rPr>
        <w:lastRenderedPageBreak/>
        <w:t>have any indication of sensitivity in model outputs to alternative parameter values for those that are either poorly determined (highly correlated) or estimated to be on a bound?</w:t>
      </w:r>
    </w:p>
    <w:p w14:paraId="5C086C48" w14:textId="77777777" w:rsidR="00D47778" w:rsidRPr="00B845AF" w:rsidRDefault="00D47778" w:rsidP="00D47778">
      <w:pPr>
        <w:jc w:val="both"/>
        <w:rPr>
          <w:rFonts w:asciiTheme="minorHAnsi" w:eastAsia="Yu Mincho" w:hAnsiTheme="minorHAnsi" w:cstheme="minorHAnsi"/>
          <w:bCs/>
          <w:color w:val="000000"/>
          <w:szCs w:val="22"/>
          <w:lang w:eastAsia="ja-JP"/>
        </w:rPr>
      </w:pPr>
    </w:p>
    <w:p w14:paraId="4A2EE5EA" w14:textId="77777777" w:rsidR="00D47778" w:rsidRPr="00B845AF" w:rsidRDefault="00D47778" w:rsidP="00D47778">
      <w:pPr>
        <w:ind w:leftChars="200" w:left="440"/>
        <w:jc w:val="both"/>
        <w:rPr>
          <w:rFonts w:asciiTheme="minorHAnsi" w:eastAsia="Yu Mincho" w:hAnsiTheme="minorHAnsi" w:cstheme="minorHAnsi"/>
          <w:b/>
          <w:color w:val="000000"/>
          <w:szCs w:val="22"/>
          <w:lang w:eastAsia="ja-JP"/>
        </w:rPr>
      </w:pPr>
      <w:r w:rsidRPr="00B845AF">
        <w:rPr>
          <w:rFonts w:asciiTheme="minorHAnsi" w:eastAsia="Yu Mincho" w:hAnsiTheme="minorHAnsi" w:cstheme="minorHAnsi"/>
          <w:b/>
          <w:color w:val="000000"/>
          <w:szCs w:val="22"/>
          <w:lang w:eastAsia="ja-JP"/>
        </w:rPr>
        <w:t>Reply (SPC)</w:t>
      </w:r>
    </w:p>
    <w:p w14:paraId="04372119"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Thank you for these questions and recommendations.</w:t>
      </w:r>
    </w:p>
    <w:p w14:paraId="51FD5C73"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7FD09398"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Q1. The MLEs reported in SC21/SA-IP-20, SC22/EB-WP-01 and SC22/EB-IP-04 used the WCPO-wide stock constraint. We constrain the WCPO because once applied to the WCPO the stock penalty bounds the stock size used by the assessment directly, applied to the whole Pacific it bounds the basin total and leaves the WCPO share free to adjust. However, this was not the arbitrary choice – we have also tested the Pacific-wide constraint and ran the profile of Section 5 with for the JRA55-forcing models (not reported in the SC22 papers). We found that within a fixed region, the level of the ceiling only sets the absolute scale and does not change the spatial distribution. Thus, the stock constraint was set at 10500, 11000, 11500 and 12000 thousand mt, reached in every </w:t>
      </w:r>
      <w:proofErr w:type="spellStart"/>
      <w:r w:rsidRPr="00B845AF">
        <w:rPr>
          <w:rFonts w:asciiTheme="minorHAnsi" w:eastAsia="Yu Mincho" w:hAnsiTheme="minorHAnsi" w:cstheme="minorHAnsi"/>
          <w:bCs/>
          <w:color w:val="000000"/>
          <w:szCs w:val="22"/>
          <w:lang w:eastAsia="ja-JP"/>
        </w:rPr>
        <w:t>optimisation</w:t>
      </w:r>
      <w:proofErr w:type="spellEnd"/>
      <w:r w:rsidRPr="00B845AF">
        <w:rPr>
          <w:rFonts w:asciiTheme="minorHAnsi" w:eastAsia="Yu Mincho" w:hAnsiTheme="minorHAnsi" w:cstheme="minorHAnsi"/>
          <w:bCs/>
          <w:color w:val="000000"/>
          <w:szCs w:val="22"/>
          <w:lang w:eastAsia="ja-JP"/>
        </w:rPr>
        <w:t xml:space="preserve">, and the objective decreased monotonically from 5.01 to 4.85 (at these levels, the likelihood starts to saturate hence the change in likelihood is small). The improvement was mainly observed for the catch likelihood, which fell by 10-20%, while the length, tagging and effort components changed by 2% or less, indicating the reduction of the errors was coming from the catch-removal fisheries. Across that 14% change in total </w:t>
      </w:r>
      <w:proofErr w:type="gramStart"/>
      <w:r w:rsidRPr="00B845AF">
        <w:rPr>
          <w:rFonts w:asciiTheme="minorHAnsi" w:eastAsia="Yu Mincho" w:hAnsiTheme="minorHAnsi" w:cstheme="minorHAnsi"/>
          <w:bCs/>
          <w:color w:val="000000"/>
          <w:szCs w:val="22"/>
          <w:lang w:eastAsia="ja-JP"/>
        </w:rPr>
        <w:t>biomass</w:t>
      </w:r>
      <w:proofErr w:type="gramEnd"/>
      <w:r w:rsidRPr="00B845AF">
        <w:rPr>
          <w:rFonts w:asciiTheme="minorHAnsi" w:eastAsia="Yu Mincho" w:hAnsiTheme="minorHAnsi" w:cstheme="minorHAnsi"/>
          <w:bCs/>
          <w:color w:val="000000"/>
          <w:szCs w:val="22"/>
          <w:lang w:eastAsia="ja-JP"/>
        </w:rPr>
        <w:t xml:space="preserve"> the relative spatial distribution remained the same.</w:t>
      </w:r>
    </w:p>
    <w:p w14:paraId="7FBB3D07"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4D213DD6"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The region over which the constraint is applied matters more. Comparing two reference models with the same estimated parameters and the same fixed values, one with a WCPO ceiling of 7300 thousand mt and one with a Pacific-wide ceiling of 11500, we found that the latter configuration led to an increased (by 3.6%) WCPO stock and decreased (by 27%) EPO stock. This resulted in the total likelihood deterioration by only 1%, however the catch component got worse by 8% (attributed to the EPO catches) and tagging likelihood got worse by 1.5%.</w:t>
      </w:r>
    </w:p>
    <w:p w14:paraId="0F4E242B"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43CE4EE7"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Nevertheless, the model with PO constraint was selected as one of the alternative models and added in the climate change impact estimation and therefore we could verify the sensitivity of regional scaling and bulk transfer rates to selected stock constraint. Despite a substantial EPO stock decrease in the PO-wide constrained model, the spatial distribution in the WCPO area did not change, so </w:t>
      </w:r>
      <w:proofErr w:type="gramStart"/>
      <w:r w:rsidRPr="00B845AF">
        <w:rPr>
          <w:rFonts w:asciiTheme="minorHAnsi" w:eastAsia="Yu Mincho" w:hAnsiTheme="minorHAnsi" w:cstheme="minorHAnsi"/>
          <w:bCs/>
          <w:color w:val="000000"/>
          <w:szCs w:val="22"/>
          <w:lang w:eastAsia="ja-JP"/>
        </w:rPr>
        <w:t>both,</w:t>
      </w:r>
      <w:proofErr w:type="gramEnd"/>
      <w:r w:rsidRPr="00B845AF">
        <w:rPr>
          <w:rFonts w:asciiTheme="minorHAnsi" w:eastAsia="Yu Mincho" w:hAnsiTheme="minorHAnsi" w:cstheme="minorHAnsi"/>
          <w:bCs/>
          <w:color w:val="000000"/>
          <w:szCs w:val="22"/>
          <w:lang w:eastAsia="ja-JP"/>
        </w:rPr>
        <w:t xml:space="preserve"> regional scaling and bulk transfer rates in the WCPO are robust to the choice. Shares of the WCPO biomass over the estimation window, for the two configurations above, are:</w:t>
      </w:r>
    </w:p>
    <w:p w14:paraId="5CB5C01E"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439834B0"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area WCPO 7300 PO 11500 difference</w:t>
      </w:r>
    </w:p>
    <w:p w14:paraId="412A0C18"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051ECB7D"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120–210°E, 20–45°N 12.8% 14.1% +1.3</w:t>
      </w:r>
    </w:p>
    <w:p w14:paraId="09713AED"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57EE58A2"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140–170°E, 20°S–20°N 38.8% 39.9% +1.1</w:t>
      </w:r>
    </w:p>
    <w:p w14:paraId="6DCB2414"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2533FC51"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170–210°E, 20°S–20°N 36.1% 33.2% −2.9</w:t>
      </w:r>
    </w:p>
    <w:p w14:paraId="56637C60"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41A75D9F"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120–140°E, 20°S–20°N 12.3% 12.8% +0.5</w:t>
      </w:r>
    </w:p>
    <w:p w14:paraId="4CBF6212"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6522270D"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Residency (diagonals of movement matrices) </w:t>
      </w:r>
      <w:proofErr w:type="gramStart"/>
      <w:r w:rsidRPr="00B845AF">
        <w:rPr>
          <w:rFonts w:asciiTheme="minorHAnsi" w:eastAsia="Yu Mincho" w:hAnsiTheme="minorHAnsi" w:cstheme="minorHAnsi"/>
          <w:bCs/>
          <w:color w:val="000000"/>
          <w:szCs w:val="22"/>
          <w:lang w:eastAsia="ja-JP"/>
        </w:rPr>
        <w:t>differs</w:t>
      </w:r>
      <w:proofErr w:type="gramEnd"/>
      <w:r w:rsidRPr="00B845AF">
        <w:rPr>
          <w:rFonts w:asciiTheme="minorHAnsi" w:eastAsia="Yu Mincho" w:hAnsiTheme="minorHAnsi" w:cstheme="minorHAnsi"/>
          <w:bCs/>
          <w:color w:val="000000"/>
          <w:szCs w:val="22"/>
          <w:lang w:eastAsia="ja-JP"/>
        </w:rPr>
        <w:t xml:space="preserve"> by at most 2.2 percent in any region, and across age. Such effect of the constraint region on the transfer rates is of the same order as the differences between movement rates across six decades of 1960-2022 runs.</w:t>
      </w:r>
    </w:p>
    <w:p w14:paraId="6A4107BE"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5BD3050C"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lastRenderedPageBreak/>
        <w:t>Q2. The skipjack model used in the Bridging Analysis (Section 3) has five parameters on the boundary, some close to it, out of 36 estimated. Regarding the ill-conditioning, it is not uncommon in non-linear optimization problems, where the objective function can be very steep in one direction and flat in another, to obtain a large condition number. However, a large condition number can be produced by an exceptionally well-determined direction as well as by a poorly determined one, indicating that the surface is strongly anisotropic rather than poorly determined. In other words, the condition number indicates the presence of a flat direction, but the flatness is always expressed relatively to the stiffest direction, so a Hessian-based severe ill-conditioning does not always warrant that there is an issue. The symptoms of ill-conditioning, such as sensitivity of the MLE to initial parameter values or to small perturbations in the model structure or in the data inputs, are much more important indicators, and we do not observe them for the skipjack model: the optimizations converged to the same MLE from different starting points and under small perturbations in the model structure.</w:t>
      </w:r>
    </w:p>
    <w:p w14:paraId="49759552"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3EEE3D36"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In the skipjack refence model, two parameters are responsible for severe ill-conditioning, and both control recruitment and are informed by the fisheries data: the shape parameter alpha in the </w:t>
      </w:r>
      <w:proofErr w:type="spellStart"/>
      <w:r w:rsidRPr="00B845AF">
        <w:rPr>
          <w:rFonts w:asciiTheme="minorHAnsi" w:eastAsia="Yu Mincho" w:hAnsiTheme="minorHAnsi" w:cstheme="minorHAnsi"/>
          <w:bCs/>
          <w:color w:val="000000"/>
          <w:szCs w:val="22"/>
          <w:lang w:eastAsia="ja-JP"/>
        </w:rPr>
        <w:t>normalised</w:t>
      </w:r>
      <w:proofErr w:type="spellEnd"/>
      <w:r w:rsidRPr="00B845AF">
        <w:rPr>
          <w:rFonts w:asciiTheme="minorHAnsi" w:eastAsia="Yu Mincho" w:hAnsiTheme="minorHAnsi" w:cstheme="minorHAnsi"/>
          <w:bCs/>
          <w:color w:val="000000"/>
          <w:szCs w:val="22"/>
          <w:lang w:eastAsia="ja-JP"/>
        </w:rPr>
        <w:t xml:space="preserve"> Holling type-III functional response of larvae, which has the flattest likelihood surface at MLE, and the parameter defining the range of local densities of predators within “safe” spawning habitat, beta, which has the stiffest likelihood surface and usually well-determined. Removing them from Hessian, moves the condition number from 3.1e7 to 2.3e6, the “moderate” range.</w:t>
      </w:r>
    </w:p>
    <w:p w14:paraId="54AF12F6"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5B77591B"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Why not </w:t>
      </w:r>
      <w:proofErr w:type="gramStart"/>
      <w:r w:rsidRPr="00B845AF">
        <w:rPr>
          <w:rFonts w:asciiTheme="minorHAnsi" w:eastAsia="Yu Mincho" w:hAnsiTheme="minorHAnsi" w:cstheme="minorHAnsi"/>
          <w:bCs/>
          <w:color w:val="000000"/>
          <w:szCs w:val="22"/>
          <w:lang w:eastAsia="ja-JP"/>
        </w:rPr>
        <w:t>removing</w:t>
      </w:r>
      <w:proofErr w:type="gramEnd"/>
      <w:r w:rsidRPr="00B845AF">
        <w:rPr>
          <w:rFonts w:asciiTheme="minorHAnsi" w:eastAsia="Yu Mincho" w:hAnsiTheme="minorHAnsi" w:cstheme="minorHAnsi"/>
          <w:bCs/>
          <w:color w:val="000000"/>
          <w:szCs w:val="22"/>
          <w:lang w:eastAsia="ja-JP"/>
        </w:rPr>
        <w:t xml:space="preserve"> flattest-direction parameter from MLE? In case of </w:t>
      </w:r>
      <w:proofErr w:type="gramStart"/>
      <w:r w:rsidRPr="00B845AF">
        <w:rPr>
          <w:rFonts w:asciiTheme="minorHAnsi" w:eastAsia="Yu Mincho" w:hAnsiTheme="minorHAnsi" w:cstheme="minorHAnsi"/>
          <w:bCs/>
          <w:color w:val="000000"/>
          <w:szCs w:val="22"/>
          <w:lang w:eastAsia="ja-JP"/>
        </w:rPr>
        <w:t>alpha</w:t>
      </w:r>
      <w:proofErr w:type="gramEnd"/>
      <w:r w:rsidRPr="00B845AF">
        <w:rPr>
          <w:rFonts w:asciiTheme="minorHAnsi" w:eastAsia="Yu Mincho" w:hAnsiTheme="minorHAnsi" w:cstheme="minorHAnsi"/>
          <w:bCs/>
          <w:color w:val="000000"/>
          <w:szCs w:val="22"/>
          <w:lang w:eastAsia="ja-JP"/>
        </w:rPr>
        <w:t xml:space="preserve"> it is not poor identifiability, but one-sided identifiability and the likelihood becomes flat only at the high end of its range. Skipjack is sensitive to </w:t>
      </w:r>
      <w:proofErr w:type="gramStart"/>
      <w:r w:rsidRPr="00B845AF">
        <w:rPr>
          <w:rFonts w:asciiTheme="minorHAnsi" w:eastAsia="Yu Mincho" w:hAnsiTheme="minorHAnsi" w:cstheme="minorHAnsi"/>
          <w:bCs/>
          <w:color w:val="000000"/>
          <w:szCs w:val="22"/>
          <w:lang w:eastAsia="ja-JP"/>
        </w:rPr>
        <w:t>the primary</w:t>
      </w:r>
      <w:proofErr w:type="gramEnd"/>
      <w:r w:rsidRPr="00B845AF">
        <w:rPr>
          <w:rFonts w:asciiTheme="minorHAnsi" w:eastAsia="Yu Mincho" w:hAnsiTheme="minorHAnsi" w:cstheme="minorHAnsi"/>
          <w:bCs/>
          <w:color w:val="000000"/>
          <w:szCs w:val="22"/>
          <w:lang w:eastAsia="ja-JP"/>
        </w:rPr>
        <w:t xml:space="preserve"> production (as a proxy of prey organisms), as demonstrated by the Bridging Analysis. In optimizations with the full model and joint likelihood, quasi-Newton converged to the upper limit of the feasible range for this parameter in every run of the reference configuration, however from the </w:t>
      </w:r>
      <w:proofErr w:type="spellStart"/>
      <w:r w:rsidRPr="00B845AF">
        <w:rPr>
          <w:rFonts w:asciiTheme="minorHAnsi" w:eastAsia="Yu Mincho" w:hAnsiTheme="minorHAnsi" w:cstheme="minorHAnsi"/>
          <w:bCs/>
          <w:color w:val="000000"/>
          <w:szCs w:val="22"/>
          <w:lang w:eastAsia="ja-JP"/>
        </w:rPr>
        <w:t>normalisation</w:t>
      </w:r>
      <w:proofErr w:type="spellEnd"/>
      <w:r w:rsidRPr="00B845AF">
        <w:rPr>
          <w:rFonts w:asciiTheme="minorHAnsi" w:eastAsia="Yu Mincho" w:hAnsiTheme="minorHAnsi" w:cstheme="minorHAnsi"/>
          <w:bCs/>
          <w:color w:val="000000"/>
          <w:szCs w:val="22"/>
          <w:lang w:eastAsia="ja-JP"/>
        </w:rPr>
        <w:t xml:space="preserve"> of the prey-function, once alpha exceeds alpha=3, the likelihood surface flattens. To measure the flattening we have run a likelihood profile of alpha, fixing it at 3, 5, 8 and 11 and re-estimating all remaining parameters at each node. Relative to the solution with alpha free, the objective function is higher by 0.117%, 0.063%, 0.024% and 0.002% respectively. So, even if the reported value of alpha is near the boundary, it is still estimated, and the boundary is fixed where the likelihood can’t gain further. Note, since the parameter transformation into unbounded space changes the likelihood gradient near the boundary, the test was done by moving the upper limit to 15. As a result, the gradient with respect to alpha is unchanged and the Hessian remains positive definite. To </w:t>
      </w:r>
      <w:proofErr w:type="gramStart"/>
      <w:r w:rsidRPr="00B845AF">
        <w:rPr>
          <w:rFonts w:asciiTheme="minorHAnsi" w:eastAsia="Yu Mincho" w:hAnsiTheme="minorHAnsi" w:cstheme="minorHAnsi"/>
          <w:bCs/>
          <w:color w:val="000000"/>
          <w:szCs w:val="22"/>
          <w:lang w:eastAsia="ja-JP"/>
        </w:rPr>
        <w:t>resume</w:t>
      </w:r>
      <w:proofErr w:type="gramEnd"/>
      <w:r w:rsidRPr="00B845AF">
        <w:rPr>
          <w:rFonts w:asciiTheme="minorHAnsi" w:eastAsia="Yu Mincho" w:hAnsiTheme="minorHAnsi" w:cstheme="minorHAnsi"/>
          <w:bCs/>
          <w:color w:val="000000"/>
          <w:szCs w:val="22"/>
          <w:lang w:eastAsia="ja-JP"/>
        </w:rPr>
        <w:t xml:space="preserve">, data </w:t>
      </w:r>
      <w:proofErr w:type="gramStart"/>
      <w:r w:rsidRPr="00B845AF">
        <w:rPr>
          <w:rFonts w:asciiTheme="minorHAnsi" w:eastAsia="Yu Mincho" w:hAnsiTheme="minorHAnsi" w:cstheme="minorHAnsi"/>
          <w:bCs/>
          <w:color w:val="000000"/>
          <w:szCs w:val="22"/>
          <w:lang w:eastAsia="ja-JP"/>
        </w:rPr>
        <w:t>indicate</w:t>
      </w:r>
      <w:proofErr w:type="gramEnd"/>
      <w:r w:rsidRPr="00B845AF">
        <w:rPr>
          <w:rFonts w:asciiTheme="minorHAnsi" w:eastAsia="Yu Mincho" w:hAnsiTheme="minorHAnsi" w:cstheme="minorHAnsi"/>
          <w:bCs/>
          <w:color w:val="000000"/>
          <w:szCs w:val="22"/>
          <w:lang w:eastAsia="ja-JP"/>
        </w:rPr>
        <w:t xml:space="preserve"> alpha should be large, but how large was chosen by the estimation.</w:t>
      </w:r>
    </w:p>
    <w:p w14:paraId="0CA256AD" w14:textId="77777777" w:rsidR="00D47778" w:rsidRPr="00B845AF" w:rsidRDefault="00D47778" w:rsidP="00D47778">
      <w:pPr>
        <w:ind w:left="440"/>
        <w:jc w:val="both"/>
        <w:rPr>
          <w:rFonts w:asciiTheme="minorHAnsi" w:eastAsia="Yu Mincho" w:hAnsiTheme="minorHAnsi" w:cstheme="minorHAnsi"/>
          <w:bCs/>
          <w:color w:val="000000"/>
          <w:szCs w:val="22"/>
          <w:lang w:eastAsia="ja-JP"/>
        </w:rPr>
      </w:pPr>
    </w:p>
    <w:p w14:paraId="4AE3D39C" w14:textId="77777777" w:rsidR="00D47778" w:rsidRPr="00B845AF" w:rsidRDefault="00D47778" w:rsidP="00D47778">
      <w:pPr>
        <w:ind w:leftChars="200" w:left="440"/>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The other four are the epipelagic accessibility coefficient and the variability of diffusion with habitat index, both at their upper bounds, and the slope of the temperature-age relationship together with the coefficient of the thermal habitat function, both at their lower bounds. Each is a shape or scale coefficient of a bounded functional form, and each is one-sided in the same way: the data </w:t>
      </w:r>
      <w:proofErr w:type="gramStart"/>
      <w:r w:rsidRPr="00B845AF">
        <w:rPr>
          <w:rFonts w:asciiTheme="minorHAnsi" w:eastAsia="Yu Mincho" w:hAnsiTheme="minorHAnsi" w:cstheme="minorHAnsi"/>
          <w:bCs/>
          <w:color w:val="000000"/>
          <w:szCs w:val="22"/>
          <w:lang w:eastAsia="ja-JP"/>
        </w:rPr>
        <w:t>determine</w:t>
      </w:r>
      <w:proofErr w:type="gramEnd"/>
      <w:r w:rsidRPr="00B845AF">
        <w:rPr>
          <w:rFonts w:asciiTheme="minorHAnsi" w:eastAsia="Yu Mincho" w:hAnsiTheme="minorHAnsi" w:cstheme="minorHAnsi"/>
          <w:bCs/>
          <w:color w:val="000000"/>
          <w:szCs w:val="22"/>
          <w:lang w:eastAsia="ja-JP"/>
        </w:rPr>
        <w:t xml:space="preserve"> the direction, and the bound marks the limit of the range we considered feasible.</w:t>
      </w:r>
    </w:p>
    <w:p w14:paraId="2139DA52" w14:textId="77777777" w:rsidR="00D47778" w:rsidRPr="00B845AF" w:rsidRDefault="00D47778" w:rsidP="00D47778">
      <w:pPr>
        <w:ind w:leftChars="400" w:left="880"/>
        <w:jc w:val="both"/>
        <w:rPr>
          <w:rFonts w:asciiTheme="minorHAnsi" w:hAnsiTheme="minorHAnsi" w:cstheme="minorHAnsi"/>
          <w:bCs/>
          <w:color w:val="000000"/>
          <w:szCs w:val="22"/>
        </w:rPr>
      </w:pPr>
    </w:p>
    <w:p w14:paraId="43793CAD"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right="1"/>
        <w:outlineLvl w:val="0"/>
        <w:rPr>
          <w:rFonts w:asciiTheme="minorHAnsi" w:hAnsiTheme="minorHAnsi" w:cstheme="minorHAnsi"/>
          <w:b/>
          <w:bCs/>
          <w:color w:val="000000"/>
          <w:szCs w:val="22"/>
        </w:rPr>
      </w:pPr>
      <w:r w:rsidRPr="00B845AF">
        <w:rPr>
          <w:rFonts w:asciiTheme="minorHAnsi" w:hAnsiTheme="minorHAnsi" w:cstheme="minorHAnsi"/>
          <w:b/>
          <w:color w:val="000000"/>
          <w:szCs w:val="22"/>
        </w:rPr>
        <w:t>TOPIC 20.</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t>Project 110 and 110a: Non-entangling and Biodegradable FAD Trial in the Western and Central Pacific Ocean</w:t>
      </w:r>
    </w:p>
    <w:p w14:paraId="1D199E3A" w14:textId="77777777" w:rsidR="00D47778" w:rsidRPr="00B845AF" w:rsidRDefault="00D47778" w:rsidP="00D47778">
      <w:pPr>
        <w:jc w:val="both"/>
        <w:rPr>
          <w:rFonts w:asciiTheme="minorHAnsi" w:hAnsiTheme="minorHAnsi" w:cstheme="minorHAnsi"/>
          <w:bCs/>
          <w:color w:val="000000"/>
          <w:szCs w:val="22"/>
        </w:rPr>
      </w:pPr>
      <w:r w:rsidRPr="00B845AF">
        <w:rPr>
          <w:rFonts w:asciiTheme="minorHAnsi" w:hAnsiTheme="minorHAnsi" w:cstheme="minorHAnsi"/>
          <w:b/>
          <w:color w:val="000000"/>
          <w:szCs w:val="22"/>
        </w:rPr>
        <w:t xml:space="preserve">Related papers: </w:t>
      </w:r>
      <w:hyperlink r:id="rId163" w:history="1">
        <w:r w:rsidRPr="00B845AF">
          <w:rPr>
            <w:rFonts w:asciiTheme="minorHAnsi" w:hAnsiTheme="minorHAnsi" w:cstheme="minorHAnsi"/>
            <w:bCs/>
            <w:color w:val="0563C1"/>
            <w:szCs w:val="22"/>
            <w:u w:val="single"/>
          </w:rPr>
          <w:t>WCPFC-SC22-2026-EB-WP02</w:t>
        </w:r>
      </w:hyperlink>
      <w:r w:rsidRPr="00B845AF">
        <w:rPr>
          <w:rFonts w:asciiTheme="minorHAnsi" w:hAnsiTheme="minorHAnsi" w:cstheme="minorHAnsi"/>
          <w:bCs/>
          <w:color w:val="000000"/>
          <w:szCs w:val="22"/>
        </w:rPr>
        <w:t xml:space="preserve">: Escalle, G. Moreno, I. </w:t>
      </w:r>
      <w:proofErr w:type="spellStart"/>
      <w:r w:rsidRPr="00B845AF">
        <w:rPr>
          <w:rFonts w:asciiTheme="minorHAnsi" w:hAnsiTheme="minorHAnsi" w:cstheme="minorHAnsi"/>
          <w:bCs/>
          <w:color w:val="000000"/>
          <w:szCs w:val="22"/>
        </w:rPr>
        <w:t>Zudaire</w:t>
      </w:r>
      <w:proofErr w:type="spellEnd"/>
      <w:r w:rsidRPr="00B845AF">
        <w:rPr>
          <w:rFonts w:asciiTheme="minorHAnsi" w:hAnsiTheme="minorHAnsi" w:cstheme="minorHAnsi"/>
          <w:bCs/>
          <w:color w:val="000000"/>
          <w:szCs w:val="22"/>
        </w:rPr>
        <w:t xml:space="preserve">, J. Uranga, D. David, and P. Hamer. Progress Report </w:t>
      </w:r>
      <w:proofErr w:type="gramStart"/>
      <w:r w:rsidRPr="00B845AF">
        <w:rPr>
          <w:rFonts w:asciiTheme="minorHAnsi" w:hAnsiTheme="minorHAnsi" w:cstheme="minorHAnsi"/>
          <w:bCs/>
          <w:color w:val="000000"/>
          <w:szCs w:val="22"/>
        </w:rPr>
        <w:t>of</w:t>
      </w:r>
      <w:proofErr w:type="gramEnd"/>
      <w:r w:rsidRPr="00B845AF">
        <w:rPr>
          <w:rFonts w:asciiTheme="minorHAnsi" w:hAnsiTheme="minorHAnsi" w:cstheme="minorHAnsi"/>
          <w:bCs/>
          <w:color w:val="000000"/>
          <w:szCs w:val="22"/>
        </w:rPr>
        <w:t xml:space="preserve"> Project 110 and 110a: Non-entangling and Biodegradable FAD Trial in the Western and Central Pacific Ocean</w:t>
      </w:r>
    </w:p>
    <w:p w14:paraId="7AD7E7B1" w14:textId="77777777" w:rsidR="00D47778" w:rsidRPr="00B845AF" w:rsidRDefault="00D47778" w:rsidP="00D47778">
      <w:pPr>
        <w:jc w:val="both"/>
        <w:rPr>
          <w:rFonts w:asciiTheme="minorHAnsi" w:hAnsiTheme="minorHAnsi" w:cstheme="minorHAnsi"/>
          <w:bCs/>
          <w:color w:val="000000"/>
          <w:szCs w:val="22"/>
        </w:rPr>
      </w:pPr>
    </w:p>
    <w:p w14:paraId="47E05C39" w14:textId="77777777" w:rsidR="00D47778" w:rsidRPr="00B845AF" w:rsidRDefault="00D47778" w:rsidP="00D47778">
      <w:pPr>
        <w:keepNext/>
        <w:keepLines/>
        <w:tabs>
          <w:tab w:val="left" w:pos="720"/>
          <w:tab w:val="center" w:pos="2183"/>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053ED858" w14:textId="77777777" w:rsidR="00D47778" w:rsidRPr="00B845AF" w:rsidRDefault="00D47778" w:rsidP="00D47778">
      <w:pPr>
        <w:jc w:val="both"/>
        <w:rPr>
          <w:rFonts w:asciiTheme="minorHAnsi" w:eastAsia="Yu Mincho" w:hAnsiTheme="minorHAnsi" w:cstheme="minorHAnsi"/>
          <w:b/>
          <w:color w:val="000000"/>
          <w:szCs w:val="22"/>
          <w:u w:val="single"/>
          <w:lang w:eastAsia="ja-JP"/>
        </w:rPr>
      </w:pPr>
      <w:r w:rsidRPr="00B845AF">
        <w:rPr>
          <w:rFonts w:asciiTheme="minorHAnsi" w:eastAsia="Yu Mincho" w:hAnsiTheme="minorHAnsi" w:cstheme="minorHAnsi"/>
          <w:b/>
          <w:color w:val="000000"/>
          <w:szCs w:val="22"/>
          <w:u w:val="single"/>
          <w:lang w:eastAsia="ja-JP"/>
        </w:rPr>
        <w:t>Tuvalu</w:t>
      </w:r>
    </w:p>
    <w:p w14:paraId="56FE4F1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COMMENT: PNA and Vanuatu have the following comments on the paper WCPFC-SC22-2026-EB-WP02*</w:t>
      </w:r>
      <w:proofErr w:type="gramStart"/>
      <w:r w:rsidRPr="00B845AF">
        <w:rPr>
          <w:rFonts w:asciiTheme="minorHAnsi" w:hAnsiTheme="minorHAnsi" w:cstheme="minorHAnsi"/>
          <w:color w:val="000000"/>
          <w:szCs w:val="22"/>
          <w:lang w:eastAsia="ja-JP"/>
        </w:rPr>
        <w:t>*.*</w:t>
      </w:r>
      <w:proofErr w:type="gramEnd"/>
      <w:r w:rsidRPr="00B845AF">
        <w:rPr>
          <w:rFonts w:asciiTheme="minorHAnsi" w:hAnsiTheme="minorHAnsi" w:cstheme="minorHAnsi"/>
          <w:color w:val="000000"/>
          <w:szCs w:val="22"/>
          <w:lang w:eastAsia="ja-JP"/>
        </w:rPr>
        <w:t>*</w:t>
      </w:r>
    </w:p>
    <w:p w14:paraId="752CAB6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4DB9436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PNA and Vanuatu strongly support the work of Project 110. We thank SPC for leading the Project and thank all who have supported and contributed to the trials. We generally support the recommendations on the top of page 20 and the related Project set out in the Updated FAD Research Plan. We particularly support the focus in the recommendations on establishing arrangements for monitoring the use of biodegradable materials and clarifying the standards for biodegradability.</w:t>
      </w:r>
    </w:p>
    <w:p w14:paraId="575C635F"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E5D04E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On the recommendations:</w:t>
      </w:r>
    </w:p>
    <w:p w14:paraId="219135FC"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5AD0BCE4"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a) We suggest that the recommendation on relative catches in the 3rd dot point on the bottom of page 20 should be reworded for the SC Report to reflect more closely the data in Table 6. One option is to use the median data e.g. “The median catch per set for jelly-FADs was 25.5 mts/set compared to 43.5 mts/set for conventional FADs in the trial and 30.0 to 35.0 mts/set on conventional FADs for the entire WCPO fleet in 2023 to 2025”. Alternatively, the average data could be used.</w:t>
      </w:r>
    </w:p>
    <w:p w14:paraId="14EB6773"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25EC5A7B"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xml:space="preserve">b) PNA and Vanuatu have a particular concern about the issue of the availability of biodegradable FAD materials. The paper helpfully reports on page 8 that the lack of bamboo availability is a major challenge in using Majuro as a base port for non-entangling and biodegradable dFADs. We note that the same constraint applies to Funafuti, Tarawa and </w:t>
      </w:r>
      <w:proofErr w:type="gramStart"/>
      <w:r w:rsidRPr="00B845AF">
        <w:rPr>
          <w:rFonts w:asciiTheme="minorHAnsi" w:hAnsiTheme="minorHAnsi" w:cstheme="minorHAnsi"/>
          <w:color w:val="000000"/>
          <w:szCs w:val="22"/>
          <w:lang w:eastAsia="ja-JP"/>
        </w:rPr>
        <w:t>Kiritimati</w:t>
      </w:r>
      <w:proofErr w:type="gramEnd"/>
      <w:r w:rsidRPr="00B845AF">
        <w:rPr>
          <w:rFonts w:asciiTheme="minorHAnsi" w:hAnsiTheme="minorHAnsi" w:cstheme="minorHAnsi"/>
          <w:color w:val="000000"/>
          <w:szCs w:val="22"/>
          <w:lang w:eastAsia="ja-JP"/>
        </w:rPr>
        <w:t xml:space="preserve"> which are all major ports for the PNA purse seine fleets. We propose to add the following text to the 4th dot point in the recommendations on the bottom of page 20 for adoption by the SC.</w:t>
      </w:r>
    </w:p>
    <w:p w14:paraId="7757E0E5"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p>
    <w:p w14:paraId="015BA496" w14:textId="77777777" w:rsidR="00D47778" w:rsidRPr="00B845AF" w:rsidRDefault="00D47778" w:rsidP="00D47778">
      <w:pPr>
        <w:spacing w:after="5" w:line="248" w:lineRule="auto"/>
        <w:ind w:right="1"/>
        <w:jc w:val="both"/>
        <w:rPr>
          <w:rFonts w:asciiTheme="minorHAnsi" w:hAnsiTheme="minorHAnsi" w:cstheme="minorHAnsi"/>
          <w:color w:val="000000"/>
          <w:szCs w:val="22"/>
          <w:lang w:eastAsia="ja-JP"/>
        </w:rPr>
      </w:pPr>
      <w:r w:rsidRPr="00B845AF">
        <w:rPr>
          <w:rFonts w:asciiTheme="minorHAnsi" w:hAnsiTheme="minorHAnsi" w:cstheme="minorHAnsi"/>
          <w:color w:val="000000"/>
          <w:szCs w:val="22"/>
          <w:lang w:eastAsia="ja-JP"/>
        </w:rPr>
        <w:t>“… </w:t>
      </w:r>
      <w:r w:rsidRPr="00B845AF">
        <w:rPr>
          <w:rFonts w:asciiTheme="minorHAnsi" w:hAnsiTheme="minorHAnsi" w:cstheme="minorHAnsi"/>
          <w:i/>
          <w:iCs/>
          <w:color w:val="000000"/>
          <w:szCs w:val="22"/>
          <w:lang w:eastAsia="ja-JP"/>
        </w:rPr>
        <w:t>except that the lack of bamboo availability was identified in the trials as a major challenge in using atoll country ports as base ports for biodegradable dFADs. This may require consideration of alternative designs and some flexibility in the implementation of requirements for biodegradable FAD materials</w:t>
      </w:r>
      <w:r w:rsidRPr="00B845AF">
        <w:rPr>
          <w:rFonts w:asciiTheme="minorHAnsi" w:hAnsiTheme="minorHAnsi" w:cstheme="minorHAnsi"/>
          <w:color w:val="000000"/>
          <w:szCs w:val="22"/>
          <w:lang w:eastAsia="ja-JP"/>
        </w:rPr>
        <w:t>.”</w:t>
      </w:r>
    </w:p>
    <w:p w14:paraId="33C5B77B" w14:textId="77777777" w:rsidR="00D47778" w:rsidRPr="00B845AF" w:rsidRDefault="00D47778" w:rsidP="00D47778">
      <w:pPr>
        <w:jc w:val="both"/>
        <w:rPr>
          <w:rFonts w:asciiTheme="minorHAnsi" w:hAnsiTheme="minorHAnsi" w:cstheme="minorHAnsi"/>
          <w:bCs/>
          <w:color w:val="000000"/>
          <w:szCs w:val="22"/>
        </w:rPr>
      </w:pPr>
    </w:p>
    <w:p w14:paraId="431CAADF"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21.</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Proposal to Amend the ROP Minimum Standard Data Fields and SciData to Support Sea Turtle Conservation and Management</w:t>
      </w:r>
    </w:p>
    <w:p w14:paraId="3DD41367" w14:textId="77777777" w:rsidR="00D47778" w:rsidRPr="00B845AF" w:rsidRDefault="00D47778" w:rsidP="00D47778">
      <w:pPr>
        <w:ind w:left="374" w:hanging="370"/>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No questions or comments</w:t>
      </w:r>
    </w:p>
    <w:p w14:paraId="0BF9253F" w14:textId="77777777" w:rsidR="00D47778" w:rsidRPr="00B845AF" w:rsidRDefault="00D47778" w:rsidP="00D47778">
      <w:pPr>
        <w:ind w:left="374" w:hanging="370"/>
        <w:jc w:val="both"/>
        <w:rPr>
          <w:rFonts w:asciiTheme="minorHAnsi" w:eastAsia="Yu Mincho" w:hAnsiTheme="minorHAnsi" w:cstheme="minorHAnsi"/>
          <w:color w:val="000000"/>
          <w:szCs w:val="22"/>
          <w:lang w:eastAsia="ja-JP"/>
        </w:rPr>
      </w:pPr>
    </w:p>
    <w:p w14:paraId="701698A8"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22.</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Ecosystem and Climate Indicators (Project 121)</w:t>
      </w:r>
    </w:p>
    <w:p w14:paraId="2DEB5CC5" w14:textId="77777777" w:rsidR="00D47778" w:rsidRPr="00B845AF" w:rsidRDefault="00D47778" w:rsidP="00D47778">
      <w:pPr>
        <w:ind w:left="374" w:hanging="370"/>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b/>
          <w:bCs/>
          <w:color w:val="000000"/>
          <w:szCs w:val="22"/>
          <w:lang w:eastAsia="ja-JP"/>
        </w:rPr>
        <w:t xml:space="preserve">Related papers: </w:t>
      </w:r>
      <w:hyperlink r:id="rId164" w:history="1">
        <w:r w:rsidRPr="00B845AF">
          <w:rPr>
            <w:rFonts w:asciiTheme="minorHAnsi" w:eastAsia="Yu Mincho" w:hAnsiTheme="minorHAnsi" w:cstheme="minorHAnsi"/>
            <w:color w:val="0563C1"/>
            <w:szCs w:val="22"/>
            <w:u w:val="single"/>
            <w:lang w:eastAsia="ja-JP"/>
          </w:rPr>
          <w:t>WCPFC-SC22-2026-EB-IP01</w:t>
        </w:r>
      </w:hyperlink>
      <w:r w:rsidRPr="00B845AF">
        <w:rPr>
          <w:rFonts w:asciiTheme="minorHAnsi" w:eastAsia="Yu Mincho" w:hAnsiTheme="minorHAnsi" w:cstheme="minorHAnsi"/>
          <w:color w:val="000000"/>
          <w:szCs w:val="22"/>
          <w:lang w:eastAsia="ja-JP"/>
        </w:rPr>
        <w:t> : SPC-OFP, CSIRO. Project 121 Update: Ecosystem and Climate</w:t>
      </w:r>
    </w:p>
    <w:p w14:paraId="3952AF3C" w14:textId="77777777" w:rsidR="00D47778" w:rsidRPr="00B845AF" w:rsidRDefault="00D47778" w:rsidP="00D47778">
      <w:pPr>
        <w:ind w:left="374" w:hanging="370"/>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Indicators of the western and central Pacific Ocean</w:t>
      </w:r>
    </w:p>
    <w:p w14:paraId="34195715" w14:textId="77777777" w:rsidR="00D47778" w:rsidRPr="00B845AF" w:rsidRDefault="00D47778" w:rsidP="00D47778">
      <w:pPr>
        <w:ind w:left="374" w:hanging="370"/>
        <w:jc w:val="both"/>
        <w:rPr>
          <w:rFonts w:asciiTheme="minorHAnsi" w:eastAsia="Yu Mincho" w:hAnsiTheme="minorHAnsi" w:cstheme="minorHAnsi"/>
          <w:color w:val="000000"/>
          <w:szCs w:val="22"/>
          <w:lang w:eastAsia="ja-JP"/>
        </w:rPr>
      </w:pPr>
    </w:p>
    <w:p w14:paraId="4B2E82A4" w14:textId="77777777" w:rsidR="00D47778" w:rsidRPr="00B845AF" w:rsidRDefault="00D47778" w:rsidP="00D47778">
      <w:pPr>
        <w:keepNext/>
        <w:keepLines/>
        <w:tabs>
          <w:tab w:val="left" w:pos="720"/>
          <w:tab w:val="center" w:pos="2183"/>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5256A864" w14:textId="77777777" w:rsidR="00D47778" w:rsidRPr="00B845AF" w:rsidRDefault="00D47778" w:rsidP="00D47778">
      <w:pPr>
        <w:ind w:left="374" w:hanging="370"/>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USA</w:t>
      </w:r>
    </w:p>
    <w:p w14:paraId="6186E3DC"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U.S. appreciates the continued work on these important indicators and recommends that the authors switch from ONI to the RONI (</w:t>
      </w:r>
      <w:hyperlink r:id="rId165" w:history="1">
        <w:r w:rsidRPr="00B845AF">
          <w:rPr>
            <w:rFonts w:asciiTheme="minorHAnsi" w:eastAsia="Yu Mincho" w:hAnsiTheme="minorHAnsi" w:cstheme="minorHAnsi"/>
            <w:color w:val="0563C1"/>
            <w:szCs w:val="22"/>
            <w:u w:val="single"/>
            <w:lang w:eastAsia="ja-JP"/>
          </w:rPr>
          <w:t>https://www.cpc.ncep.noaa.gov/products/analysis_monitoring/enso/roni/</w:t>
        </w:r>
      </w:hyperlink>
      <w:r w:rsidRPr="00B845AF">
        <w:rPr>
          <w:rFonts w:asciiTheme="minorHAnsi" w:eastAsia="Yu Mincho" w:hAnsiTheme="minorHAnsi" w:cstheme="minorHAnsi"/>
          <w:color w:val="000000"/>
          <w:szCs w:val="22"/>
          <w:lang w:eastAsia="ja-JP"/>
        </w:rPr>
        <w:t xml:space="preserve">) next year as that is the new NOAA official ENSO index that replaces the ONI. Additionally, regarding the </w:t>
      </w:r>
      <w:r w:rsidRPr="00B845AF">
        <w:rPr>
          <w:rFonts w:asciiTheme="minorHAnsi" w:eastAsia="Yu Mincho" w:hAnsiTheme="minorHAnsi" w:cstheme="minorHAnsi"/>
          <w:color w:val="000000"/>
          <w:szCs w:val="22"/>
          <w:lang w:eastAsia="ja-JP"/>
        </w:rPr>
        <w:lastRenderedPageBreak/>
        <w:t>reference to </w:t>
      </w:r>
      <w:hyperlink r:id="rId166" w:history="1">
        <w:r w:rsidRPr="00B845AF">
          <w:rPr>
            <w:rFonts w:asciiTheme="minorHAnsi" w:eastAsia="Yu Mincho" w:hAnsiTheme="minorHAnsi" w:cstheme="minorHAnsi"/>
            <w:color w:val="0563C1"/>
            <w:szCs w:val="22"/>
            <w:u w:val="single"/>
            <w:lang w:eastAsia="ja-JP"/>
          </w:rPr>
          <w:t>www.climate.gov/climatedashboard</w:t>
        </w:r>
      </w:hyperlink>
      <w:r w:rsidRPr="00B845AF">
        <w:rPr>
          <w:rFonts w:asciiTheme="minorHAnsi" w:eastAsia="Yu Mincho" w:hAnsiTheme="minorHAnsi" w:cstheme="minorHAnsi"/>
          <w:color w:val="000000"/>
          <w:szCs w:val="22"/>
          <w:lang w:eastAsia="ja-JP"/>
        </w:rPr>
        <w:t> in the ENSO section, the U.S. notes that this is now an archived website that is not updated, suggesting a change in this reference moving forward.</w:t>
      </w:r>
    </w:p>
    <w:p w14:paraId="0EE05F78"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50BB2B53"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23.</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Implementation of the Ecosystem Approach to Fisheries Management in tuna RFMOs</w:t>
      </w:r>
    </w:p>
    <w:p w14:paraId="3779F9DA"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No questions or comments</w:t>
      </w:r>
    </w:p>
    <w:p w14:paraId="5D72ECD8"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1CF513B5"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24.</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Development of early warning tools and expanded climate impact assessments</w:t>
      </w:r>
    </w:p>
    <w:p w14:paraId="0101B630"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No questions or comments</w:t>
      </w:r>
    </w:p>
    <w:p w14:paraId="39B70217"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3CD7FE1B"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25.</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 xml:space="preserve">Updated assessment of Black-footed Albatross </w:t>
      </w:r>
      <w:proofErr w:type="gramStart"/>
      <w:r w:rsidRPr="00B845AF">
        <w:rPr>
          <w:rFonts w:asciiTheme="minorHAnsi" w:hAnsiTheme="minorHAnsi" w:cstheme="minorHAnsi"/>
          <w:b/>
          <w:color w:val="000000"/>
          <w:szCs w:val="22"/>
        </w:rPr>
        <w:t>overlap</w:t>
      </w:r>
      <w:proofErr w:type="gramEnd"/>
      <w:r w:rsidRPr="00B845AF">
        <w:rPr>
          <w:rFonts w:asciiTheme="minorHAnsi" w:hAnsiTheme="minorHAnsi" w:cstheme="minorHAnsi"/>
          <w:b/>
          <w:color w:val="000000"/>
          <w:szCs w:val="22"/>
        </w:rPr>
        <w:t xml:space="preserve"> with pelagic longline fisheries in the North Pacific</w:t>
      </w:r>
    </w:p>
    <w:p w14:paraId="453C1744"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b/>
          <w:bCs/>
          <w:color w:val="000000"/>
          <w:szCs w:val="22"/>
          <w:lang w:eastAsia="ja-JP"/>
        </w:rPr>
        <w:t xml:space="preserve">Related papers: </w:t>
      </w:r>
      <w:hyperlink r:id="rId167" w:history="1">
        <w:r w:rsidRPr="00B845AF">
          <w:rPr>
            <w:rFonts w:asciiTheme="minorHAnsi" w:eastAsia="Yu Mincho" w:hAnsiTheme="minorHAnsi" w:cstheme="minorHAnsi"/>
            <w:color w:val="0563C1"/>
            <w:szCs w:val="22"/>
            <w:u w:val="single"/>
            <w:lang w:eastAsia="ja-JP"/>
          </w:rPr>
          <w:t>WCPFC-SC22-2026-EB-IP16</w:t>
        </w:r>
      </w:hyperlink>
      <w:r w:rsidRPr="00B845AF">
        <w:rPr>
          <w:rFonts w:asciiTheme="minorHAnsi" w:eastAsia="Yu Mincho" w:hAnsiTheme="minorHAnsi" w:cstheme="minorHAnsi"/>
          <w:color w:val="000000"/>
          <w:szCs w:val="22"/>
          <w:lang w:eastAsia="ja-JP"/>
        </w:rPr>
        <w:t>: Thomas A. Clay, Alyssa Piauwasdy, Michelle Hester, Jessie Beck, Scott A. Shaffer, André F. Raine, K. David Hyrenbach. Updated assessment of Black-footed Albatross </w:t>
      </w:r>
      <w:proofErr w:type="spellStart"/>
      <w:r w:rsidRPr="00B845AF">
        <w:rPr>
          <w:rFonts w:asciiTheme="minorHAnsi" w:eastAsia="Yu Mincho" w:hAnsiTheme="minorHAnsi" w:cstheme="minorHAnsi"/>
          <w:i/>
          <w:iCs/>
          <w:color w:val="000000"/>
          <w:szCs w:val="22"/>
          <w:lang w:eastAsia="ja-JP"/>
        </w:rPr>
        <w:t>Phoebastria</w:t>
      </w:r>
      <w:proofErr w:type="spellEnd"/>
      <w:r w:rsidRPr="00B845AF">
        <w:rPr>
          <w:rFonts w:asciiTheme="minorHAnsi" w:eastAsia="Yu Mincho" w:hAnsiTheme="minorHAnsi" w:cstheme="minorHAnsi"/>
          <w:i/>
          <w:iCs/>
          <w:color w:val="000000"/>
          <w:szCs w:val="22"/>
          <w:lang w:eastAsia="ja-JP"/>
        </w:rPr>
        <w:t xml:space="preserve"> nigripes</w:t>
      </w:r>
      <w:r w:rsidRPr="00B845AF">
        <w:rPr>
          <w:rFonts w:asciiTheme="minorHAnsi" w:eastAsia="Yu Mincho" w:hAnsiTheme="minorHAnsi" w:cstheme="minorHAnsi"/>
          <w:color w:val="000000"/>
          <w:szCs w:val="22"/>
          <w:lang w:eastAsia="ja-JP"/>
        </w:rPr>
        <w:t> overlap with pelagic longline fisheries in the North Pacific</w:t>
      </w:r>
    </w:p>
    <w:p w14:paraId="2D557428"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4255DDF3" w14:textId="77777777" w:rsidR="00D47778" w:rsidRPr="00B845AF" w:rsidRDefault="00D47778" w:rsidP="00D47778">
      <w:pPr>
        <w:keepNext/>
        <w:keepLines/>
        <w:tabs>
          <w:tab w:val="left" w:pos="720"/>
          <w:tab w:val="center" w:pos="2183"/>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73308EB0" w14:textId="77777777" w:rsidR="00D47778" w:rsidRPr="00B845AF" w:rsidRDefault="00D47778" w:rsidP="00D47778">
      <w:pPr>
        <w:ind w:left="4"/>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Birdlife International</w:t>
      </w:r>
    </w:p>
    <w:p w14:paraId="28DEE6DB"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Paper IP16 presents new comprehensive tracking data, encompassing 84% of the global breeding population of the Black-footed Albatross illustrates that 97% of its overlap with WCPFC vessels occurs north of 23°N making the effectiveness of this Commission’s mitigation measures the primary determinant for reducing mortality.</w:t>
      </w:r>
    </w:p>
    <w:p w14:paraId="0A4B2F36"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015EE152"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BirdLife is concerned by Members operating north of 23°N, who have reported very high seabird bycatch rates. The current provisions of CMM 2025-05 for the Northern Hemisphere are unchanged and include measures, such as blue-dyed bait, for which there is limited evidence of effectiveness.</w:t>
      </w:r>
    </w:p>
    <w:p w14:paraId="2FF6AAD5"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25046F05" w14:textId="6A2184D7" w:rsidR="00D47778" w:rsidRPr="00B845AF" w:rsidRDefault="00D47778" w:rsidP="00D47778">
      <w:pPr>
        <w:ind w:left="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While we appreciate the efforts of the Commission to amend the Seabird CMM last year for the southern hemisphere; however, BirdLife </w:t>
      </w:r>
      <w:proofErr w:type="spellStart"/>
      <w:r w:rsidRPr="00B845AF">
        <w:rPr>
          <w:rFonts w:asciiTheme="minorHAnsi" w:eastAsia="Yu Mincho" w:hAnsiTheme="minorHAnsi" w:cstheme="minorHAnsi"/>
          <w:bCs/>
          <w:color w:val="000000"/>
          <w:szCs w:val="22"/>
          <w:lang w:eastAsia="ja-JP"/>
        </w:rPr>
        <w:t>emphasises</w:t>
      </w:r>
      <w:proofErr w:type="spellEnd"/>
      <w:r w:rsidRPr="00B845AF">
        <w:rPr>
          <w:rFonts w:asciiTheme="minorHAnsi" w:eastAsia="Yu Mincho" w:hAnsiTheme="minorHAnsi" w:cstheme="minorHAnsi"/>
          <w:bCs/>
          <w:color w:val="000000"/>
          <w:szCs w:val="22"/>
          <w:lang w:eastAsia="ja-JP"/>
        </w:rPr>
        <w:t xml:space="preserve"> that the SC must urgently address aligning measures for North of 23N in CMM 2025-05 with ACAP best-practice advice. The analysis has already been completed by New Zealand, and recommendations made for amendments for this fishing area. We encourage the SC to recommend these be adopted to address excessive seabird bycatch in the North Pacific.</w:t>
      </w:r>
    </w:p>
    <w:p w14:paraId="3623D64A"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17E0B14F"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26.</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Single region fleets as areas models for bigeye and yellowfin tuna in the WCPO</w:t>
      </w:r>
    </w:p>
    <w:p w14:paraId="21FEEC62"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No questions or comments</w:t>
      </w:r>
    </w:p>
    <w:p w14:paraId="4BBF266B"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7F31C743"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27.</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Impacts of regional growth variation on the 2023 bigeye tuna stock assessment</w:t>
      </w:r>
    </w:p>
    <w:p w14:paraId="33B640DD"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No questions or comments</w:t>
      </w:r>
    </w:p>
    <w:p w14:paraId="71E32AEF"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32F30C0F" w14:textId="77777777" w:rsidR="00D47778" w:rsidRPr="00B845AF" w:rsidRDefault="00D47778" w:rsidP="00D77543">
      <w:pPr>
        <w:keepNext/>
        <w:keepLines/>
        <w:pBdr>
          <w:top w:val="single" w:sz="4" w:space="1" w:color="auto"/>
          <w:bottom w:val="single" w:sz="4" w:space="1" w:color="auto"/>
        </w:pBdr>
        <w:tabs>
          <w:tab w:val="left" w:pos="1440"/>
        </w:tabs>
        <w:spacing w:after="9" w:line="248" w:lineRule="auto"/>
        <w:ind w:left="10" w:right="1"/>
        <w:outlineLvl w:val="0"/>
        <w:rPr>
          <w:rFonts w:asciiTheme="minorHAnsi" w:hAnsiTheme="minorHAnsi" w:cstheme="minorHAnsi"/>
          <w:b/>
          <w:color w:val="000000"/>
          <w:szCs w:val="22"/>
        </w:rPr>
      </w:pPr>
      <w:r w:rsidRPr="00B845AF">
        <w:rPr>
          <w:rFonts w:asciiTheme="minorHAnsi" w:hAnsiTheme="minorHAnsi" w:cstheme="minorHAnsi"/>
          <w:b/>
          <w:color w:val="000000"/>
          <w:szCs w:val="22"/>
        </w:rPr>
        <w:t>TOPIC 28.</w:t>
      </w:r>
      <w:r w:rsidRPr="00B845AF">
        <w:rPr>
          <w:rFonts w:asciiTheme="minorHAnsi" w:eastAsia="Arial" w:hAnsiTheme="minorHAnsi" w:cstheme="minorHAnsi"/>
          <w:b/>
          <w:color w:val="000000"/>
          <w:szCs w:val="22"/>
        </w:rPr>
        <w:t xml:space="preserve"> </w:t>
      </w:r>
      <w:r w:rsidRPr="00B845AF">
        <w:rPr>
          <w:rFonts w:asciiTheme="minorHAnsi" w:eastAsia="Arial" w:hAnsiTheme="minorHAnsi" w:cstheme="minorHAnsi"/>
          <w:b/>
          <w:color w:val="000000"/>
          <w:szCs w:val="22"/>
        </w:rPr>
        <w:tab/>
      </w:r>
      <w:r w:rsidRPr="00B845AF">
        <w:rPr>
          <w:rFonts w:asciiTheme="minorHAnsi" w:hAnsiTheme="minorHAnsi" w:cstheme="minorHAnsi"/>
          <w:b/>
          <w:color w:val="000000"/>
          <w:szCs w:val="22"/>
        </w:rPr>
        <w:t>Update and workplan on FAD Research</w:t>
      </w:r>
    </w:p>
    <w:p w14:paraId="31227165"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b/>
          <w:bCs/>
          <w:color w:val="000000"/>
          <w:szCs w:val="22"/>
          <w:lang w:eastAsia="ja-JP"/>
        </w:rPr>
        <w:t xml:space="preserve">Related papers: </w:t>
      </w:r>
      <w:hyperlink r:id="rId168" w:history="1">
        <w:r w:rsidRPr="00B845AF">
          <w:rPr>
            <w:rFonts w:asciiTheme="minorHAnsi" w:eastAsia="Yu Mincho" w:hAnsiTheme="minorHAnsi" w:cstheme="minorHAnsi"/>
            <w:color w:val="0563C1"/>
            <w:szCs w:val="22"/>
            <w:u w:val="single"/>
            <w:lang w:eastAsia="ja-JP"/>
          </w:rPr>
          <w:t>WCPFC-SC22-2026-EB-IP06_Rev01</w:t>
        </w:r>
      </w:hyperlink>
      <w:r w:rsidRPr="00B845AF">
        <w:rPr>
          <w:rFonts w:asciiTheme="minorHAnsi" w:eastAsia="Yu Mincho" w:hAnsiTheme="minorHAnsi" w:cstheme="minorHAnsi"/>
          <w:color w:val="000000"/>
          <w:szCs w:val="22"/>
          <w:lang w:eastAsia="ja-JP"/>
        </w:rPr>
        <w:t xml:space="preserve">: Lauriane Escalle, Jennyfer Mourot and Paul </w:t>
      </w:r>
      <w:proofErr w:type="spellStart"/>
      <w:r w:rsidRPr="00B845AF">
        <w:rPr>
          <w:rFonts w:asciiTheme="minorHAnsi" w:eastAsia="Yu Mincho" w:hAnsiTheme="minorHAnsi" w:cstheme="minorHAnsi"/>
          <w:color w:val="000000"/>
          <w:szCs w:val="22"/>
          <w:lang w:eastAsia="ja-JP"/>
        </w:rPr>
        <w:t>Hamer.Update</w:t>
      </w:r>
      <w:proofErr w:type="spellEnd"/>
      <w:r w:rsidRPr="00B845AF">
        <w:rPr>
          <w:rFonts w:asciiTheme="minorHAnsi" w:eastAsia="Yu Mincho" w:hAnsiTheme="minorHAnsi" w:cstheme="minorHAnsi"/>
          <w:color w:val="000000"/>
          <w:szCs w:val="22"/>
          <w:lang w:eastAsia="ja-JP"/>
        </w:rPr>
        <w:t xml:space="preserve"> and workplan on FAD Research</w:t>
      </w:r>
    </w:p>
    <w:p w14:paraId="1164F048"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6862C3A9" w14:textId="77777777" w:rsidR="00D47778" w:rsidRPr="00B845AF" w:rsidRDefault="00D47778" w:rsidP="00D47778">
      <w:pPr>
        <w:keepNext/>
        <w:keepLines/>
        <w:tabs>
          <w:tab w:val="left" w:pos="720"/>
          <w:tab w:val="center" w:pos="2183"/>
        </w:tabs>
        <w:spacing w:after="9"/>
        <w:ind w:left="-1"/>
        <w:outlineLvl w:val="1"/>
        <w:rPr>
          <w:rFonts w:asciiTheme="minorHAnsi" w:hAnsiTheme="minorHAnsi" w:cstheme="minorHAnsi"/>
          <w:b/>
          <w:color w:val="000000"/>
          <w:szCs w:val="22"/>
        </w:rPr>
      </w:pPr>
      <w:r w:rsidRPr="00B845AF">
        <w:rPr>
          <w:rFonts w:asciiTheme="minorHAnsi" w:hAnsiTheme="minorHAnsi" w:cstheme="minorHAnsi"/>
          <w:b/>
          <w:color w:val="000000"/>
          <w:szCs w:val="22"/>
        </w:rPr>
        <w:t xml:space="preserve">Questions and Comments </w:t>
      </w:r>
    </w:p>
    <w:p w14:paraId="2FF90B81" w14:textId="77777777" w:rsidR="00D47778" w:rsidRPr="00B845AF" w:rsidRDefault="00D47778" w:rsidP="00D47778">
      <w:pPr>
        <w:ind w:left="4"/>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USA</w:t>
      </w:r>
    </w:p>
    <w:p w14:paraId="003B16EE"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lastRenderedPageBreak/>
        <w:t>The United States appreciates the comprehensive work and SPC’s leadership in advancing the viability of an eventual transition to more biodegradable components to the expanding dFAD industry in both the EPO and WCPO.</w:t>
      </w:r>
    </w:p>
    <w:p w14:paraId="75EB4B60"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5EB79471"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Regarding future research, the US is supportive of the collaborative work of SPC and ISSF regarding WCPFC Projects 110 and 110a to conduct trials of non-entangling and biodegradable dFADs in the WCPO. Additional data will allow for more robust comparisons of material performance. We also encourage continued collaboration with industry to test biodegradable materials and designs with assistance from SPC to lead their transition through advice, trainings/ workshops and scientific analyses of the performance of dFADs.</w:t>
      </w:r>
    </w:p>
    <w:p w14:paraId="43C690F0"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33B31184"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The US is interested in the project to assess the feasibility and cost-effectiveness of a range of different dFAD recovery options to reduce the environmental and economic costs of lost, stranded and abandoned dFADs.</w:t>
      </w:r>
    </w:p>
    <w:p w14:paraId="77B3D5FB"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49250701" w14:textId="77777777" w:rsidR="00D47778" w:rsidRPr="00B845AF" w:rsidRDefault="00D47778" w:rsidP="00D47778">
      <w:pPr>
        <w:ind w:left="4"/>
        <w:jc w:val="both"/>
        <w:rPr>
          <w:rFonts w:asciiTheme="minorHAnsi" w:eastAsia="Yu Mincho" w:hAnsiTheme="minorHAnsi" w:cstheme="minorHAnsi"/>
          <w:color w:val="000000"/>
          <w:szCs w:val="22"/>
          <w:lang w:eastAsia="ja-JP"/>
        </w:rPr>
      </w:pPr>
      <w:r w:rsidRPr="00B845AF">
        <w:rPr>
          <w:rFonts w:asciiTheme="minorHAnsi" w:eastAsia="Yu Mincho" w:hAnsiTheme="minorHAnsi" w:cstheme="minorHAnsi"/>
          <w:color w:val="000000"/>
          <w:szCs w:val="22"/>
          <w:lang w:eastAsia="ja-JP"/>
        </w:rPr>
        <w:t xml:space="preserve">As a note, our industry believes there is merit in pursuing all the options presented, however the following two are believed to be most successful: Option3 (yet noting the importance </w:t>
      </w:r>
      <w:proofErr w:type="gramStart"/>
      <w:r w:rsidRPr="00B845AF">
        <w:rPr>
          <w:rFonts w:asciiTheme="minorHAnsi" w:eastAsia="Yu Mincho" w:hAnsiTheme="minorHAnsi" w:cstheme="minorHAnsi"/>
          <w:color w:val="000000"/>
          <w:szCs w:val="22"/>
          <w:lang w:eastAsia="ja-JP"/>
        </w:rPr>
        <w:t>to identify</w:t>
      </w:r>
      <w:proofErr w:type="gramEnd"/>
      <w:r w:rsidRPr="00B845AF">
        <w:rPr>
          <w:rFonts w:asciiTheme="minorHAnsi" w:eastAsia="Yu Mincho" w:hAnsiTheme="minorHAnsi" w:cstheme="minorHAnsi"/>
          <w:color w:val="000000"/>
          <w:szCs w:val="22"/>
          <w:lang w:eastAsia="ja-JP"/>
        </w:rPr>
        <w:t xml:space="preserve"> the most vulnerable areas and focus efforts in these areas) and Option 5.</w:t>
      </w:r>
    </w:p>
    <w:p w14:paraId="2C8A7EEA" w14:textId="77777777" w:rsidR="00D47778" w:rsidRPr="00B845AF" w:rsidRDefault="00D47778" w:rsidP="00D47778">
      <w:pPr>
        <w:ind w:left="4"/>
        <w:jc w:val="both"/>
        <w:rPr>
          <w:rFonts w:asciiTheme="minorHAnsi" w:eastAsia="Yu Mincho" w:hAnsiTheme="minorHAnsi" w:cstheme="minorHAnsi"/>
          <w:color w:val="000000"/>
          <w:szCs w:val="22"/>
          <w:lang w:eastAsia="ja-JP"/>
        </w:rPr>
      </w:pPr>
    </w:p>
    <w:p w14:paraId="5833B0C5" w14:textId="77777777" w:rsidR="00D47778" w:rsidRPr="00B845AF" w:rsidRDefault="00D47778" w:rsidP="00D47778">
      <w:pPr>
        <w:ind w:left="4"/>
        <w:jc w:val="both"/>
        <w:rPr>
          <w:rFonts w:asciiTheme="minorHAnsi" w:eastAsia="Yu Mincho" w:hAnsiTheme="minorHAnsi" w:cstheme="minorHAnsi"/>
          <w:b/>
          <w:bCs/>
          <w:color w:val="000000"/>
          <w:szCs w:val="22"/>
          <w:u w:val="single"/>
          <w:lang w:eastAsia="ja-JP"/>
        </w:rPr>
      </w:pPr>
      <w:r w:rsidRPr="00B845AF">
        <w:rPr>
          <w:rFonts w:asciiTheme="minorHAnsi" w:eastAsia="Yu Mincho" w:hAnsiTheme="minorHAnsi" w:cstheme="minorHAnsi"/>
          <w:b/>
          <w:bCs/>
          <w:color w:val="000000"/>
          <w:szCs w:val="22"/>
          <w:u w:val="single"/>
          <w:lang w:eastAsia="ja-JP"/>
        </w:rPr>
        <w:t>Tuvalu</w:t>
      </w:r>
    </w:p>
    <w:p w14:paraId="521166A2"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PNA and Vanuatu thank SPC for the Update and Workplan on FAD research and the value of the ongoing programme of work of FAD Research We broadly support the Plan, including the list of papers for SC23, the proposed workplan for 2027-28, and the TORs in Appendix 2 with a few comments as set out below. We attach high priority to further analysis of FAD buoy transmission data and to further work on biodegradable FADs including clarifying the standards for biodegradable materials. We also support the priority attached to work on stranding and FAD recovery, particularly the work on monitoring and mitigating the impact of FADs outside the main fishing grounds and the valuable support provided by SPC to local FAD recovery programmes.</w:t>
      </w:r>
    </w:p>
    <w:p w14:paraId="009B325E"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5CE7E7A2"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PNA and Vanuatu have 4 further comments on elements of the Workplan.</w:t>
      </w:r>
    </w:p>
    <w:p w14:paraId="47AE277D" w14:textId="77777777" w:rsidR="00D47778" w:rsidRPr="00B845AF" w:rsidRDefault="00D47778" w:rsidP="00D47778">
      <w:pPr>
        <w:ind w:left="4"/>
        <w:jc w:val="both"/>
        <w:rPr>
          <w:rFonts w:asciiTheme="minorHAnsi" w:eastAsia="Yu Mincho" w:hAnsiTheme="minorHAnsi" w:cstheme="minorHAnsi"/>
          <w:bCs/>
          <w:color w:val="000000"/>
          <w:szCs w:val="22"/>
          <w:lang w:eastAsia="ja-JP"/>
        </w:rPr>
      </w:pPr>
    </w:p>
    <w:p w14:paraId="7F2DD274" w14:textId="77777777" w:rsidR="00D47778" w:rsidRPr="00B845AF" w:rsidRDefault="00D47778" w:rsidP="00D47778">
      <w:pPr>
        <w:numPr>
          <w:ilvl w:val="0"/>
          <w:numId w:val="48"/>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We suggest the Workplan could include preparation of a set of FAD fishery related indicators. PNA and Vanuatu would welcome SPC providing a proposal for the development of a set of FAD fishery indicators to SC23.</w:t>
      </w:r>
    </w:p>
    <w:p w14:paraId="1BEFA980" w14:textId="77777777" w:rsidR="00D47778" w:rsidRPr="00B845AF" w:rsidRDefault="00D47778" w:rsidP="00D47778">
      <w:pPr>
        <w:numPr>
          <w:ilvl w:val="0"/>
          <w:numId w:val="48"/>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 xml:space="preserve">Secondly, PNA and Vanuatu </w:t>
      </w:r>
      <w:proofErr w:type="gramStart"/>
      <w:r w:rsidRPr="00B845AF">
        <w:rPr>
          <w:rFonts w:asciiTheme="minorHAnsi" w:eastAsia="Yu Mincho" w:hAnsiTheme="minorHAnsi" w:cstheme="minorHAnsi"/>
          <w:bCs/>
          <w:color w:val="000000"/>
          <w:szCs w:val="22"/>
          <w:lang w:eastAsia="ja-JP"/>
        </w:rPr>
        <w:t>are not able to</w:t>
      </w:r>
      <w:proofErr w:type="gramEnd"/>
      <w:r w:rsidRPr="00B845AF">
        <w:rPr>
          <w:rFonts w:asciiTheme="minorHAnsi" w:eastAsia="Yu Mincho" w:hAnsiTheme="minorHAnsi" w:cstheme="minorHAnsi"/>
          <w:bCs/>
          <w:color w:val="000000"/>
          <w:szCs w:val="22"/>
          <w:lang w:eastAsia="ja-JP"/>
        </w:rPr>
        <w:t xml:space="preserve"> support the work on the legal framework referred to on page 7 being continued within the FAD Research Workplan. We appreciate that this work is being done for SPC Members and not the Commission and is valuable for that purpose. From the preliminary results presented at SC21, it seems that the work is based on legal opinions that are not consistent with applicable national laws and international law. We request that work on the legal framework should not be considered as endorsed by the Commission or part of the Workplan for the Commission.</w:t>
      </w:r>
    </w:p>
    <w:p w14:paraId="544642A1" w14:textId="77777777" w:rsidR="00D47778" w:rsidRPr="00B845AF" w:rsidRDefault="00D47778" w:rsidP="00D47778">
      <w:pPr>
        <w:numPr>
          <w:ilvl w:val="0"/>
          <w:numId w:val="48"/>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t>PNA and Vanuatu support the suggested papers for SC23, including the proposed SC23 paper on mitigation of FAD impacts. We appreciate that the proposed work is focused outside the main fishing grounds and support that focus. We consider it may be a bit early to be looking for recommendations on that work and suggest the text on page 12 should refer to “</w:t>
      </w:r>
      <w:r w:rsidRPr="00B845AF">
        <w:rPr>
          <w:rFonts w:asciiTheme="minorHAnsi" w:eastAsia="Yu Mincho" w:hAnsiTheme="minorHAnsi" w:cstheme="minorHAnsi"/>
          <w:bCs/>
          <w:i/>
          <w:iCs/>
          <w:color w:val="000000"/>
          <w:szCs w:val="22"/>
          <w:lang w:eastAsia="ja-JP"/>
        </w:rPr>
        <w:t>further analysis of mitigation strategies</w:t>
      </w:r>
      <w:r w:rsidRPr="00B845AF">
        <w:rPr>
          <w:rFonts w:asciiTheme="minorHAnsi" w:eastAsia="Yu Mincho" w:hAnsiTheme="minorHAnsi" w:cstheme="minorHAnsi"/>
          <w:bCs/>
          <w:color w:val="000000"/>
          <w:szCs w:val="22"/>
          <w:lang w:eastAsia="ja-JP"/>
        </w:rPr>
        <w:t>” rather than </w:t>
      </w:r>
      <w:r w:rsidRPr="00B845AF">
        <w:rPr>
          <w:rFonts w:asciiTheme="minorHAnsi" w:eastAsia="Yu Mincho" w:hAnsiTheme="minorHAnsi" w:cstheme="minorHAnsi"/>
          <w:bCs/>
          <w:i/>
          <w:iCs/>
          <w:color w:val="000000"/>
          <w:szCs w:val="22"/>
          <w:lang w:eastAsia="ja-JP"/>
        </w:rPr>
        <w:t>“recommendations for mitigation strategies”</w:t>
      </w:r>
      <w:r w:rsidRPr="00B845AF">
        <w:rPr>
          <w:rFonts w:asciiTheme="minorHAnsi" w:eastAsia="Yu Mincho" w:hAnsiTheme="minorHAnsi" w:cstheme="minorHAnsi"/>
          <w:bCs/>
          <w:color w:val="000000"/>
          <w:szCs w:val="22"/>
          <w:lang w:eastAsia="ja-JP"/>
        </w:rPr>
        <w:t>.</w:t>
      </w:r>
    </w:p>
    <w:p w14:paraId="2676FDFF" w14:textId="77777777" w:rsidR="00D47778" w:rsidRPr="00B845AF" w:rsidRDefault="00D47778" w:rsidP="00D47778">
      <w:pPr>
        <w:numPr>
          <w:ilvl w:val="0"/>
          <w:numId w:val="48"/>
        </w:numPr>
        <w:spacing w:after="5" w:line="248" w:lineRule="auto"/>
        <w:ind w:right="1"/>
        <w:jc w:val="both"/>
        <w:rPr>
          <w:rFonts w:asciiTheme="minorHAnsi" w:eastAsia="Yu Mincho" w:hAnsiTheme="minorHAnsi" w:cstheme="minorHAnsi"/>
          <w:bCs/>
          <w:color w:val="000000"/>
          <w:szCs w:val="22"/>
          <w:lang w:eastAsia="ja-JP"/>
        </w:rPr>
      </w:pPr>
      <w:r w:rsidRPr="00B845AF">
        <w:rPr>
          <w:rFonts w:asciiTheme="minorHAnsi" w:eastAsia="Yu Mincho" w:hAnsiTheme="minorHAnsi" w:cstheme="minorHAnsi"/>
          <w:bCs/>
          <w:color w:val="000000"/>
          <w:szCs w:val="22"/>
          <w:lang w:eastAsia="ja-JP"/>
        </w:rPr>
        <w:lastRenderedPageBreak/>
        <w:t>On the assessment of FAD use per vessel, we suggest priority on analysis of deployments rather than active FAD buoys monitored per vessel. With the improved coverage of the FAD buoy tracking data, we hope it will be possible to prepare some reasonably reliable estimates of simple trends in the average active FADs monitored per vessel without too much additional analysis.</w:t>
      </w:r>
    </w:p>
    <w:p w14:paraId="62804217" w14:textId="11ACBE11" w:rsidR="00D30634" w:rsidRPr="00B845AF" w:rsidRDefault="00D30634" w:rsidP="00D30634">
      <w:pPr>
        <w:rPr>
          <w:rFonts w:asciiTheme="minorHAnsi" w:hAnsiTheme="minorHAnsi" w:cstheme="minorHAnsi"/>
          <w:szCs w:val="22"/>
        </w:rPr>
      </w:pPr>
    </w:p>
    <w:p w14:paraId="6D7460DE" w14:textId="77777777" w:rsidR="00D30634" w:rsidRPr="00B845AF" w:rsidRDefault="00D30634" w:rsidP="00D30634">
      <w:pPr>
        <w:spacing w:line="259" w:lineRule="auto"/>
        <w:rPr>
          <w:rFonts w:asciiTheme="minorHAnsi" w:hAnsiTheme="minorHAnsi" w:cstheme="minorHAnsi"/>
          <w:szCs w:val="22"/>
        </w:rPr>
      </w:pPr>
    </w:p>
    <w:p w14:paraId="38550759" w14:textId="77777777" w:rsidR="003851AF" w:rsidRPr="00B845AF" w:rsidRDefault="003851AF" w:rsidP="001A23E2">
      <w:pPr>
        <w:autoSpaceDE w:val="0"/>
        <w:autoSpaceDN w:val="0"/>
        <w:adjustRightInd w:val="0"/>
        <w:snapToGrid w:val="0"/>
        <w:jc w:val="both"/>
        <w:rPr>
          <w:rFonts w:asciiTheme="minorHAnsi" w:hAnsiTheme="minorHAnsi" w:cstheme="minorHAnsi"/>
          <w:szCs w:val="22"/>
        </w:rPr>
      </w:pPr>
    </w:p>
    <w:p w14:paraId="0F00AB8B" w14:textId="77777777" w:rsidR="00D30634" w:rsidRPr="00B845AF" w:rsidRDefault="00D30634" w:rsidP="001A23E2">
      <w:pPr>
        <w:autoSpaceDE w:val="0"/>
        <w:autoSpaceDN w:val="0"/>
        <w:adjustRightInd w:val="0"/>
        <w:snapToGrid w:val="0"/>
        <w:jc w:val="both"/>
        <w:rPr>
          <w:rFonts w:asciiTheme="minorHAnsi" w:hAnsiTheme="minorHAnsi" w:cstheme="minorHAnsi"/>
          <w:szCs w:val="22"/>
        </w:rPr>
      </w:pPr>
    </w:p>
    <w:p w14:paraId="494C85DB" w14:textId="77777777" w:rsidR="00D30634" w:rsidRPr="00B845AF" w:rsidRDefault="00D30634" w:rsidP="001A23E2">
      <w:pPr>
        <w:autoSpaceDE w:val="0"/>
        <w:autoSpaceDN w:val="0"/>
        <w:adjustRightInd w:val="0"/>
        <w:snapToGrid w:val="0"/>
        <w:jc w:val="both"/>
        <w:rPr>
          <w:rFonts w:asciiTheme="minorHAnsi" w:hAnsiTheme="minorHAnsi" w:cstheme="minorHAnsi"/>
          <w:szCs w:val="22"/>
        </w:rPr>
      </w:pPr>
    </w:p>
    <w:p w14:paraId="088E6467" w14:textId="77777777" w:rsidR="00D30634" w:rsidRPr="00B845AF" w:rsidRDefault="00D30634" w:rsidP="001A23E2">
      <w:pPr>
        <w:autoSpaceDE w:val="0"/>
        <w:autoSpaceDN w:val="0"/>
        <w:adjustRightInd w:val="0"/>
        <w:snapToGrid w:val="0"/>
        <w:jc w:val="both"/>
        <w:rPr>
          <w:rFonts w:asciiTheme="minorHAnsi" w:hAnsiTheme="minorHAnsi" w:cstheme="minorHAnsi"/>
          <w:szCs w:val="22"/>
        </w:rPr>
      </w:pPr>
    </w:p>
    <w:p w14:paraId="2E87AF96" w14:textId="77777777" w:rsidR="00D30634" w:rsidRPr="00B845AF" w:rsidRDefault="00D30634" w:rsidP="001A23E2">
      <w:pPr>
        <w:autoSpaceDE w:val="0"/>
        <w:autoSpaceDN w:val="0"/>
        <w:adjustRightInd w:val="0"/>
        <w:snapToGrid w:val="0"/>
        <w:jc w:val="both"/>
        <w:rPr>
          <w:rFonts w:asciiTheme="minorHAnsi" w:hAnsiTheme="minorHAnsi" w:cstheme="minorHAnsi"/>
          <w:szCs w:val="22"/>
        </w:rPr>
        <w:sectPr w:rsidR="00D30634" w:rsidRPr="00B845AF" w:rsidSect="00F14811">
          <w:pgSz w:w="12240" w:h="15840" w:code="1"/>
          <w:pgMar w:top="1440" w:right="1440" w:bottom="1440" w:left="1440" w:header="720" w:footer="720" w:gutter="0"/>
          <w:cols w:space="720"/>
          <w:docGrid w:linePitch="360"/>
        </w:sectPr>
      </w:pPr>
    </w:p>
    <w:p w14:paraId="6F722448" w14:textId="4FCFBC56" w:rsidR="00BA3E50" w:rsidRPr="00B845AF" w:rsidRDefault="00AD6392" w:rsidP="0098121C">
      <w:pPr>
        <w:autoSpaceDE w:val="0"/>
        <w:autoSpaceDN w:val="0"/>
        <w:adjustRightInd w:val="0"/>
        <w:snapToGrid w:val="0"/>
        <w:jc w:val="right"/>
        <w:rPr>
          <w:rFonts w:asciiTheme="minorHAnsi" w:eastAsia="MS Mincho" w:hAnsiTheme="minorHAnsi" w:cstheme="minorHAnsi"/>
          <w:b/>
          <w:color w:val="000000"/>
          <w:szCs w:val="22"/>
          <w:lang w:eastAsia="ja-JP"/>
        </w:rPr>
      </w:pPr>
      <w:bookmarkStart w:id="106" w:name="_Hlk207457497"/>
      <w:r w:rsidRPr="00B845AF">
        <w:rPr>
          <w:rFonts w:asciiTheme="minorHAnsi" w:eastAsia="Malgun Gothic" w:hAnsiTheme="minorHAnsi" w:cstheme="minorHAnsi"/>
          <w:b/>
          <w:color w:val="000000"/>
          <w:szCs w:val="22"/>
          <w:lang w:eastAsia="ko-KR"/>
        </w:rPr>
        <w:lastRenderedPageBreak/>
        <w:t xml:space="preserve">Attachment </w:t>
      </w:r>
      <w:r w:rsidR="00D77543" w:rsidRPr="00B845AF">
        <w:rPr>
          <w:rFonts w:asciiTheme="minorHAnsi" w:eastAsia="MS Mincho" w:hAnsiTheme="minorHAnsi" w:cstheme="minorHAnsi"/>
          <w:b/>
          <w:color w:val="000000"/>
          <w:szCs w:val="22"/>
          <w:lang w:eastAsia="ja-JP"/>
        </w:rPr>
        <w:t>N</w:t>
      </w:r>
    </w:p>
    <w:p w14:paraId="3FCD7CD7" w14:textId="77777777" w:rsidR="004A2594" w:rsidRPr="00B845AF" w:rsidRDefault="004A2594" w:rsidP="0098121C">
      <w:pPr>
        <w:autoSpaceDE w:val="0"/>
        <w:autoSpaceDN w:val="0"/>
        <w:adjustRightInd w:val="0"/>
        <w:snapToGrid w:val="0"/>
        <w:jc w:val="right"/>
        <w:rPr>
          <w:rFonts w:asciiTheme="minorHAnsi" w:hAnsiTheme="minorHAnsi" w:cstheme="minorHAnsi"/>
          <w:b/>
          <w:bCs/>
          <w:szCs w:val="22"/>
          <w:lang w:eastAsia="en-NZ"/>
        </w:rPr>
      </w:pPr>
    </w:p>
    <w:p w14:paraId="3DC0247D" w14:textId="77777777" w:rsidR="009C5DBA" w:rsidRPr="00B845AF" w:rsidRDefault="009C5DBA" w:rsidP="009C5DBA">
      <w:pPr>
        <w:adjustRightInd w:val="0"/>
        <w:snapToGrid w:val="0"/>
        <w:jc w:val="center"/>
        <w:rPr>
          <w:rFonts w:asciiTheme="minorHAnsi" w:hAnsiTheme="minorHAnsi" w:cstheme="minorHAnsi"/>
          <w:b/>
          <w:bCs/>
          <w:sz w:val="24"/>
          <w:szCs w:val="28"/>
        </w:rPr>
      </w:pPr>
      <w:bookmarkStart w:id="107" w:name="_Hlk239259587"/>
      <w:bookmarkStart w:id="108" w:name="_Hlk239258705"/>
      <w:r w:rsidRPr="00B845AF">
        <w:rPr>
          <w:rFonts w:asciiTheme="minorHAnsi" w:hAnsiTheme="minorHAnsi" w:cstheme="minorHAnsi"/>
          <w:b/>
          <w:bCs/>
          <w:sz w:val="24"/>
          <w:szCs w:val="28"/>
          <w:lang w:eastAsia="en-NZ"/>
        </w:rPr>
        <w:t xml:space="preserve">The Commission for the Conservation and Management of </w:t>
      </w:r>
      <w:r w:rsidRPr="00B845AF">
        <w:rPr>
          <w:rFonts w:asciiTheme="minorHAnsi" w:hAnsiTheme="minorHAnsi" w:cstheme="minorHAnsi"/>
          <w:b/>
          <w:bCs/>
          <w:sz w:val="24"/>
          <w:szCs w:val="28"/>
          <w:lang w:eastAsia="en-NZ"/>
        </w:rPr>
        <w:br/>
        <w:t>Highly Migratory Fish Stocks in the Western and Central Pacific Ocean</w:t>
      </w:r>
    </w:p>
    <w:p w14:paraId="0F44B59E" w14:textId="77777777" w:rsidR="009C5DBA" w:rsidRPr="00B845AF" w:rsidRDefault="009C5DBA" w:rsidP="009C5DBA">
      <w:pPr>
        <w:adjustRightInd w:val="0"/>
        <w:snapToGrid w:val="0"/>
        <w:jc w:val="center"/>
        <w:rPr>
          <w:rFonts w:asciiTheme="minorHAnsi" w:hAnsiTheme="minorHAnsi" w:cstheme="minorHAnsi"/>
          <w:b/>
          <w:bCs/>
          <w:sz w:val="24"/>
          <w:szCs w:val="28"/>
          <w:lang w:eastAsia="ko-KR"/>
        </w:rPr>
      </w:pPr>
      <w:r w:rsidRPr="00B845AF">
        <w:rPr>
          <w:rFonts w:asciiTheme="minorHAnsi" w:hAnsiTheme="minorHAnsi" w:cstheme="minorHAnsi"/>
          <w:b/>
          <w:bCs/>
          <w:sz w:val="24"/>
          <w:szCs w:val="28"/>
          <w:lang w:eastAsia="en-NZ"/>
        </w:rPr>
        <w:t>SCIENTIFIC COMMITTEE</w:t>
      </w:r>
    </w:p>
    <w:p w14:paraId="59F81895" w14:textId="77777777" w:rsidR="009C5DBA" w:rsidRPr="00B845AF" w:rsidRDefault="009C5DBA" w:rsidP="009C5DBA">
      <w:pPr>
        <w:adjustRightInd w:val="0"/>
        <w:snapToGrid w:val="0"/>
        <w:jc w:val="center"/>
        <w:rPr>
          <w:rFonts w:asciiTheme="minorHAnsi" w:eastAsiaTheme="minorEastAsia" w:hAnsiTheme="minorHAnsi" w:cstheme="minorHAnsi"/>
          <w:b/>
          <w:bCs/>
          <w:sz w:val="24"/>
          <w:szCs w:val="28"/>
          <w:lang w:eastAsia="ko-KR"/>
        </w:rPr>
      </w:pPr>
      <w:r w:rsidRPr="00B845AF">
        <w:rPr>
          <w:rFonts w:asciiTheme="minorHAnsi" w:hAnsiTheme="minorHAnsi" w:cstheme="minorHAnsi"/>
          <w:b/>
          <w:bCs/>
          <w:sz w:val="24"/>
          <w:szCs w:val="28"/>
          <w:lang w:eastAsia="en-NZ"/>
        </w:rPr>
        <w:t>TWENTY-SECOND REGULAR SESSION</w:t>
      </w:r>
    </w:p>
    <w:p w14:paraId="1DD3F016" w14:textId="77777777" w:rsidR="009C5DBA" w:rsidRPr="00B845AF" w:rsidRDefault="009C5DBA" w:rsidP="009C5DBA">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11–19 August 2026</w:t>
      </w:r>
    </w:p>
    <w:p w14:paraId="66AE3B4E" w14:textId="77777777" w:rsidR="009C5DBA" w:rsidRPr="00B845AF" w:rsidRDefault="009C5DBA" w:rsidP="009C5DBA">
      <w:pPr>
        <w:adjustRightInd w:val="0"/>
        <w:snapToGrid w:val="0"/>
        <w:jc w:val="center"/>
        <w:rPr>
          <w:rFonts w:asciiTheme="minorHAnsi" w:hAnsiTheme="minorHAnsi" w:cstheme="minorHAnsi"/>
          <w:sz w:val="24"/>
          <w:szCs w:val="28"/>
        </w:rPr>
      </w:pPr>
      <w:r w:rsidRPr="00B845AF">
        <w:rPr>
          <w:rFonts w:asciiTheme="minorHAnsi" w:hAnsiTheme="minorHAnsi" w:cstheme="minorHAnsi"/>
          <w:sz w:val="24"/>
          <w:szCs w:val="28"/>
        </w:rPr>
        <w:t>Apia, Samoa (Hybrid)</w:t>
      </w:r>
    </w:p>
    <w:tbl>
      <w:tblPr>
        <w:tblW w:w="0" w:type="auto"/>
        <w:tblBorders>
          <w:top w:val="single" w:sz="12" w:space="0" w:color="auto"/>
          <w:bottom w:val="single" w:sz="12" w:space="0" w:color="auto"/>
        </w:tblBorders>
        <w:tblLook w:val="04A0" w:firstRow="1" w:lastRow="0" w:firstColumn="1" w:lastColumn="0" w:noHBand="0" w:noVBand="1"/>
      </w:tblPr>
      <w:tblGrid>
        <w:gridCol w:w="9360"/>
      </w:tblGrid>
      <w:tr w:rsidR="009C5DBA" w:rsidRPr="00B845AF" w14:paraId="5FA0C4D1" w14:textId="77777777" w:rsidTr="00835632">
        <w:tc>
          <w:tcPr>
            <w:tcW w:w="9576" w:type="dxa"/>
            <w:hideMark/>
          </w:tcPr>
          <w:bookmarkEnd w:id="107"/>
          <w:p w14:paraId="45260BD5" w14:textId="13B25C99" w:rsidR="009C5DBA" w:rsidRPr="00B845AF" w:rsidRDefault="009C5DBA" w:rsidP="00835632">
            <w:pPr>
              <w:adjustRightInd w:val="0"/>
              <w:snapToGrid w:val="0"/>
              <w:jc w:val="center"/>
              <w:rPr>
                <w:rFonts w:asciiTheme="minorHAnsi" w:eastAsiaTheme="minorEastAsia" w:hAnsiTheme="minorHAnsi" w:cstheme="minorHAnsi"/>
                <w:b/>
                <w:bCs/>
                <w:sz w:val="28"/>
                <w:szCs w:val="28"/>
                <w:lang w:eastAsia="ko-KR"/>
              </w:rPr>
            </w:pPr>
            <w:r w:rsidRPr="00B845AF">
              <w:rPr>
                <w:rFonts w:asciiTheme="minorHAnsi" w:eastAsia="MS Mincho" w:hAnsiTheme="minorHAnsi" w:cstheme="minorHAnsi"/>
                <w:b/>
                <w:bCs/>
                <w:sz w:val="24"/>
                <w:szCs w:val="28"/>
                <w:lang w:eastAsia="ja-JP"/>
              </w:rPr>
              <w:t>List of Abbreviations</w:t>
            </w:r>
            <w:r w:rsidRPr="00B845AF">
              <w:rPr>
                <w:rFonts w:asciiTheme="minorHAnsi" w:eastAsiaTheme="minorEastAsia" w:hAnsiTheme="minorHAnsi" w:cstheme="minorHAnsi"/>
                <w:b/>
                <w:bCs/>
                <w:sz w:val="28"/>
                <w:szCs w:val="28"/>
                <w:lang w:eastAsia="ko-KR"/>
              </w:rPr>
              <w:fldChar w:fldCharType="begin"/>
            </w:r>
            <w:r w:rsidRPr="00B845AF">
              <w:rPr>
                <w:rFonts w:asciiTheme="minorHAnsi" w:hAnsiTheme="minorHAnsi" w:cstheme="minorHAnsi"/>
                <w:sz w:val="28"/>
                <w:szCs w:val="28"/>
              </w:rPr>
              <w:instrText xml:space="preserve"> TC "</w:instrText>
            </w:r>
            <w:bookmarkStart w:id="109" w:name="_Toc239261450"/>
            <w:r w:rsidRPr="00B845AF">
              <w:rPr>
                <w:rFonts w:asciiTheme="minorHAnsi" w:eastAsiaTheme="minorEastAsia" w:hAnsiTheme="minorHAnsi" w:cstheme="minorHAnsi"/>
                <w:b/>
                <w:bCs/>
                <w:sz w:val="28"/>
                <w:szCs w:val="28"/>
                <w:lang w:eastAsia="ko-KR"/>
              </w:rPr>
              <w:instrText>SUMMARY REPORT</w:instrText>
            </w:r>
            <w:bookmarkEnd w:id="109"/>
            <w:r w:rsidRPr="00B845AF">
              <w:rPr>
                <w:rFonts w:asciiTheme="minorHAnsi" w:hAnsiTheme="minorHAnsi" w:cstheme="minorHAnsi"/>
                <w:sz w:val="28"/>
                <w:szCs w:val="28"/>
              </w:rPr>
              <w:instrText xml:space="preserve">" \f C \l "1" </w:instrText>
            </w:r>
            <w:r w:rsidRPr="00B845AF">
              <w:rPr>
                <w:rFonts w:asciiTheme="minorHAnsi" w:eastAsiaTheme="minorEastAsia" w:hAnsiTheme="minorHAnsi" w:cstheme="minorHAnsi"/>
                <w:b/>
                <w:bCs/>
                <w:sz w:val="28"/>
                <w:szCs w:val="28"/>
                <w:lang w:eastAsia="ko-KR"/>
              </w:rPr>
              <w:fldChar w:fldCharType="end"/>
            </w:r>
          </w:p>
        </w:tc>
      </w:tr>
      <w:bookmarkEnd w:id="106"/>
      <w:bookmarkEnd w:id="108"/>
    </w:tbl>
    <w:p w14:paraId="5E5FEE57" w14:textId="77777777" w:rsidR="00DD72EF" w:rsidRPr="00B845AF" w:rsidRDefault="00DD72EF" w:rsidP="004A2594">
      <w:pPr>
        <w:autoSpaceDE w:val="0"/>
        <w:autoSpaceDN w:val="0"/>
        <w:adjustRightInd w:val="0"/>
        <w:snapToGrid w:val="0"/>
        <w:jc w:val="both"/>
        <w:rPr>
          <w:rFonts w:asciiTheme="minorHAnsi" w:eastAsia="MS Mincho" w:hAnsiTheme="minorHAnsi" w:cstheme="minorHAnsi"/>
          <w:szCs w:val="22"/>
          <w:lang w:eastAsia="ja-JP"/>
        </w:rPr>
      </w:pPr>
    </w:p>
    <w:tbl>
      <w:tblPr>
        <w:tblW w:w="0" w:type="auto"/>
        <w:tblLook w:val="04A0" w:firstRow="1" w:lastRow="0" w:firstColumn="1" w:lastColumn="0" w:noHBand="0" w:noVBand="1"/>
      </w:tblPr>
      <w:tblGrid>
        <w:gridCol w:w="1892"/>
        <w:gridCol w:w="2228"/>
        <w:gridCol w:w="4085"/>
        <w:gridCol w:w="1155"/>
      </w:tblGrid>
      <w:tr w:rsidR="00DD72EF" w:rsidRPr="00B845AF" w14:paraId="003E73B3" w14:textId="77777777" w:rsidTr="00EA2E96">
        <w:trPr>
          <w:gridAfter w:val="1"/>
          <w:wAfter w:w="1155" w:type="dxa"/>
          <w:trHeight w:val="146"/>
        </w:trPr>
        <w:tc>
          <w:tcPr>
            <w:tcW w:w="4120" w:type="dxa"/>
            <w:gridSpan w:val="2"/>
            <w:tcBorders>
              <w:top w:val="nil"/>
              <w:left w:val="nil"/>
              <w:bottom w:val="nil"/>
              <w:right w:val="nil"/>
            </w:tcBorders>
            <w:hideMark/>
          </w:tcPr>
          <w:p w14:paraId="21475D58" w14:textId="77777777" w:rsidR="00DD72EF" w:rsidRPr="00B845AF" w:rsidRDefault="00DD72EF" w:rsidP="004A2594">
            <w:pPr>
              <w:autoSpaceDE w:val="0"/>
              <w:autoSpaceDN w:val="0"/>
              <w:adjustRightInd w:val="0"/>
              <w:snapToGrid w:val="0"/>
              <w:jc w:val="both"/>
              <w:rPr>
                <w:rFonts w:asciiTheme="minorHAnsi" w:hAnsiTheme="minorHAnsi" w:cstheme="minorHAnsi"/>
                <w:szCs w:val="22"/>
              </w:rPr>
            </w:pPr>
          </w:p>
        </w:tc>
        <w:tc>
          <w:tcPr>
            <w:tcW w:w="4085" w:type="dxa"/>
            <w:tcBorders>
              <w:top w:val="nil"/>
              <w:left w:val="nil"/>
              <w:bottom w:val="nil"/>
              <w:right w:val="nil"/>
            </w:tcBorders>
            <w:hideMark/>
          </w:tcPr>
          <w:p w14:paraId="49D4B55C" w14:textId="77777777" w:rsidR="00DD72EF" w:rsidRPr="00B845AF" w:rsidRDefault="00DD72EF" w:rsidP="004A2594">
            <w:pPr>
              <w:autoSpaceDE w:val="0"/>
              <w:autoSpaceDN w:val="0"/>
              <w:adjustRightInd w:val="0"/>
              <w:snapToGrid w:val="0"/>
              <w:jc w:val="both"/>
              <w:rPr>
                <w:rFonts w:asciiTheme="minorHAnsi" w:hAnsiTheme="minorHAnsi" w:cstheme="minorHAnsi"/>
                <w:szCs w:val="22"/>
              </w:rPr>
            </w:pPr>
          </w:p>
        </w:tc>
      </w:tr>
      <w:tr w:rsidR="007B6EB1" w:rsidRPr="00B845AF" w14:paraId="18582696"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tcPr>
          <w:p w14:paraId="6BBAE09F" w14:textId="34FA8305" w:rsidR="007B6EB1" w:rsidRPr="00B845AF" w:rsidRDefault="007B6EB1" w:rsidP="004A2594">
            <w:pPr>
              <w:autoSpaceDE w:val="0"/>
              <w:autoSpaceDN w:val="0"/>
              <w:adjustRightInd w:val="0"/>
              <w:snapToGrid w:val="0"/>
              <w:jc w:val="both"/>
              <w:rPr>
                <w:rFonts w:asciiTheme="minorHAnsi" w:hAnsiTheme="minorHAnsi" w:cstheme="minorHAnsi"/>
                <w:iCs/>
                <w:szCs w:val="22"/>
              </w:rPr>
            </w:pPr>
            <w:r w:rsidRPr="00B845AF">
              <w:rPr>
                <w:rFonts w:asciiTheme="minorHAnsi" w:hAnsiTheme="minorHAnsi" w:cstheme="minorHAnsi"/>
                <w:iCs/>
                <w:szCs w:val="22"/>
              </w:rPr>
              <w:t>ACAP</w:t>
            </w:r>
          </w:p>
        </w:tc>
        <w:tc>
          <w:tcPr>
            <w:tcW w:w="7468" w:type="dxa"/>
            <w:gridSpan w:val="3"/>
            <w:tcBorders>
              <w:top w:val="single" w:sz="4" w:space="0" w:color="auto"/>
              <w:left w:val="single" w:sz="4" w:space="0" w:color="auto"/>
              <w:bottom w:val="single" w:sz="4" w:space="0" w:color="auto"/>
              <w:right w:val="single" w:sz="4" w:space="0" w:color="auto"/>
            </w:tcBorders>
          </w:tcPr>
          <w:p w14:paraId="7B481B9C" w14:textId="6BC16347" w:rsidR="007B6EB1" w:rsidRPr="00B845AF" w:rsidRDefault="007B6EB1" w:rsidP="004A2594">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bCs/>
                <w:szCs w:val="22"/>
              </w:rPr>
              <w:t>Agreement on the Conservation of Albatrosses and Petrels</w:t>
            </w:r>
          </w:p>
        </w:tc>
      </w:tr>
      <w:tr w:rsidR="00761B4D" w:rsidRPr="00B845AF" w14:paraId="51F79223"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tcPr>
          <w:p w14:paraId="27B46C87" w14:textId="4593B184" w:rsidR="00761B4D" w:rsidRPr="00B845AF" w:rsidRDefault="00761B4D" w:rsidP="004A2594">
            <w:pPr>
              <w:autoSpaceDE w:val="0"/>
              <w:autoSpaceDN w:val="0"/>
              <w:adjustRightInd w:val="0"/>
              <w:snapToGrid w:val="0"/>
              <w:jc w:val="both"/>
              <w:rPr>
                <w:rFonts w:asciiTheme="minorHAnsi" w:hAnsiTheme="minorHAnsi" w:cstheme="minorHAnsi"/>
                <w:iCs/>
                <w:szCs w:val="22"/>
              </w:rPr>
            </w:pPr>
            <w:r w:rsidRPr="00B845AF">
              <w:rPr>
                <w:rFonts w:asciiTheme="minorHAnsi" w:hAnsiTheme="minorHAnsi" w:cstheme="minorHAnsi"/>
                <w:iCs/>
                <w:szCs w:val="22"/>
              </w:rPr>
              <w:t>ASPM</w:t>
            </w:r>
          </w:p>
        </w:tc>
        <w:tc>
          <w:tcPr>
            <w:tcW w:w="7468" w:type="dxa"/>
            <w:gridSpan w:val="3"/>
            <w:tcBorders>
              <w:top w:val="single" w:sz="4" w:space="0" w:color="auto"/>
              <w:left w:val="single" w:sz="4" w:space="0" w:color="auto"/>
              <w:bottom w:val="single" w:sz="4" w:space="0" w:color="auto"/>
              <w:right w:val="single" w:sz="4" w:space="0" w:color="auto"/>
            </w:tcBorders>
          </w:tcPr>
          <w:p w14:paraId="4FB4463E" w14:textId="1CE5B4DB" w:rsidR="00761B4D" w:rsidRPr="00B845AF" w:rsidRDefault="00761B4D" w:rsidP="004A2594">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age-structured production model</w:t>
            </w:r>
          </w:p>
        </w:tc>
      </w:tr>
      <w:tr w:rsidR="00A063D9" w:rsidRPr="00B845AF" w14:paraId="12EBEC80"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tcPr>
          <w:p w14:paraId="05033EA3" w14:textId="03B957F9" w:rsidR="00A063D9" w:rsidRPr="00B845AF" w:rsidRDefault="00A063D9" w:rsidP="001A23E2">
            <w:pPr>
              <w:autoSpaceDE w:val="0"/>
              <w:autoSpaceDN w:val="0"/>
              <w:adjustRightInd w:val="0"/>
              <w:snapToGrid w:val="0"/>
              <w:jc w:val="both"/>
              <w:rPr>
                <w:rFonts w:asciiTheme="minorHAnsi" w:hAnsiTheme="minorHAnsi" w:cstheme="minorHAnsi"/>
                <w:iCs/>
                <w:szCs w:val="22"/>
              </w:rPr>
            </w:pPr>
            <w:r w:rsidRPr="00B845AF">
              <w:rPr>
                <w:rFonts w:asciiTheme="minorHAnsi" w:hAnsiTheme="minorHAnsi" w:cstheme="minorHAnsi"/>
                <w:iCs/>
                <w:szCs w:val="22"/>
              </w:rPr>
              <w:t>BET</w:t>
            </w:r>
          </w:p>
        </w:tc>
        <w:tc>
          <w:tcPr>
            <w:tcW w:w="7468" w:type="dxa"/>
            <w:gridSpan w:val="3"/>
            <w:tcBorders>
              <w:top w:val="single" w:sz="4" w:space="0" w:color="auto"/>
              <w:left w:val="single" w:sz="4" w:space="0" w:color="auto"/>
              <w:bottom w:val="single" w:sz="4" w:space="0" w:color="auto"/>
              <w:right w:val="single" w:sz="4" w:space="0" w:color="auto"/>
            </w:tcBorders>
          </w:tcPr>
          <w:p w14:paraId="6886B573" w14:textId="32F355C9" w:rsidR="00A063D9" w:rsidRPr="00B845AF" w:rsidRDefault="00A063D9"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bigeye tuna</w:t>
            </w:r>
          </w:p>
        </w:tc>
      </w:tr>
      <w:tr w:rsidR="00DD72EF" w:rsidRPr="00B845AF" w14:paraId="352674C5"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tcPr>
          <w:p w14:paraId="3CB21119" w14:textId="77777777" w:rsidR="00DD72EF" w:rsidRPr="00B845AF" w:rsidRDefault="00DD72EF" w:rsidP="001A23E2">
            <w:pPr>
              <w:autoSpaceDE w:val="0"/>
              <w:autoSpaceDN w:val="0"/>
              <w:adjustRightInd w:val="0"/>
              <w:snapToGrid w:val="0"/>
              <w:jc w:val="both"/>
              <w:rPr>
                <w:rFonts w:asciiTheme="minorHAnsi" w:hAnsiTheme="minorHAnsi" w:cstheme="minorHAnsi"/>
                <w:i/>
                <w:szCs w:val="22"/>
              </w:rPr>
            </w:pPr>
            <w:r w:rsidRPr="00B845AF">
              <w:rPr>
                <w:rFonts w:asciiTheme="minorHAnsi" w:hAnsiTheme="minorHAnsi" w:cstheme="minorHAnsi"/>
                <w:i/>
                <w:szCs w:val="22"/>
              </w:rPr>
              <w:t>B</w:t>
            </w:r>
            <w:r w:rsidRPr="00B845AF">
              <w:rPr>
                <w:rFonts w:asciiTheme="minorHAnsi" w:hAnsiTheme="minorHAnsi" w:cstheme="minorHAnsi"/>
                <w:i/>
                <w:szCs w:val="22"/>
                <w:vertAlign w:val="subscript"/>
              </w:rPr>
              <w:t>MSY</w:t>
            </w:r>
            <w:r w:rsidRPr="00B845AF">
              <w:rPr>
                <w:rFonts w:asciiTheme="minorHAnsi" w:hAnsiTheme="minorHAnsi" w:cstheme="minorHAnsi"/>
                <w:i/>
                <w:szCs w:val="22"/>
              </w:rPr>
              <w:t xml:space="preserve"> </w:t>
            </w:r>
          </w:p>
        </w:tc>
        <w:tc>
          <w:tcPr>
            <w:tcW w:w="7468" w:type="dxa"/>
            <w:gridSpan w:val="3"/>
            <w:tcBorders>
              <w:top w:val="single" w:sz="4" w:space="0" w:color="auto"/>
              <w:left w:val="single" w:sz="4" w:space="0" w:color="auto"/>
              <w:bottom w:val="single" w:sz="4" w:space="0" w:color="auto"/>
              <w:right w:val="single" w:sz="4" w:space="0" w:color="auto"/>
            </w:tcBorders>
          </w:tcPr>
          <w:p w14:paraId="1646CCA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biomass that will support the maximum sustainable yield </w:t>
            </w:r>
          </w:p>
        </w:tc>
      </w:tr>
      <w:tr w:rsidR="001D2776" w:rsidRPr="00B845AF" w14:paraId="0C66D40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34432D9C" w14:textId="0DC57CEE" w:rsidR="001D2776" w:rsidRPr="00B845AF" w:rsidRDefault="001D277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BSPM</w:t>
            </w:r>
          </w:p>
        </w:tc>
        <w:tc>
          <w:tcPr>
            <w:tcW w:w="7468" w:type="dxa"/>
            <w:gridSpan w:val="3"/>
            <w:tcBorders>
              <w:top w:val="single" w:sz="4" w:space="0" w:color="auto"/>
              <w:left w:val="single" w:sz="4" w:space="0" w:color="auto"/>
              <w:bottom w:val="single" w:sz="4" w:space="0" w:color="auto"/>
              <w:right w:val="single" w:sz="4" w:space="0" w:color="auto"/>
            </w:tcBorders>
          </w:tcPr>
          <w:p w14:paraId="1039971C" w14:textId="4C30112A" w:rsidR="001D2776" w:rsidRPr="00B845AF" w:rsidRDefault="001D277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Bay</w:t>
            </w:r>
            <w:r w:rsidR="00584212" w:rsidRPr="00B845AF">
              <w:rPr>
                <w:rFonts w:asciiTheme="minorHAnsi" w:hAnsiTheme="minorHAnsi" w:cstheme="minorHAnsi"/>
                <w:szCs w:val="22"/>
              </w:rPr>
              <w:t>e</w:t>
            </w:r>
            <w:r w:rsidRPr="00B845AF">
              <w:rPr>
                <w:rFonts w:asciiTheme="minorHAnsi" w:hAnsiTheme="minorHAnsi" w:cstheme="minorHAnsi"/>
                <w:szCs w:val="22"/>
              </w:rPr>
              <w:t xml:space="preserve">sian surplus production model </w:t>
            </w:r>
          </w:p>
        </w:tc>
      </w:tr>
      <w:tr w:rsidR="00DD72EF" w:rsidRPr="00B845AF" w14:paraId="71C98F9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1F5A695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CCMs </w:t>
            </w:r>
          </w:p>
        </w:tc>
        <w:tc>
          <w:tcPr>
            <w:tcW w:w="7468" w:type="dxa"/>
            <w:gridSpan w:val="3"/>
            <w:tcBorders>
              <w:top w:val="single" w:sz="4" w:space="0" w:color="auto"/>
              <w:left w:val="single" w:sz="4" w:space="0" w:color="auto"/>
              <w:bottom w:val="single" w:sz="4" w:space="0" w:color="auto"/>
              <w:right w:val="single" w:sz="4" w:space="0" w:color="auto"/>
            </w:tcBorders>
            <w:hideMark/>
          </w:tcPr>
          <w:p w14:paraId="6A87AB7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Members, Cooperating Non-members and participating Territories </w:t>
            </w:r>
          </w:p>
        </w:tc>
      </w:tr>
      <w:tr w:rsidR="003728A5" w:rsidRPr="00B845AF" w14:paraId="43A254C7"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7549E998" w14:textId="3EC871F4" w:rsidR="003728A5" w:rsidRPr="00B845AF" w:rsidRDefault="0087195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CCSBT</w:t>
            </w:r>
          </w:p>
        </w:tc>
        <w:tc>
          <w:tcPr>
            <w:tcW w:w="7468" w:type="dxa"/>
            <w:gridSpan w:val="3"/>
            <w:tcBorders>
              <w:top w:val="single" w:sz="4" w:space="0" w:color="auto"/>
              <w:left w:val="single" w:sz="4" w:space="0" w:color="auto"/>
              <w:bottom w:val="single" w:sz="4" w:space="0" w:color="auto"/>
              <w:right w:val="single" w:sz="4" w:space="0" w:color="auto"/>
            </w:tcBorders>
          </w:tcPr>
          <w:p w14:paraId="2F935EA3" w14:textId="7984D40E" w:rsidR="003728A5" w:rsidRPr="00B845AF" w:rsidRDefault="003728A5" w:rsidP="003728A5">
            <w:pPr>
              <w:autoSpaceDE w:val="0"/>
              <w:autoSpaceDN w:val="0"/>
              <w:adjustRightInd w:val="0"/>
              <w:snapToGrid w:val="0"/>
              <w:jc w:val="both"/>
              <w:rPr>
                <w:rFonts w:asciiTheme="minorHAnsi" w:hAnsiTheme="minorHAnsi" w:cstheme="minorHAnsi"/>
              </w:rPr>
            </w:pPr>
            <w:r w:rsidRPr="00B845AF">
              <w:rPr>
                <w:rFonts w:asciiTheme="minorHAnsi" w:hAnsiTheme="minorHAnsi" w:cstheme="minorHAnsi"/>
              </w:rPr>
              <w:t>Commission for the Conservation of Southern Bluefin Tuna</w:t>
            </w:r>
          </w:p>
        </w:tc>
      </w:tr>
      <w:tr w:rsidR="005B424A" w:rsidRPr="00B845AF" w14:paraId="7B3CDAB9"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6E0B3C8D" w14:textId="098C2208" w:rsidR="005B424A" w:rsidRPr="00B845AF" w:rsidRDefault="005B424A"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CKMR </w:t>
            </w:r>
          </w:p>
        </w:tc>
        <w:tc>
          <w:tcPr>
            <w:tcW w:w="7468" w:type="dxa"/>
            <w:gridSpan w:val="3"/>
            <w:tcBorders>
              <w:top w:val="single" w:sz="4" w:space="0" w:color="auto"/>
              <w:left w:val="single" w:sz="4" w:space="0" w:color="auto"/>
              <w:bottom w:val="single" w:sz="4" w:space="0" w:color="auto"/>
              <w:right w:val="single" w:sz="4" w:space="0" w:color="auto"/>
            </w:tcBorders>
          </w:tcPr>
          <w:p w14:paraId="401EDE24" w14:textId="4CC06E11" w:rsidR="005B424A" w:rsidRPr="00B845AF" w:rsidRDefault="005B424A"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rPr>
              <w:t>close-kin mark-recapture</w:t>
            </w:r>
          </w:p>
        </w:tc>
      </w:tr>
      <w:tr w:rsidR="00DD72EF" w:rsidRPr="00B845AF" w14:paraId="31293F7C"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1B4127A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CMM</w:t>
            </w:r>
          </w:p>
        </w:tc>
        <w:tc>
          <w:tcPr>
            <w:tcW w:w="7468" w:type="dxa"/>
            <w:gridSpan w:val="3"/>
            <w:tcBorders>
              <w:top w:val="single" w:sz="4" w:space="0" w:color="auto"/>
              <w:left w:val="single" w:sz="4" w:space="0" w:color="auto"/>
              <w:bottom w:val="single" w:sz="4" w:space="0" w:color="auto"/>
              <w:right w:val="single" w:sz="4" w:space="0" w:color="auto"/>
            </w:tcBorders>
          </w:tcPr>
          <w:p w14:paraId="2D9B12B4"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Conservation and management measure</w:t>
            </w:r>
          </w:p>
        </w:tc>
      </w:tr>
      <w:tr w:rsidR="009420D8" w:rsidRPr="00B845AF" w14:paraId="21AE6444" w14:textId="77777777" w:rsidTr="00EA2E96">
        <w:trPr>
          <w:trHeight w:val="272"/>
        </w:trPr>
        <w:tc>
          <w:tcPr>
            <w:tcW w:w="1892" w:type="dxa"/>
            <w:tcBorders>
              <w:top w:val="single" w:sz="4" w:space="0" w:color="auto"/>
              <w:left w:val="single" w:sz="4" w:space="0" w:color="auto"/>
              <w:bottom w:val="single" w:sz="4" w:space="0" w:color="auto"/>
              <w:right w:val="single" w:sz="4" w:space="0" w:color="auto"/>
            </w:tcBorders>
          </w:tcPr>
          <w:p w14:paraId="16930DC0" w14:textId="058CF88D" w:rsidR="009420D8" w:rsidRPr="00B845AF" w:rsidRDefault="009420D8"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CNM</w:t>
            </w:r>
          </w:p>
        </w:tc>
        <w:tc>
          <w:tcPr>
            <w:tcW w:w="7468" w:type="dxa"/>
            <w:gridSpan w:val="3"/>
            <w:tcBorders>
              <w:top w:val="single" w:sz="4" w:space="0" w:color="auto"/>
              <w:left w:val="single" w:sz="4" w:space="0" w:color="auto"/>
              <w:bottom w:val="single" w:sz="4" w:space="0" w:color="auto"/>
              <w:right w:val="single" w:sz="4" w:space="0" w:color="auto"/>
            </w:tcBorders>
          </w:tcPr>
          <w:p w14:paraId="228349AE" w14:textId="5AA8C226" w:rsidR="009420D8" w:rsidRPr="00B845AF" w:rsidRDefault="009420D8"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cooperating non-member</w:t>
            </w:r>
          </w:p>
        </w:tc>
      </w:tr>
      <w:tr w:rsidR="00DD72EF" w:rsidRPr="00B845AF" w14:paraId="1B1AC542" w14:textId="77777777" w:rsidTr="00EA2E96">
        <w:trPr>
          <w:trHeight w:val="272"/>
        </w:trPr>
        <w:tc>
          <w:tcPr>
            <w:tcW w:w="1892" w:type="dxa"/>
            <w:tcBorders>
              <w:top w:val="single" w:sz="4" w:space="0" w:color="auto"/>
              <w:left w:val="single" w:sz="4" w:space="0" w:color="auto"/>
              <w:bottom w:val="single" w:sz="4" w:space="0" w:color="auto"/>
              <w:right w:val="single" w:sz="4" w:space="0" w:color="auto"/>
            </w:tcBorders>
            <w:hideMark/>
          </w:tcPr>
          <w:p w14:paraId="16754573"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the Convention </w:t>
            </w:r>
          </w:p>
        </w:tc>
        <w:tc>
          <w:tcPr>
            <w:tcW w:w="7468" w:type="dxa"/>
            <w:gridSpan w:val="3"/>
            <w:tcBorders>
              <w:top w:val="single" w:sz="4" w:space="0" w:color="auto"/>
              <w:left w:val="single" w:sz="4" w:space="0" w:color="auto"/>
              <w:bottom w:val="single" w:sz="4" w:space="0" w:color="auto"/>
              <w:right w:val="single" w:sz="4" w:space="0" w:color="auto"/>
            </w:tcBorders>
            <w:hideMark/>
          </w:tcPr>
          <w:p w14:paraId="2BF6189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The Convention for the Conservation and Management of Highly Migratory Fish Stocks in the Western and Central Pacific Ocean </w:t>
            </w:r>
          </w:p>
        </w:tc>
      </w:tr>
      <w:tr w:rsidR="00C46F32" w:rsidRPr="00B845AF" w14:paraId="6F33F418" w14:textId="77777777" w:rsidTr="00EA2E96">
        <w:trPr>
          <w:trHeight w:val="272"/>
        </w:trPr>
        <w:tc>
          <w:tcPr>
            <w:tcW w:w="1892" w:type="dxa"/>
            <w:tcBorders>
              <w:top w:val="single" w:sz="4" w:space="0" w:color="auto"/>
              <w:left w:val="single" w:sz="4" w:space="0" w:color="auto"/>
              <w:bottom w:val="single" w:sz="4" w:space="0" w:color="auto"/>
              <w:right w:val="single" w:sz="4" w:space="0" w:color="auto"/>
            </w:tcBorders>
          </w:tcPr>
          <w:p w14:paraId="43ED3852" w14:textId="161CFD5A" w:rsidR="00C46F32" w:rsidRPr="00B845AF" w:rsidRDefault="00C46F32"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COVID-19</w:t>
            </w:r>
          </w:p>
        </w:tc>
        <w:tc>
          <w:tcPr>
            <w:tcW w:w="7468" w:type="dxa"/>
            <w:gridSpan w:val="3"/>
            <w:tcBorders>
              <w:top w:val="single" w:sz="4" w:space="0" w:color="auto"/>
              <w:left w:val="single" w:sz="4" w:space="0" w:color="auto"/>
              <w:bottom w:val="single" w:sz="4" w:space="0" w:color="auto"/>
              <w:right w:val="single" w:sz="4" w:space="0" w:color="auto"/>
            </w:tcBorders>
          </w:tcPr>
          <w:p w14:paraId="7E968331" w14:textId="3357EEF4" w:rsidR="00C46F32" w:rsidRPr="00B845AF" w:rsidRDefault="00C46F32"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coronavirus disease </w:t>
            </w:r>
          </w:p>
        </w:tc>
      </w:tr>
      <w:tr w:rsidR="00DD72EF" w:rsidRPr="00B845AF" w14:paraId="291615C4" w14:textId="77777777" w:rsidTr="00EA2E96">
        <w:trPr>
          <w:trHeight w:val="272"/>
        </w:trPr>
        <w:tc>
          <w:tcPr>
            <w:tcW w:w="1892" w:type="dxa"/>
            <w:tcBorders>
              <w:top w:val="single" w:sz="4" w:space="0" w:color="auto"/>
              <w:left w:val="single" w:sz="4" w:space="0" w:color="auto"/>
              <w:bottom w:val="single" w:sz="4" w:space="0" w:color="auto"/>
              <w:right w:val="single" w:sz="4" w:space="0" w:color="auto"/>
            </w:tcBorders>
            <w:hideMark/>
          </w:tcPr>
          <w:p w14:paraId="6D0E2B5F"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CSIRO </w:t>
            </w:r>
          </w:p>
        </w:tc>
        <w:tc>
          <w:tcPr>
            <w:tcW w:w="7468" w:type="dxa"/>
            <w:gridSpan w:val="3"/>
            <w:tcBorders>
              <w:top w:val="single" w:sz="4" w:space="0" w:color="auto"/>
              <w:left w:val="single" w:sz="4" w:space="0" w:color="auto"/>
              <w:bottom w:val="single" w:sz="4" w:space="0" w:color="auto"/>
              <w:right w:val="single" w:sz="4" w:space="0" w:color="auto"/>
            </w:tcBorders>
            <w:hideMark/>
          </w:tcPr>
          <w:p w14:paraId="53A2D6C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Commonwealth Scientific and Industrial Research Organization (Australia) </w:t>
            </w:r>
          </w:p>
        </w:tc>
      </w:tr>
      <w:tr w:rsidR="00DD72EF" w:rsidRPr="00B845AF" w14:paraId="36E519F3" w14:textId="77777777" w:rsidTr="00EA2E96">
        <w:trPr>
          <w:trHeight w:val="272"/>
        </w:trPr>
        <w:tc>
          <w:tcPr>
            <w:tcW w:w="1892" w:type="dxa"/>
            <w:tcBorders>
              <w:top w:val="single" w:sz="4" w:space="0" w:color="auto"/>
              <w:left w:val="single" w:sz="4" w:space="0" w:color="auto"/>
              <w:bottom w:val="single" w:sz="4" w:space="0" w:color="auto"/>
              <w:right w:val="single" w:sz="4" w:space="0" w:color="auto"/>
            </w:tcBorders>
            <w:hideMark/>
          </w:tcPr>
          <w:p w14:paraId="4F4DBDA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CV</w:t>
            </w:r>
          </w:p>
        </w:tc>
        <w:tc>
          <w:tcPr>
            <w:tcW w:w="7468" w:type="dxa"/>
            <w:gridSpan w:val="3"/>
            <w:tcBorders>
              <w:top w:val="single" w:sz="4" w:space="0" w:color="auto"/>
              <w:left w:val="single" w:sz="4" w:space="0" w:color="auto"/>
              <w:bottom w:val="single" w:sz="4" w:space="0" w:color="auto"/>
              <w:right w:val="single" w:sz="4" w:space="0" w:color="auto"/>
            </w:tcBorders>
            <w:hideMark/>
          </w:tcPr>
          <w:p w14:paraId="74713AA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coefficient of variation</w:t>
            </w:r>
          </w:p>
        </w:tc>
      </w:tr>
      <w:tr w:rsidR="009420D8" w:rsidRPr="00B845AF" w14:paraId="4532A3E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59516847" w14:textId="485C52C5" w:rsidR="009420D8" w:rsidRPr="00B845AF" w:rsidRDefault="009420D8"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EM</w:t>
            </w:r>
          </w:p>
        </w:tc>
        <w:tc>
          <w:tcPr>
            <w:tcW w:w="7468" w:type="dxa"/>
            <w:gridSpan w:val="3"/>
            <w:tcBorders>
              <w:top w:val="single" w:sz="4" w:space="0" w:color="auto"/>
              <w:left w:val="single" w:sz="4" w:space="0" w:color="auto"/>
              <w:bottom w:val="single" w:sz="4" w:space="0" w:color="auto"/>
              <w:right w:val="single" w:sz="4" w:space="0" w:color="auto"/>
            </w:tcBorders>
          </w:tcPr>
          <w:p w14:paraId="231A5B70" w14:textId="26BC81ED" w:rsidR="009420D8" w:rsidRPr="00B845AF" w:rsidRDefault="009420D8"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bCs/>
                <w:szCs w:val="22"/>
              </w:rPr>
              <w:t>estimation method/ or electronic monitoring</w:t>
            </w:r>
          </w:p>
        </w:tc>
      </w:tr>
      <w:tr w:rsidR="007936B6" w:rsidRPr="00B845AF" w14:paraId="19CC0C6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730C3D96" w14:textId="4A80218A" w:rsidR="007936B6" w:rsidRPr="00B845AF" w:rsidRDefault="007936B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EPO</w:t>
            </w:r>
          </w:p>
        </w:tc>
        <w:tc>
          <w:tcPr>
            <w:tcW w:w="7468" w:type="dxa"/>
            <w:gridSpan w:val="3"/>
            <w:tcBorders>
              <w:top w:val="single" w:sz="4" w:space="0" w:color="auto"/>
              <w:left w:val="single" w:sz="4" w:space="0" w:color="auto"/>
              <w:bottom w:val="single" w:sz="4" w:space="0" w:color="auto"/>
              <w:right w:val="single" w:sz="4" w:space="0" w:color="auto"/>
            </w:tcBorders>
          </w:tcPr>
          <w:p w14:paraId="37A3965C" w14:textId="1CB9F094" w:rsidR="007936B6" w:rsidRPr="00B845AF" w:rsidRDefault="007936B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Eastern Pacific Ocean</w:t>
            </w:r>
          </w:p>
        </w:tc>
      </w:tr>
      <w:tr w:rsidR="007936B6" w:rsidRPr="00B845AF" w14:paraId="38156145"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4A88853C" w14:textId="6F509D66" w:rsidR="007936B6" w:rsidRPr="00B845AF" w:rsidRDefault="007936B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ERandEM/ER&amp;EM</w:t>
            </w:r>
          </w:p>
        </w:tc>
        <w:tc>
          <w:tcPr>
            <w:tcW w:w="7468" w:type="dxa"/>
            <w:gridSpan w:val="3"/>
            <w:tcBorders>
              <w:top w:val="single" w:sz="4" w:space="0" w:color="auto"/>
              <w:left w:val="single" w:sz="4" w:space="0" w:color="auto"/>
              <w:bottom w:val="single" w:sz="4" w:space="0" w:color="auto"/>
              <w:right w:val="single" w:sz="4" w:space="0" w:color="auto"/>
            </w:tcBorders>
          </w:tcPr>
          <w:p w14:paraId="726C1959" w14:textId="2AC87B3A" w:rsidR="007936B6" w:rsidRPr="00B845AF" w:rsidRDefault="007936B6"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bCs/>
                <w:szCs w:val="22"/>
              </w:rPr>
              <w:t>electronic reporting and electronic monitoring</w:t>
            </w:r>
            <w:r w:rsidR="00313106" w:rsidRPr="00B845AF">
              <w:rPr>
                <w:rFonts w:asciiTheme="minorHAnsi" w:hAnsiTheme="minorHAnsi" w:cstheme="minorHAnsi"/>
                <w:bCs/>
                <w:szCs w:val="22"/>
              </w:rPr>
              <w:t xml:space="preserve">  </w:t>
            </w:r>
          </w:p>
        </w:tc>
      </w:tr>
      <w:tr w:rsidR="00DD72EF" w:rsidRPr="00B845AF" w14:paraId="59340EA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3A1AA853"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FAD </w:t>
            </w:r>
          </w:p>
        </w:tc>
        <w:tc>
          <w:tcPr>
            <w:tcW w:w="7468" w:type="dxa"/>
            <w:gridSpan w:val="3"/>
            <w:tcBorders>
              <w:top w:val="single" w:sz="4" w:space="0" w:color="auto"/>
              <w:left w:val="single" w:sz="4" w:space="0" w:color="auto"/>
              <w:bottom w:val="single" w:sz="4" w:space="0" w:color="auto"/>
              <w:right w:val="single" w:sz="4" w:space="0" w:color="auto"/>
            </w:tcBorders>
            <w:hideMark/>
          </w:tcPr>
          <w:p w14:paraId="2BB8522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fish aggregating device </w:t>
            </w:r>
          </w:p>
        </w:tc>
      </w:tr>
      <w:tr w:rsidR="008B37E9" w:rsidRPr="00B845AF" w14:paraId="7EF18D5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7FA0AAC7" w14:textId="561205C7" w:rsidR="008B37E9" w:rsidRPr="00B845AF" w:rsidRDefault="00AE0FAE"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FAO</w:t>
            </w:r>
          </w:p>
        </w:tc>
        <w:tc>
          <w:tcPr>
            <w:tcW w:w="7468" w:type="dxa"/>
            <w:gridSpan w:val="3"/>
            <w:tcBorders>
              <w:top w:val="single" w:sz="4" w:space="0" w:color="auto"/>
              <w:left w:val="single" w:sz="4" w:space="0" w:color="auto"/>
              <w:bottom w:val="single" w:sz="4" w:space="0" w:color="auto"/>
              <w:right w:val="single" w:sz="4" w:space="0" w:color="auto"/>
            </w:tcBorders>
          </w:tcPr>
          <w:p w14:paraId="51C49E16" w14:textId="27E10EF1" w:rsidR="008B37E9" w:rsidRPr="00B845AF" w:rsidRDefault="00AE0FAE"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Food and Agricultural Organization</w:t>
            </w:r>
            <w:r w:rsidR="007936B6" w:rsidRPr="00B845AF">
              <w:rPr>
                <w:rFonts w:asciiTheme="minorHAnsi" w:hAnsiTheme="minorHAnsi" w:cstheme="minorHAnsi"/>
                <w:szCs w:val="22"/>
              </w:rPr>
              <w:t xml:space="preserve"> of the United Nations</w:t>
            </w:r>
          </w:p>
        </w:tc>
      </w:tr>
      <w:tr w:rsidR="00DD72EF" w:rsidRPr="00B845AF" w14:paraId="16CE1FCE"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3D24471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FFA </w:t>
            </w:r>
          </w:p>
        </w:tc>
        <w:tc>
          <w:tcPr>
            <w:tcW w:w="7468" w:type="dxa"/>
            <w:gridSpan w:val="3"/>
            <w:tcBorders>
              <w:top w:val="single" w:sz="4" w:space="0" w:color="auto"/>
              <w:left w:val="single" w:sz="4" w:space="0" w:color="auto"/>
              <w:bottom w:val="single" w:sz="4" w:space="0" w:color="auto"/>
              <w:right w:val="single" w:sz="4" w:space="0" w:color="auto"/>
            </w:tcBorders>
            <w:hideMark/>
          </w:tcPr>
          <w:p w14:paraId="33C7E5F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Pacific Islands Forum Fisheries Agency </w:t>
            </w:r>
          </w:p>
        </w:tc>
      </w:tr>
      <w:tr w:rsidR="008B37E9" w:rsidRPr="00B845AF" w14:paraId="140C6F7A"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tcPr>
          <w:p w14:paraId="04AE6290" w14:textId="35CF143A" w:rsidR="008B37E9" w:rsidRPr="00B845AF" w:rsidRDefault="008B37E9"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FIRMS</w:t>
            </w:r>
          </w:p>
        </w:tc>
        <w:tc>
          <w:tcPr>
            <w:tcW w:w="7468" w:type="dxa"/>
            <w:gridSpan w:val="3"/>
            <w:tcBorders>
              <w:top w:val="single" w:sz="4" w:space="0" w:color="auto"/>
              <w:left w:val="single" w:sz="4" w:space="0" w:color="auto"/>
              <w:bottom w:val="single" w:sz="4" w:space="0" w:color="auto"/>
              <w:right w:val="single" w:sz="4" w:space="0" w:color="auto"/>
            </w:tcBorders>
          </w:tcPr>
          <w:p w14:paraId="3107D1E8" w14:textId="72BADEE6" w:rsidR="008B37E9" w:rsidRPr="00B845AF" w:rsidRDefault="00AE0FAE"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FAO Fisheries and Resources Monitoring System </w:t>
            </w:r>
          </w:p>
        </w:tc>
      </w:tr>
      <w:tr w:rsidR="00DD72EF" w:rsidRPr="00B845AF" w14:paraId="5394083B" w14:textId="77777777" w:rsidTr="00EA2E96">
        <w:trPr>
          <w:trHeight w:val="146"/>
        </w:trPr>
        <w:tc>
          <w:tcPr>
            <w:tcW w:w="1892" w:type="dxa"/>
            <w:tcBorders>
              <w:top w:val="single" w:sz="4" w:space="0" w:color="auto"/>
              <w:left w:val="single" w:sz="4" w:space="0" w:color="auto"/>
              <w:bottom w:val="single" w:sz="4" w:space="0" w:color="auto"/>
              <w:right w:val="single" w:sz="4" w:space="0" w:color="auto"/>
            </w:tcBorders>
            <w:hideMark/>
          </w:tcPr>
          <w:p w14:paraId="662F50A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F</w:t>
            </w:r>
            <w:r w:rsidRPr="00B845AF">
              <w:rPr>
                <w:rFonts w:asciiTheme="minorHAnsi" w:hAnsiTheme="minorHAnsi" w:cstheme="minorHAnsi"/>
                <w:szCs w:val="22"/>
                <w:vertAlign w:val="subscript"/>
              </w:rPr>
              <w:t>MSY</w:t>
            </w:r>
            <w:r w:rsidRPr="00B845AF">
              <w:rPr>
                <w:rFonts w:asciiTheme="minorHAnsi" w:hAnsiTheme="minorHAnsi" w:cstheme="minorHAnsi"/>
                <w:szCs w:val="22"/>
              </w:rPr>
              <w:t xml:space="preserve"> </w:t>
            </w:r>
          </w:p>
        </w:tc>
        <w:tc>
          <w:tcPr>
            <w:tcW w:w="7468" w:type="dxa"/>
            <w:gridSpan w:val="3"/>
            <w:tcBorders>
              <w:top w:val="single" w:sz="4" w:space="0" w:color="auto"/>
              <w:left w:val="single" w:sz="4" w:space="0" w:color="auto"/>
              <w:bottom w:val="single" w:sz="4" w:space="0" w:color="auto"/>
              <w:right w:val="single" w:sz="4" w:space="0" w:color="auto"/>
            </w:tcBorders>
            <w:hideMark/>
          </w:tcPr>
          <w:p w14:paraId="4035308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fishing mortality that will support the maximum sustainable yield </w:t>
            </w:r>
          </w:p>
        </w:tc>
      </w:tr>
      <w:tr w:rsidR="00DD72EF" w:rsidRPr="00B845AF" w14:paraId="54C8C378"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63172AA"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GLM </w:t>
            </w:r>
          </w:p>
        </w:tc>
        <w:tc>
          <w:tcPr>
            <w:tcW w:w="7468" w:type="dxa"/>
            <w:gridSpan w:val="3"/>
            <w:tcBorders>
              <w:top w:val="single" w:sz="4" w:space="0" w:color="auto"/>
              <w:left w:val="single" w:sz="4" w:space="0" w:color="auto"/>
              <w:bottom w:val="single" w:sz="4" w:space="0" w:color="auto"/>
              <w:right w:val="single" w:sz="4" w:space="0" w:color="auto"/>
            </w:tcBorders>
            <w:hideMark/>
          </w:tcPr>
          <w:p w14:paraId="7208C05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generalized linear model </w:t>
            </w:r>
          </w:p>
        </w:tc>
      </w:tr>
      <w:tr w:rsidR="00DD72EF" w:rsidRPr="00B845AF" w14:paraId="22D20C9E"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7736105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HCR</w:t>
            </w:r>
          </w:p>
        </w:tc>
        <w:tc>
          <w:tcPr>
            <w:tcW w:w="7468" w:type="dxa"/>
            <w:gridSpan w:val="3"/>
            <w:tcBorders>
              <w:top w:val="single" w:sz="4" w:space="0" w:color="auto"/>
              <w:left w:val="single" w:sz="4" w:space="0" w:color="auto"/>
              <w:bottom w:val="single" w:sz="4" w:space="0" w:color="auto"/>
              <w:right w:val="single" w:sz="4" w:space="0" w:color="auto"/>
            </w:tcBorders>
            <w:hideMark/>
          </w:tcPr>
          <w:p w14:paraId="701CFAE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harvest control rule</w:t>
            </w:r>
          </w:p>
        </w:tc>
      </w:tr>
      <w:tr w:rsidR="00DD72EF" w:rsidRPr="00B845AF" w14:paraId="1BD500FA"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6F3AD2C0"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IATTC </w:t>
            </w:r>
          </w:p>
        </w:tc>
        <w:tc>
          <w:tcPr>
            <w:tcW w:w="7468" w:type="dxa"/>
            <w:gridSpan w:val="3"/>
            <w:tcBorders>
              <w:top w:val="single" w:sz="4" w:space="0" w:color="auto"/>
              <w:left w:val="single" w:sz="4" w:space="0" w:color="auto"/>
              <w:bottom w:val="single" w:sz="4" w:space="0" w:color="auto"/>
              <w:right w:val="single" w:sz="4" w:space="0" w:color="auto"/>
            </w:tcBorders>
            <w:hideMark/>
          </w:tcPr>
          <w:p w14:paraId="3EB40949"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Inter-American Tropical Tuna Commission </w:t>
            </w:r>
          </w:p>
        </w:tc>
      </w:tr>
      <w:tr w:rsidR="00CA67E7" w:rsidRPr="00B845AF" w14:paraId="7C0C4510"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458F49BF" w14:textId="42E6B40E" w:rsidR="00CA67E7" w:rsidRPr="00B845AF" w:rsidRDefault="00CA67E7"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ISA</w:t>
            </w:r>
          </w:p>
        </w:tc>
        <w:tc>
          <w:tcPr>
            <w:tcW w:w="7468" w:type="dxa"/>
            <w:gridSpan w:val="3"/>
            <w:tcBorders>
              <w:top w:val="single" w:sz="4" w:space="0" w:color="auto"/>
              <w:left w:val="single" w:sz="4" w:space="0" w:color="auto"/>
              <w:bottom w:val="single" w:sz="4" w:space="0" w:color="auto"/>
              <w:right w:val="single" w:sz="4" w:space="0" w:color="auto"/>
            </w:tcBorders>
          </w:tcPr>
          <w:p w14:paraId="250CEDD2" w14:textId="2A1C0A69" w:rsidR="00CA67E7" w:rsidRPr="00B845AF" w:rsidRDefault="00CA67E7"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International Seabed Authority</w:t>
            </w:r>
          </w:p>
        </w:tc>
      </w:tr>
      <w:tr w:rsidR="00DD72EF" w:rsidRPr="00B845AF" w14:paraId="0B601953"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006622B9"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ISC </w:t>
            </w:r>
          </w:p>
        </w:tc>
        <w:tc>
          <w:tcPr>
            <w:tcW w:w="7468" w:type="dxa"/>
            <w:gridSpan w:val="3"/>
            <w:tcBorders>
              <w:top w:val="single" w:sz="4" w:space="0" w:color="auto"/>
              <w:left w:val="single" w:sz="4" w:space="0" w:color="auto"/>
              <w:bottom w:val="single" w:sz="4" w:space="0" w:color="auto"/>
              <w:right w:val="single" w:sz="4" w:space="0" w:color="auto"/>
            </w:tcBorders>
            <w:hideMark/>
          </w:tcPr>
          <w:p w14:paraId="694EB419"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International Scientific Committee for Tuna and Tuna-like Species in the North Pacific Ocean </w:t>
            </w:r>
          </w:p>
        </w:tc>
      </w:tr>
      <w:tr w:rsidR="00DD72EF" w:rsidRPr="00B845AF" w14:paraId="28CE6D2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054FCA9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ISSF </w:t>
            </w:r>
          </w:p>
        </w:tc>
        <w:tc>
          <w:tcPr>
            <w:tcW w:w="7468" w:type="dxa"/>
            <w:gridSpan w:val="3"/>
            <w:tcBorders>
              <w:top w:val="single" w:sz="4" w:space="0" w:color="auto"/>
              <w:left w:val="single" w:sz="4" w:space="0" w:color="auto"/>
              <w:bottom w:val="single" w:sz="4" w:space="0" w:color="auto"/>
              <w:right w:val="single" w:sz="4" w:space="0" w:color="auto"/>
            </w:tcBorders>
            <w:hideMark/>
          </w:tcPr>
          <w:p w14:paraId="611CCC17"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International Seafood Sustainability Foundation </w:t>
            </w:r>
          </w:p>
        </w:tc>
      </w:tr>
      <w:tr w:rsidR="003346F7" w:rsidRPr="00B845AF" w14:paraId="0A2CD11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0996C260" w14:textId="1DBF1B19" w:rsidR="003346F7" w:rsidRPr="00B845AF" w:rsidRDefault="003346F7"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ITRP</w:t>
            </w:r>
          </w:p>
        </w:tc>
        <w:tc>
          <w:tcPr>
            <w:tcW w:w="7468" w:type="dxa"/>
            <w:gridSpan w:val="3"/>
            <w:tcBorders>
              <w:top w:val="single" w:sz="4" w:space="0" w:color="auto"/>
              <w:left w:val="single" w:sz="4" w:space="0" w:color="auto"/>
              <w:bottom w:val="single" w:sz="4" w:space="0" w:color="auto"/>
              <w:right w:val="single" w:sz="4" w:space="0" w:color="auto"/>
            </w:tcBorders>
          </w:tcPr>
          <w:p w14:paraId="77AB857C" w14:textId="3463CC09" w:rsidR="003346F7" w:rsidRPr="00B845AF" w:rsidRDefault="003346F7"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interim TRP</w:t>
            </w:r>
          </w:p>
        </w:tc>
      </w:tr>
      <w:tr w:rsidR="00DD72EF" w:rsidRPr="00B845AF" w14:paraId="767F01F5"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123DCF4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IWG</w:t>
            </w:r>
          </w:p>
        </w:tc>
        <w:tc>
          <w:tcPr>
            <w:tcW w:w="7468" w:type="dxa"/>
            <w:gridSpan w:val="3"/>
            <w:tcBorders>
              <w:top w:val="single" w:sz="4" w:space="0" w:color="auto"/>
              <w:left w:val="single" w:sz="4" w:space="0" w:color="auto"/>
              <w:bottom w:val="single" w:sz="4" w:space="0" w:color="auto"/>
              <w:right w:val="single" w:sz="4" w:space="0" w:color="auto"/>
            </w:tcBorders>
            <w:hideMark/>
          </w:tcPr>
          <w:p w14:paraId="684692EA"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Intersessional working group</w:t>
            </w:r>
          </w:p>
        </w:tc>
      </w:tr>
      <w:tr w:rsidR="00DD72EF" w:rsidRPr="00B845AF" w14:paraId="77FE2B6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7E22A1AD"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LRP </w:t>
            </w:r>
          </w:p>
        </w:tc>
        <w:tc>
          <w:tcPr>
            <w:tcW w:w="7468" w:type="dxa"/>
            <w:gridSpan w:val="3"/>
            <w:tcBorders>
              <w:top w:val="single" w:sz="4" w:space="0" w:color="auto"/>
              <w:left w:val="single" w:sz="4" w:space="0" w:color="auto"/>
              <w:bottom w:val="single" w:sz="4" w:space="0" w:color="auto"/>
              <w:right w:val="single" w:sz="4" w:space="0" w:color="auto"/>
            </w:tcBorders>
            <w:hideMark/>
          </w:tcPr>
          <w:p w14:paraId="11A16722"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limit reference point </w:t>
            </w:r>
          </w:p>
        </w:tc>
      </w:tr>
      <w:tr w:rsidR="00DD72EF" w:rsidRPr="00B845AF" w14:paraId="746C0EBC"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6CD5485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w:t>
            </w:r>
          </w:p>
        </w:tc>
        <w:tc>
          <w:tcPr>
            <w:tcW w:w="7468" w:type="dxa"/>
            <w:gridSpan w:val="3"/>
            <w:tcBorders>
              <w:top w:val="single" w:sz="4" w:space="0" w:color="auto"/>
              <w:left w:val="single" w:sz="4" w:space="0" w:color="auto"/>
              <w:bottom w:val="single" w:sz="4" w:space="0" w:color="auto"/>
              <w:right w:val="single" w:sz="4" w:space="0" w:color="auto"/>
            </w:tcBorders>
            <w:hideMark/>
          </w:tcPr>
          <w:p w14:paraId="4D453E1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mortality</w:t>
            </w:r>
          </w:p>
        </w:tc>
      </w:tr>
      <w:tr w:rsidR="00D44D24" w:rsidRPr="00B845AF" w14:paraId="7F61B12A"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3A64B9F2" w14:textId="6B751583" w:rsidR="00D44D24" w:rsidRPr="00B845AF" w:rsidRDefault="00D44D24"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MFCL</w:t>
            </w:r>
          </w:p>
        </w:tc>
        <w:tc>
          <w:tcPr>
            <w:tcW w:w="7468" w:type="dxa"/>
            <w:gridSpan w:val="3"/>
            <w:tcBorders>
              <w:top w:val="single" w:sz="4" w:space="0" w:color="auto"/>
              <w:left w:val="single" w:sz="4" w:space="0" w:color="auto"/>
              <w:bottom w:val="single" w:sz="4" w:space="0" w:color="auto"/>
              <w:right w:val="single" w:sz="4" w:space="0" w:color="auto"/>
            </w:tcBorders>
          </w:tcPr>
          <w:p w14:paraId="453E3AC7" w14:textId="56FBA764" w:rsidR="00D44D24" w:rsidRPr="00B845AF" w:rsidRDefault="00E04B0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MULTIFAN</w:t>
            </w:r>
            <w:r w:rsidR="00D44D24" w:rsidRPr="00B845AF">
              <w:rPr>
                <w:rFonts w:asciiTheme="minorHAnsi" w:hAnsiTheme="minorHAnsi" w:cstheme="minorHAnsi"/>
                <w:szCs w:val="22"/>
              </w:rPr>
              <w:t xml:space="preserve"> CL</w:t>
            </w:r>
          </w:p>
        </w:tc>
      </w:tr>
      <w:tr w:rsidR="00DD72EF" w:rsidRPr="00B845AF" w14:paraId="58984A3A"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707E3157"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lastRenderedPageBreak/>
              <w:t xml:space="preserve">MOU </w:t>
            </w:r>
          </w:p>
        </w:tc>
        <w:tc>
          <w:tcPr>
            <w:tcW w:w="7468" w:type="dxa"/>
            <w:gridSpan w:val="3"/>
            <w:tcBorders>
              <w:top w:val="single" w:sz="4" w:space="0" w:color="auto"/>
              <w:left w:val="single" w:sz="4" w:space="0" w:color="auto"/>
              <w:bottom w:val="single" w:sz="4" w:space="0" w:color="auto"/>
              <w:right w:val="single" w:sz="4" w:space="0" w:color="auto"/>
            </w:tcBorders>
            <w:hideMark/>
          </w:tcPr>
          <w:p w14:paraId="3437B7F0"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memorandum of understanding </w:t>
            </w:r>
          </w:p>
        </w:tc>
      </w:tr>
      <w:tr w:rsidR="0071533B" w:rsidRPr="00B845AF" w14:paraId="37AC0ECE"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2B6C1AF9" w14:textId="24A62174" w:rsidR="0071533B" w:rsidRPr="00B845AF" w:rsidRDefault="0071533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MP</w:t>
            </w:r>
          </w:p>
        </w:tc>
        <w:tc>
          <w:tcPr>
            <w:tcW w:w="7468" w:type="dxa"/>
            <w:gridSpan w:val="3"/>
            <w:tcBorders>
              <w:top w:val="single" w:sz="4" w:space="0" w:color="auto"/>
              <w:left w:val="single" w:sz="4" w:space="0" w:color="auto"/>
              <w:bottom w:val="single" w:sz="4" w:space="0" w:color="auto"/>
              <w:right w:val="single" w:sz="4" w:space="0" w:color="auto"/>
            </w:tcBorders>
          </w:tcPr>
          <w:p w14:paraId="6D5381EB" w14:textId="6197DEC6" w:rsidR="0071533B" w:rsidRPr="00B845AF" w:rsidRDefault="0071533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management procedure</w:t>
            </w:r>
          </w:p>
        </w:tc>
      </w:tr>
      <w:tr w:rsidR="00DD72EF" w:rsidRPr="00B845AF" w14:paraId="3B29AAD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65647D5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MSE </w:t>
            </w:r>
          </w:p>
        </w:tc>
        <w:tc>
          <w:tcPr>
            <w:tcW w:w="7468" w:type="dxa"/>
            <w:gridSpan w:val="3"/>
            <w:tcBorders>
              <w:top w:val="single" w:sz="4" w:space="0" w:color="auto"/>
              <w:left w:val="single" w:sz="4" w:space="0" w:color="auto"/>
              <w:bottom w:val="single" w:sz="4" w:space="0" w:color="auto"/>
              <w:right w:val="single" w:sz="4" w:space="0" w:color="auto"/>
            </w:tcBorders>
            <w:hideMark/>
          </w:tcPr>
          <w:p w14:paraId="5B287BF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management strategy evaluation </w:t>
            </w:r>
          </w:p>
        </w:tc>
      </w:tr>
      <w:tr w:rsidR="00DD72EF" w:rsidRPr="00B845AF" w14:paraId="1A29213A"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88D008E" w14:textId="77777777" w:rsidR="00DD72EF" w:rsidRPr="00B845AF" w:rsidRDefault="00DD72EF" w:rsidP="001A23E2">
            <w:pPr>
              <w:autoSpaceDE w:val="0"/>
              <w:autoSpaceDN w:val="0"/>
              <w:adjustRightInd w:val="0"/>
              <w:snapToGrid w:val="0"/>
              <w:jc w:val="both"/>
              <w:rPr>
                <w:rFonts w:asciiTheme="minorHAnsi" w:hAnsiTheme="minorHAnsi" w:cstheme="minorHAnsi"/>
                <w:i/>
                <w:szCs w:val="22"/>
              </w:rPr>
            </w:pPr>
            <w:r w:rsidRPr="00B845AF">
              <w:rPr>
                <w:rFonts w:asciiTheme="minorHAnsi" w:hAnsiTheme="minorHAnsi" w:cstheme="minorHAnsi"/>
                <w:szCs w:val="22"/>
              </w:rPr>
              <w:t>MSY</w:t>
            </w:r>
            <w:r w:rsidRPr="00B845AF">
              <w:rPr>
                <w:rFonts w:asciiTheme="minorHAnsi" w:hAnsiTheme="minorHAnsi" w:cstheme="minorHAnsi"/>
                <w:i/>
                <w:szCs w:val="22"/>
              </w:rPr>
              <w:t xml:space="preserve"> </w:t>
            </w:r>
          </w:p>
        </w:tc>
        <w:tc>
          <w:tcPr>
            <w:tcW w:w="7468" w:type="dxa"/>
            <w:gridSpan w:val="3"/>
            <w:tcBorders>
              <w:top w:val="single" w:sz="4" w:space="0" w:color="auto"/>
              <w:left w:val="single" w:sz="4" w:space="0" w:color="auto"/>
              <w:bottom w:val="single" w:sz="4" w:space="0" w:color="auto"/>
              <w:right w:val="single" w:sz="4" w:space="0" w:color="auto"/>
            </w:tcBorders>
            <w:hideMark/>
          </w:tcPr>
          <w:p w14:paraId="645B35B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maximum sustainable yield </w:t>
            </w:r>
          </w:p>
        </w:tc>
      </w:tr>
      <w:tr w:rsidR="00DD72EF" w:rsidRPr="00B845AF" w14:paraId="599170A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36EC5CD4"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mt </w:t>
            </w:r>
          </w:p>
        </w:tc>
        <w:tc>
          <w:tcPr>
            <w:tcW w:w="7468" w:type="dxa"/>
            <w:gridSpan w:val="3"/>
            <w:tcBorders>
              <w:top w:val="single" w:sz="4" w:space="0" w:color="auto"/>
              <w:left w:val="single" w:sz="4" w:space="0" w:color="auto"/>
              <w:bottom w:val="single" w:sz="4" w:space="0" w:color="auto"/>
              <w:right w:val="single" w:sz="4" w:space="0" w:color="auto"/>
            </w:tcBorders>
            <w:hideMark/>
          </w:tcPr>
          <w:p w14:paraId="24B1F1AE" w14:textId="001F1E29"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metric ton</w:t>
            </w:r>
          </w:p>
        </w:tc>
      </w:tr>
      <w:tr w:rsidR="00791155" w:rsidRPr="00B845AF" w14:paraId="341CF43B"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4E30BEE9" w14:textId="7E862DF9" w:rsidR="00791155" w:rsidRPr="00B845AF" w:rsidRDefault="00791155"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NC</w:t>
            </w:r>
          </w:p>
        </w:tc>
        <w:tc>
          <w:tcPr>
            <w:tcW w:w="7468" w:type="dxa"/>
            <w:gridSpan w:val="3"/>
            <w:tcBorders>
              <w:top w:val="single" w:sz="4" w:space="0" w:color="auto"/>
              <w:left w:val="single" w:sz="4" w:space="0" w:color="auto"/>
              <w:bottom w:val="single" w:sz="4" w:space="0" w:color="auto"/>
              <w:right w:val="single" w:sz="4" w:space="0" w:color="auto"/>
            </w:tcBorders>
          </w:tcPr>
          <w:p w14:paraId="3F18C3D1" w14:textId="29781B28" w:rsidR="00791155" w:rsidRPr="00B845AF" w:rsidRDefault="00791155"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Northern Committee</w:t>
            </w:r>
          </w:p>
        </w:tc>
      </w:tr>
      <w:tr w:rsidR="005538BB" w:rsidRPr="00B845AF" w14:paraId="13E2AF61"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6D6DEE46" w14:textId="09B8BEEC" w:rsidR="005538BB" w:rsidRPr="00B845AF" w:rsidRDefault="005538B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OM</w:t>
            </w:r>
          </w:p>
        </w:tc>
        <w:tc>
          <w:tcPr>
            <w:tcW w:w="7468" w:type="dxa"/>
            <w:gridSpan w:val="3"/>
            <w:tcBorders>
              <w:top w:val="single" w:sz="4" w:space="0" w:color="auto"/>
              <w:left w:val="single" w:sz="4" w:space="0" w:color="auto"/>
              <w:bottom w:val="single" w:sz="4" w:space="0" w:color="auto"/>
              <w:right w:val="single" w:sz="4" w:space="0" w:color="auto"/>
            </w:tcBorders>
          </w:tcPr>
          <w:p w14:paraId="2D5AEA7E" w14:textId="4F3BB6D4" w:rsidR="005538BB" w:rsidRPr="00B845AF" w:rsidRDefault="005538BB"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operating model</w:t>
            </w:r>
          </w:p>
        </w:tc>
      </w:tr>
      <w:tr w:rsidR="00DD72EF" w:rsidRPr="00B845AF" w14:paraId="49D1B035"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0BCB053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PNA </w:t>
            </w:r>
          </w:p>
        </w:tc>
        <w:tc>
          <w:tcPr>
            <w:tcW w:w="7468" w:type="dxa"/>
            <w:gridSpan w:val="3"/>
            <w:tcBorders>
              <w:top w:val="single" w:sz="4" w:space="0" w:color="auto"/>
              <w:left w:val="single" w:sz="4" w:space="0" w:color="auto"/>
              <w:bottom w:val="single" w:sz="4" w:space="0" w:color="auto"/>
              <w:right w:val="single" w:sz="4" w:space="0" w:color="auto"/>
            </w:tcBorders>
            <w:hideMark/>
          </w:tcPr>
          <w:p w14:paraId="0692D3BD"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Parties to the Nauru Agreement </w:t>
            </w:r>
          </w:p>
        </w:tc>
      </w:tr>
      <w:tr w:rsidR="00DD72EF" w:rsidRPr="00B845AF" w14:paraId="759ACD98"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0C61C41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PNG </w:t>
            </w:r>
          </w:p>
        </w:tc>
        <w:tc>
          <w:tcPr>
            <w:tcW w:w="7468" w:type="dxa"/>
            <w:gridSpan w:val="3"/>
            <w:tcBorders>
              <w:top w:val="single" w:sz="4" w:space="0" w:color="auto"/>
              <w:left w:val="single" w:sz="4" w:space="0" w:color="auto"/>
              <w:bottom w:val="single" w:sz="4" w:space="0" w:color="auto"/>
              <w:right w:val="single" w:sz="4" w:space="0" w:color="auto"/>
            </w:tcBorders>
          </w:tcPr>
          <w:p w14:paraId="1DAC49E0"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Papua New Guinea </w:t>
            </w:r>
          </w:p>
        </w:tc>
      </w:tr>
      <w:tr w:rsidR="00DD72EF" w:rsidRPr="00B845AF" w14:paraId="4B7B26FF"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ECE3B6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PTTP </w:t>
            </w:r>
          </w:p>
        </w:tc>
        <w:tc>
          <w:tcPr>
            <w:tcW w:w="7468" w:type="dxa"/>
            <w:gridSpan w:val="3"/>
            <w:tcBorders>
              <w:top w:val="single" w:sz="4" w:space="0" w:color="auto"/>
              <w:left w:val="single" w:sz="4" w:space="0" w:color="auto"/>
              <w:bottom w:val="single" w:sz="4" w:space="0" w:color="auto"/>
              <w:right w:val="single" w:sz="4" w:space="0" w:color="auto"/>
            </w:tcBorders>
            <w:hideMark/>
          </w:tcPr>
          <w:p w14:paraId="58C9A992"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Pacific Tuna Tagging Programme </w:t>
            </w:r>
          </w:p>
        </w:tc>
      </w:tr>
      <w:tr w:rsidR="00DD72EF" w:rsidRPr="00B845AF" w14:paraId="0C416643"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E93E020"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ROP</w:t>
            </w:r>
          </w:p>
        </w:tc>
        <w:tc>
          <w:tcPr>
            <w:tcW w:w="7468" w:type="dxa"/>
            <w:gridSpan w:val="3"/>
            <w:tcBorders>
              <w:top w:val="single" w:sz="4" w:space="0" w:color="auto"/>
              <w:left w:val="single" w:sz="4" w:space="0" w:color="auto"/>
              <w:bottom w:val="single" w:sz="4" w:space="0" w:color="auto"/>
              <w:right w:val="single" w:sz="4" w:space="0" w:color="auto"/>
            </w:tcBorders>
            <w:hideMark/>
          </w:tcPr>
          <w:p w14:paraId="1A09FD2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Regional Observer Programme</w:t>
            </w:r>
          </w:p>
        </w:tc>
      </w:tr>
      <w:tr w:rsidR="00DD72EF" w:rsidRPr="00B845AF" w14:paraId="1D5843E5"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3FCC872"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RFMO </w:t>
            </w:r>
          </w:p>
        </w:tc>
        <w:tc>
          <w:tcPr>
            <w:tcW w:w="7468" w:type="dxa"/>
            <w:gridSpan w:val="3"/>
            <w:tcBorders>
              <w:top w:val="single" w:sz="4" w:space="0" w:color="auto"/>
              <w:left w:val="single" w:sz="4" w:space="0" w:color="auto"/>
              <w:bottom w:val="single" w:sz="4" w:space="0" w:color="auto"/>
              <w:right w:val="single" w:sz="4" w:space="0" w:color="auto"/>
            </w:tcBorders>
            <w:hideMark/>
          </w:tcPr>
          <w:p w14:paraId="53A2886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regional fisheries management organization </w:t>
            </w:r>
          </w:p>
        </w:tc>
      </w:tr>
      <w:tr w:rsidR="00DD72EF" w:rsidRPr="00B845AF" w14:paraId="53265EB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5E31658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RMI </w:t>
            </w:r>
          </w:p>
        </w:tc>
        <w:tc>
          <w:tcPr>
            <w:tcW w:w="7468" w:type="dxa"/>
            <w:gridSpan w:val="3"/>
            <w:tcBorders>
              <w:top w:val="single" w:sz="4" w:space="0" w:color="auto"/>
              <w:left w:val="single" w:sz="4" w:space="0" w:color="auto"/>
              <w:bottom w:val="single" w:sz="4" w:space="0" w:color="auto"/>
              <w:right w:val="single" w:sz="4" w:space="0" w:color="auto"/>
            </w:tcBorders>
            <w:hideMark/>
          </w:tcPr>
          <w:p w14:paraId="2811EFB9"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Republic of the Marshall Islands </w:t>
            </w:r>
          </w:p>
        </w:tc>
      </w:tr>
      <w:tr w:rsidR="00874411" w:rsidRPr="00B845AF" w14:paraId="69DF1B90"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53F50C0D" w14:textId="3C322158" w:rsidR="00874411" w:rsidRPr="00B845AF" w:rsidRDefault="00874411"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RTMB</w:t>
            </w:r>
          </w:p>
        </w:tc>
        <w:tc>
          <w:tcPr>
            <w:tcW w:w="7468" w:type="dxa"/>
            <w:gridSpan w:val="3"/>
            <w:tcBorders>
              <w:top w:val="single" w:sz="4" w:space="0" w:color="auto"/>
              <w:left w:val="single" w:sz="4" w:space="0" w:color="auto"/>
              <w:bottom w:val="single" w:sz="4" w:space="0" w:color="auto"/>
              <w:right w:val="single" w:sz="4" w:space="0" w:color="auto"/>
            </w:tcBorders>
          </w:tcPr>
          <w:p w14:paraId="7ADC20B1" w14:textId="7F9D8872" w:rsidR="00874411" w:rsidRPr="00B845AF" w:rsidRDefault="00874411"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Template Model Building in R</w:t>
            </w:r>
          </w:p>
        </w:tc>
      </w:tr>
      <w:tr w:rsidR="009977E1" w:rsidRPr="00B845AF" w14:paraId="0310535E"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3A5EC581" w14:textId="520FC1CE" w:rsidR="009977E1" w:rsidRPr="00B845AF" w:rsidRDefault="009977E1"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SA</w:t>
            </w:r>
          </w:p>
        </w:tc>
        <w:tc>
          <w:tcPr>
            <w:tcW w:w="7468" w:type="dxa"/>
            <w:gridSpan w:val="3"/>
            <w:tcBorders>
              <w:top w:val="single" w:sz="4" w:space="0" w:color="auto"/>
              <w:left w:val="single" w:sz="4" w:space="0" w:color="auto"/>
              <w:bottom w:val="single" w:sz="4" w:space="0" w:color="auto"/>
              <w:right w:val="single" w:sz="4" w:space="0" w:color="auto"/>
            </w:tcBorders>
          </w:tcPr>
          <w:p w14:paraId="60CBBCA1" w14:textId="5FA726B0" w:rsidR="009977E1" w:rsidRPr="00B845AF" w:rsidRDefault="009977E1"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stock assessment</w:t>
            </w:r>
          </w:p>
        </w:tc>
      </w:tr>
      <w:tr w:rsidR="00DD72EF" w:rsidRPr="00B845AF" w14:paraId="5E53E5F7"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020BF8B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SB </w:t>
            </w:r>
          </w:p>
        </w:tc>
        <w:tc>
          <w:tcPr>
            <w:tcW w:w="7468" w:type="dxa"/>
            <w:gridSpan w:val="3"/>
            <w:tcBorders>
              <w:top w:val="single" w:sz="4" w:space="0" w:color="auto"/>
              <w:left w:val="single" w:sz="4" w:space="0" w:color="auto"/>
              <w:bottom w:val="single" w:sz="4" w:space="0" w:color="auto"/>
              <w:right w:val="single" w:sz="4" w:space="0" w:color="auto"/>
            </w:tcBorders>
            <w:hideMark/>
          </w:tcPr>
          <w:p w14:paraId="2050FF03"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spawning biomass </w:t>
            </w:r>
          </w:p>
        </w:tc>
      </w:tr>
      <w:tr w:rsidR="00DD72EF" w:rsidRPr="00B845AF" w14:paraId="32382CB7"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53AA175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SC</w:t>
            </w:r>
            <w:r w:rsidRPr="00B845AF">
              <w:rPr>
                <w:rFonts w:asciiTheme="minorHAnsi" w:hAnsiTheme="minorHAnsi" w:cstheme="minorHAnsi"/>
                <w:szCs w:val="22"/>
              </w:rPr>
              <w:tab/>
            </w:r>
          </w:p>
        </w:tc>
        <w:tc>
          <w:tcPr>
            <w:tcW w:w="7468" w:type="dxa"/>
            <w:gridSpan w:val="3"/>
            <w:tcBorders>
              <w:top w:val="single" w:sz="4" w:space="0" w:color="auto"/>
              <w:left w:val="single" w:sz="4" w:space="0" w:color="auto"/>
              <w:bottom w:val="single" w:sz="4" w:space="0" w:color="auto"/>
              <w:right w:val="single" w:sz="4" w:space="0" w:color="auto"/>
            </w:tcBorders>
            <w:hideMark/>
          </w:tcPr>
          <w:p w14:paraId="3F4E199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Scientific Committee of the WCPFC</w:t>
            </w:r>
          </w:p>
        </w:tc>
      </w:tr>
      <w:tr w:rsidR="00DD72EF" w:rsidRPr="00B845AF" w14:paraId="69802497"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2D9AE694"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SIDS </w:t>
            </w:r>
          </w:p>
        </w:tc>
        <w:tc>
          <w:tcPr>
            <w:tcW w:w="7468" w:type="dxa"/>
            <w:gridSpan w:val="3"/>
            <w:tcBorders>
              <w:top w:val="single" w:sz="4" w:space="0" w:color="auto"/>
              <w:left w:val="single" w:sz="4" w:space="0" w:color="auto"/>
              <w:bottom w:val="single" w:sz="4" w:space="0" w:color="auto"/>
              <w:right w:val="single" w:sz="4" w:space="0" w:color="auto"/>
            </w:tcBorders>
            <w:hideMark/>
          </w:tcPr>
          <w:p w14:paraId="2A8C7563"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small island developing state </w:t>
            </w:r>
          </w:p>
        </w:tc>
      </w:tr>
      <w:tr w:rsidR="00DD72EF" w:rsidRPr="00B845AF" w14:paraId="54020EB9"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7408959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SPC-OFP </w:t>
            </w:r>
          </w:p>
        </w:tc>
        <w:tc>
          <w:tcPr>
            <w:tcW w:w="7468" w:type="dxa"/>
            <w:gridSpan w:val="3"/>
            <w:tcBorders>
              <w:top w:val="single" w:sz="4" w:space="0" w:color="auto"/>
              <w:left w:val="single" w:sz="4" w:space="0" w:color="auto"/>
              <w:bottom w:val="single" w:sz="4" w:space="0" w:color="auto"/>
              <w:right w:val="single" w:sz="4" w:space="0" w:color="auto"/>
            </w:tcBorders>
            <w:hideMark/>
          </w:tcPr>
          <w:p w14:paraId="085F887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Oceanic Fisheries Programme of the Pacific Community</w:t>
            </w:r>
          </w:p>
        </w:tc>
      </w:tr>
      <w:tr w:rsidR="00DD72EF" w:rsidRPr="00B845AF" w14:paraId="4C6773AB"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6DFBA77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SPR </w:t>
            </w:r>
          </w:p>
        </w:tc>
        <w:tc>
          <w:tcPr>
            <w:tcW w:w="7468" w:type="dxa"/>
            <w:gridSpan w:val="3"/>
            <w:tcBorders>
              <w:top w:val="single" w:sz="4" w:space="0" w:color="auto"/>
              <w:left w:val="single" w:sz="4" w:space="0" w:color="auto"/>
              <w:bottom w:val="single" w:sz="4" w:space="0" w:color="auto"/>
              <w:right w:val="single" w:sz="4" w:space="0" w:color="auto"/>
            </w:tcBorders>
            <w:hideMark/>
          </w:tcPr>
          <w:p w14:paraId="6A54A5BF"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spawning potential ratio </w:t>
            </w:r>
          </w:p>
        </w:tc>
      </w:tr>
      <w:tr w:rsidR="00DD72EF" w:rsidRPr="00B845AF" w14:paraId="24941B60"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33E95E8B"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SSB </w:t>
            </w:r>
          </w:p>
        </w:tc>
        <w:tc>
          <w:tcPr>
            <w:tcW w:w="7468" w:type="dxa"/>
            <w:gridSpan w:val="3"/>
            <w:tcBorders>
              <w:top w:val="single" w:sz="4" w:space="0" w:color="auto"/>
              <w:left w:val="single" w:sz="4" w:space="0" w:color="auto"/>
              <w:bottom w:val="single" w:sz="4" w:space="0" w:color="auto"/>
              <w:right w:val="single" w:sz="4" w:space="0" w:color="auto"/>
            </w:tcBorders>
            <w:hideMark/>
          </w:tcPr>
          <w:p w14:paraId="1ADCD2EA"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spawning stock biomass </w:t>
            </w:r>
          </w:p>
        </w:tc>
      </w:tr>
      <w:tr w:rsidR="00DD72EF" w:rsidRPr="00B845AF" w14:paraId="2FDC46E6"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60EAE679"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SSI</w:t>
            </w:r>
          </w:p>
        </w:tc>
        <w:tc>
          <w:tcPr>
            <w:tcW w:w="7468" w:type="dxa"/>
            <w:gridSpan w:val="3"/>
            <w:tcBorders>
              <w:top w:val="single" w:sz="4" w:space="0" w:color="auto"/>
              <w:left w:val="single" w:sz="4" w:space="0" w:color="auto"/>
              <w:bottom w:val="single" w:sz="4" w:space="0" w:color="auto"/>
              <w:right w:val="single" w:sz="4" w:space="0" w:color="auto"/>
            </w:tcBorders>
            <w:hideMark/>
          </w:tcPr>
          <w:p w14:paraId="2E989D6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species of special interest</w:t>
            </w:r>
          </w:p>
        </w:tc>
      </w:tr>
      <w:tr w:rsidR="00EB6323" w:rsidRPr="00B845AF" w14:paraId="638D71C7"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2ACFADB4" w14:textId="7091D720" w:rsidR="00EB6323" w:rsidRPr="00B845AF" w:rsidRDefault="00EB6323"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SSP </w:t>
            </w:r>
          </w:p>
        </w:tc>
        <w:tc>
          <w:tcPr>
            <w:tcW w:w="7468" w:type="dxa"/>
            <w:gridSpan w:val="3"/>
            <w:tcBorders>
              <w:top w:val="single" w:sz="4" w:space="0" w:color="auto"/>
              <w:left w:val="single" w:sz="4" w:space="0" w:color="auto"/>
              <w:bottom w:val="single" w:sz="4" w:space="0" w:color="auto"/>
              <w:right w:val="single" w:sz="4" w:space="0" w:color="auto"/>
            </w:tcBorders>
          </w:tcPr>
          <w:p w14:paraId="7C47A4E2" w14:textId="57CCE0E9" w:rsidR="00EB6323" w:rsidRPr="00B845AF" w:rsidRDefault="00EB6323"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scientific services provider </w:t>
            </w:r>
          </w:p>
        </w:tc>
      </w:tr>
      <w:tr w:rsidR="00DD72EF" w:rsidRPr="00B845AF" w14:paraId="126A4CED"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3098B967"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TCC </w:t>
            </w:r>
          </w:p>
        </w:tc>
        <w:tc>
          <w:tcPr>
            <w:tcW w:w="7468" w:type="dxa"/>
            <w:gridSpan w:val="3"/>
            <w:tcBorders>
              <w:top w:val="single" w:sz="4" w:space="0" w:color="auto"/>
              <w:left w:val="single" w:sz="4" w:space="0" w:color="auto"/>
              <w:bottom w:val="single" w:sz="4" w:space="0" w:color="auto"/>
              <w:right w:val="single" w:sz="4" w:space="0" w:color="auto"/>
            </w:tcBorders>
            <w:hideMark/>
          </w:tcPr>
          <w:p w14:paraId="6E0D61B5"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Technical and Compliance Committee of the WCPFC</w:t>
            </w:r>
          </w:p>
        </w:tc>
      </w:tr>
      <w:tr w:rsidR="00DD72EF" w:rsidRPr="00B845AF" w14:paraId="114AD2E3"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1315D06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TOR</w:t>
            </w:r>
          </w:p>
        </w:tc>
        <w:tc>
          <w:tcPr>
            <w:tcW w:w="7468" w:type="dxa"/>
            <w:gridSpan w:val="3"/>
            <w:tcBorders>
              <w:top w:val="single" w:sz="4" w:space="0" w:color="auto"/>
              <w:left w:val="single" w:sz="4" w:space="0" w:color="auto"/>
              <w:bottom w:val="single" w:sz="4" w:space="0" w:color="auto"/>
              <w:right w:val="single" w:sz="4" w:space="0" w:color="auto"/>
            </w:tcBorders>
            <w:hideMark/>
          </w:tcPr>
          <w:p w14:paraId="46E9C58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terms of reference</w:t>
            </w:r>
          </w:p>
        </w:tc>
      </w:tr>
      <w:tr w:rsidR="00DD72EF" w:rsidRPr="00B845AF" w14:paraId="5013CE19"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7E890CF4"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TRP</w:t>
            </w:r>
          </w:p>
        </w:tc>
        <w:tc>
          <w:tcPr>
            <w:tcW w:w="7468" w:type="dxa"/>
            <w:gridSpan w:val="3"/>
            <w:tcBorders>
              <w:top w:val="single" w:sz="4" w:space="0" w:color="auto"/>
              <w:left w:val="single" w:sz="4" w:space="0" w:color="auto"/>
              <w:bottom w:val="single" w:sz="4" w:space="0" w:color="auto"/>
              <w:right w:val="single" w:sz="4" w:space="0" w:color="auto"/>
            </w:tcBorders>
          </w:tcPr>
          <w:p w14:paraId="6AC2D936"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target reference point</w:t>
            </w:r>
          </w:p>
        </w:tc>
      </w:tr>
      <w:tr w:rsidR="00DD72EF" w:rsidRPr="00B845AF" w14:paraId="700E096C"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1A8836DC" w14:textId="15FA4275"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VB</w:t>
            </w:r>
          </w:p>
        </w:tc>
        <w:tc>
          <w:tcPr>
            <w:tcW w:w="7468" w:type="dxa"/>
            <w:gridSpan w:val="3"/>
            <w:tcBorders>
              <w:top w:val="single" w:sz="4" w:space="0" w:color="auto"/>
              <w:left w:val="single" w:sz="4" w:space="0" w:color="auto"/>
              <w:bottom w:val="single" w:sz="4" w:space="0" w:color="auto"/>
              <w:right w:val="single" w:sz="4" w:space="0" w:color="auto"/>
            </w:tcBorders>
            <w:hideMark/>
          </w:tcPr>
          <w:p w14:paraId="76AD43C6" w14:textId="58BC6DF6"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von Bertalanffy </w:t>
            </w:r>
            <w:r w:rsidR="003E2537" w:rsidRPr="00B845AF">
              <w:rPr>
                <w:rFonts w:asciiTheme="minorHAnsi" w:hAnsiTheme="minorHAnsi" w:cstheme="minorHAnsi"/>
                <w:szCs w:val="22"/>
              </w:rPr>
              <w:t>(</w:t>
            </w:r>
            <w:r w:rsidRPr="00B845AF">
              <w:rPr>
                <w:rFonts w:asciiTheme="minorHAnsi" w:hAnsiTheme="minorHAnsi" w:cstheme="minorHAnsi"/>
                <w:szCs w:val="22"/>
              </w:rPr>
              <w:t>growth function</w:t>
            </w:r>
            <w:r w:rsidR="003E2537" w:rsidRPr="00B845AF">
              <w:rPr>
                <w:rFonts w:asciiTheme="minorHAnsi" w:hAnsiTheme="minorHAnsi" w:cstheme="minorHAnsi"/>
                <w:szCs w:val="22"/>
              </w:rPr>
              <w:t>)</w:t>
            </w:r>
          </w:p>
        </w:tc>
      </w:tr>
      <w:tr w:rsidR="00DD72EF" w:rsidRPr="00B845AF" w14:paraId="6A3D1DD1"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tcPr>
          <w:p w14:paraId="02A0F08C"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VMS</w:t>
            </w:r>
          </w:p>
        </w:tc>
        <w:tc>
          <w:tcPr>
            <w:tcW w:w="7468" w:type="dxa"/>
            <w:gridSpan w:val="3"/>
            <w:tcBorders>
              <w:top w:val="single" w:sz="4" w:space="0" w:color="auto"/>
              <w:left w:val="single" w:sz="4" w:space="0" w:color="auto"/>
              <w:bottom w:val="single" w:sz="4" w:space="0" w:color="auto"/>
              <w:right w:val="single" w:sz="4" w:space="0" w:color="auto"/>
            </w:tcBorders>
          </w:tcPr>
          <w:p w14:paraId="7338EF3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vessel monitoring system</w:t>
            </w:r>
          </w:p>
        </w:tc>
      </w:tr>
      <w:tr w:rsidR="00DD72EF" w:rsidRPr="00B845AF" w14:paraId="2AC4B35E"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5ADC4CD"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WCPFC</w:t>
            </w:r>
          </w:p>
        </w:tc>
        <w:tc>
          <w:tcPr>
            <w:tcW w:w="7468" w:type="dxa"/>
            <w:gridSpan w:val="3"/>
            <w:tcBorders>
              <w:top w:val="single" w:sz="4" w:space="0" w:color="auto"/>
              <w:left w:val="single" w:sz="4" w:space="0" w:color="auto"/>
              <w:bottom w:val="single" w:sz="4" w:space="0" w:color="auto"/>
              <w:right w:val="single" w:sz="4" w:space="0" w:color="auto"/>
            </w:tcBorders>
            <w:hideMark/>
          </w:tcPr>
          <w:p w14:paraId="3663B933"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Western and Central Pacific Fisheries Commission</w:t>
            </w:r>
          </w:p>
        </w:tc>
      </w:tr>
      <w:tr w:rsidR="00DD72EF" w:rsidRPr="00B845AF" w14:paraId="16A02C70"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5721EED2"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WCPFC Convention Area</w:t>
            </w:r>
          </w:p>
        </w:tc>
        <w:tc>
          <w:tcPr>
            <w:tcW w:w="7468" w:type="dxa"/>
            <w:gridSpan w:val="3"/>
            <w:tcBorders>
              <w:top w:val="single" w:sz="4" w:space="0" w:color="auto"/>
              <w:left w:val="single" w:sz="4" w:space="0" w:color="auto"/>
              <w:bottom w:val="single" w:sz="4" w:space="0" w:color="auto"/>
              <w:right w:val="single" w:sz="4" w:space="0" w:color="auto"/>
            </w:tcBorders>
            <w:hideMark/>
          </w:tcPr>
          <w:p w14:paraId="4BD3C7A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The area of competence of the Commission for the Conservation and Management of Highly Migratory Fish Stocks in the Western and Central Pacific Ocean</w:t>
            </w:r>
          </w:p>
        </w:tc>
      </w:tr>
      <w:tr w:rsidR="00DD72EF" w:rsidRPr="00B845AF" w14:paraId="429AEC6D"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19D59071"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WCPFC Statistical Area</w:t>
            </w:r>
          </w:p>
        </w:tc>
        <w:tc>
          <w:tcPr>
            <w:tcW w:w="7468" w:type="dxa"/>
            <w:gridSpan w:val="3"/>
            <w:tcBorders>
              <w:top w:val="single" w:sz="4" w:space="0" w:color="auto"/>
              <w:left w:val="single" w:sz="4" w:space="0" w:color="auto"/>
              <w:bottom w:val="single" w:sz="4" w:space="0" w:color="auto"/>
              <w:right w:val="single" w:sz="4" w:space="0" w:color="auto"/>
            </w:tcBorders>
            <w:hideMark/>
          </w:tcPr>
          <w:p w14:paraId="31130B08"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 xml:space="preserve">The WCPFC Statistical Area is defined in para. 8 of the </w:t>
            </w:r>
            <w:proofErr w:type="gramStart"/>
            <w:r w:rsidRPr="00B845AF">
              <w:rPr>
                <w:rFonts w:asciiTheme="minorHAnsi" w:hAnsiTheme="minorHAnsi" w:cstheme="minorHAnsi"/>
                <w:szCs w:val="22"/>
              </w:rPr>
              <w:t>document</w:t>
            </w:r>
            <w:proofErr w:type="gramEnd"/>
            <w:r w:rsidRPr="00B845AF">
              <w:rPr>
                <w:rFonts w:asciiTheme="minorHAnsi" w:hAnsiTheme="minorHAnsi" w:cstheme="minorHAnsi"/>
                <w:szCs w:val="22"/>
              </w:rPr>
              <w:t xml:space="preserve"> “Scientific data to be provided to the Commission”</w:t>
            </w:r>
          </w:p>
        </w:tc>
      </w:tr>
      <w:tr w:rsidR="00DD72EF" w:rsidRPr="00B845AF" w14:paraId="0433B994"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C6CE61E"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WCPO</w:t>
            </w:r>
          </w:p>
        </w:tc>
        <w:tc>
          <w:tcPr>
            <w:tcW w:w="7468" w:type="dxa"/>
            <w:gridSpan w:val="3"/>
            <w:tcBorders>
              <w:top w:val="single" w:sz="4" w:space="0" w:color="auto"/>
              <w:left w:val="single" w:sz="4" w:space="0" w:color="auto"/>
              <w:bottom w:val="single" w:sz="4" w:space="0" w:color="auto"/>
              <w:right w:val="single" w:sz="4" w:space="0" w:color="auto"/>
            </w:tcBorders>
            <w:hideMark/>
          </w:tcPr>
          <w:p w14:paraId="08C4E28C"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western and central Pacific Ocean</w:t>
            </w:r>
          </w:p>
        </w:tc>
      </w:tr>
      <w:tr w:rsidR="00DD72EF" w:rsidRPr="00B845AF" w14:paraId="7CDB9D55" w14:textId="77777777" w:rsidTr="00EA2E96">
        <w:trPr>
          <w:trHeight w:val="145"/>
        </w:trPr>
        <w:tc>
          <w:tcPr>
            <w:tcW w:w="1892" w:type="dxa"/>
            <w:tcBorders>
              <w:top w:val="single" w:sz="4" w:space="0" w:color="auto"/>
              <w:left w:val="single" w:sz="4" w:space="0" w:color="auto"/>
              <w:bottom w:val="single" w:sz="4" w:space="0" w:color="auto"/>
              <w:right w:val="single" w:sz="4" w:space="0" w:color="auto"/>
            </w:tcBorders>
            <w:hideMark/>
          </w:tcPr>
          <w:p w14:paraId="4F631664"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WG</w:t>
            </w:r>
          </w:p>
        </w:tc>
        <w:tc>
          <w:tcPr>
            <w:tcW w:w="7468" w:type="dxa"/>
            <w:gridSpan w:val="3"/>
            <w:tcBorders>
              <w:top w:val="single" w:sz="4" w:space="0" w:color="auto"/>
              <w:left w:val="single" w:sz="4" w:space="0" w:color="auto"/>
              <w:bottom w:val="single" w:sz="4" w:space="0" w:color="auto"/>
              <w:right w:val="single" w:sz="4" w:space="0" w:color="auto"/>
            </w:tcBorders>
            <w:hideMark/>
          </w:tcPr>
          <w:p w14:paraId="275ED9F0" w14:textId="77777777" w:rsidR="00DD72EF" w:rsidRPr="00B845AF" w:rsidRDefault="00DD72EF" w:rsidP="001A23E2">
            <w:pPr>
              <w:autoSpaceDE w:val="0"/>
              <w:autoSpaceDN w:val="0"/>
              <w:adjustRightInd w:val="0"/>
              <w:snapToGrid w:val="0"/>
              <w:jc w:val="both"/>
              <w:rPr>
                <w:rFonts w:asciiTheme="minorHAnsi" w:hAnsiTheme="minorHAnsi" w:cstheme="minorHAnsi"/>
                <w:szCs w:val="22"/>
              </w:rPr>
            </w:pPr>
            <w:r w:rsidRPr="00B845AF">
              <w:rPr>
                <w:rFonts w:asciiTheme="minorHAnsi" w:hAnsiTheme="minorHAnsi" w:cstheme="minorHAnsi"/>
                <w:szCs w:val="22"/>
              </w:rPr>
              <w:t>working group</w:t>
            </w:r>
          </w:p>
        </w:tc>
      </w:tr>
    </w:tbl>
    <w:p w14:paraId="102FBB38" w14:textId="77777777" w:rsidR="00EE2E72" w:rsidRPr="00B845AF" w:rsidRDefault="00EE2E72" w:rsidP="001A23E2">
      <w:pPr>
        <w:autoSpaceDE w:val="0"/>
        <w:autoSpaceDN w:val="0"/>
        <w:adjustRightInd w:val="0"/>
        <w:snapToGrid w:val="0"/>
        <w:jc w:val="both"/>
        <w:rPr>
          <w:rFonts w:asciiTheme="minorHAnsi" w:hAnsiTheme="minorHAnsi" w:cstheme="minorHAnsi"/>
          <w:szCs w:val="22"/>
        </w:rPr>
      </w:pPr>
    </w:p>
    <w:sectPr w:rsidR="00EE2E72" w:rsidRPr="00B845AF" w:rsidSect="00F14811">
      <w:headerReference w:type="default" r:id="rId169"/>
      <w:footerReference w:type="default" r:id="rId17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52789" w14:textId="77777777" w:rsidR="006D088A" w:rsidRPr="00F806A5" w:rsidRDefault="006D088A">
      <w:r w:rsidRPr="00F806A5">
        <w:separator/>
      </w:r>
    </w:p>
  </w:endnote>
  <w:endnote w:type="continuationSeparator" w:id="0">
    <w:p w14:paraId="1412CE47" w14:textId="77777777" w:rsidR="006D088A" w:rsidRPr="00F806A5" w:rsidRDefault="006D088A">
      <w:r w:rsidRPr="00F806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ongolian Baiti">
    <w:panose1 w:val="03000500000000000000"/>
    <w:charset w:val="00"/>
    <w:family w:val="script"/>
    <w:pitch w:val="variable"/>
    <w:sig w:usb0="80000023" w:usb1="00000000" w:usb2="00020000" w:usb3="00000000" w:csb0="00000001"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MR10">
    <w:altName w:val="Cambria"/>
    <w:charset w:val="00"/>
    <w:family w:val="swiss"/>
    <w:pitch w:val="variable"/>
    <w:sig w:usb0="00000003" w:usb1="00000000" w:usb2="00000000" w:usb3="00000000" w:csb0="00000001" w:csb1="00000000"/>
  </w:font>
  <w:font w:name="CMTI10">
    <w:altName w:val="Times New Roman"/>
    <w:panose1 w:val="00000000000000000000"/>
    <w:charset w:val="00"/>
    <w:family w:val="roman"/>
    <w:notTrueType/>
    <w:pitch w:val="default"/>
  </w:font>
  <w:font w:name="CMMI8">
    <w:altName w:val="Times New Roman"/>
    <w:panose1 w:val="00000000000000000000"/>
    <w:charset w:val="00"/>
    <w:family w:val="roman"/>
    <w:notTrueType/>
    <w:pitch w:val="default"/>
  </w:font>
  <w:font w:name="CMMI10">
    <w:altName w:val="Times New Roman"/>
    <w:charset w:val="00"/>
    <w:family w:val="swiss"/>
    <w:pitch w:val="variable"/>
    <w:sig w:usb0="00000003" w:usb1="00000000" w:usb2="00000000" w:usb3="00000000" w:csb0="00000001" w:csb1="00000000"/>
  </w:font>
  <w:font w:name="CMR8">
    <w:altName w:val="Times New Roman"/>
    <w:panose1 w:val="00000000000000000000"/>
    <w:charset w:val="00"/>
    <w:family w:val="roman"/>
    <w:notTrueType/>
    <w:pitch w:val="default"/>
  </w:font>
  <w:font w:name="MS PMincho">
    <w:charset w:val="80"/>
    <w:family w:val="roman"/>
    <w:pitch w:val="variable"/>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W1)">
    <w:altName w:val="Times New Roman"/>
    <w:charset w:val="00"/>
    <w:family w:val="roman"/>
    <w:pitch w:val="variable"/>
    <w:sig w:usb0="00000000"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258740593"/>
      <w:docPartObj>
        <w:docPartGallery w:val="Page Numbers (Bottom of Page)"/>
        <w:docPartUnique/>
      </w:docPartObj>
    </w:sdtPr>
    <w:sdtContent>
      <w:p w14:paraId="7CF8C366" w14:textId="77777777" w:rsidR="00533894" w:rsidRPr="00F806A5" w:rsidRDefault="00533894">
        <w:pPr>
          <w:pStyle w:val="Footer"/>
          <w:jc w:val="center"/>
          <w:rPr>
            <w:lang w:val="en-US"/>
          </w:rPr>
        </w:pPr>
        <w:r w:rsidRPr="00F806A5">
          <w:rPr>
            <w:lang w:val="en-US"/>
          </w:rPr>
          <w:fldChar w:fldCharType="begin"/>
        </w:r>
        <w:r w:rsidRPr="00F806A5">
          <w:rPr>
            <w:lang w:val="en-US"/>
          </w:rPr>
          <w:instrText xml:space="preserve"> PAGE   \* MERGEFORMAT </w:instrText>
        </w:r>
        <w:r w:rsidRPr="00F806A5">
          <w:rPr>
            <w:lang w:val="en-US"/>
          </w:rPr>
          <w:fldChar w:fldCharType="separate"/>
        </w:r>
        <w:r w:rsidRPr="00F806A5">
          <w:rPr>
            <w:lang w:val="en-US"/>
          </w:rPr>
          <w:t>ii</w:t>
        </w:r>
        <w:r w:rsidRPr="00F806A5">
          <w:rPr>
            <w:lang w:val="en-US"/>
          </w:rPr>
          <w:fldChar w:fldCharType="end"/>
        </w:r>
      </w:p>
    </w:sdtContent>
  </w:sdt>
  <w:p w14:paraId="6E6D1205" w14:textId="77777777" w:rsidR="00533894" w:rsidRPr="00F806A5" w:rsidRDefault="0053389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CA8EE" w14:textId="156913D9" w:rsidR="00533894" w:rsidRPr="00F806A5" w:rsidRDefault="00533894">
    <w:pPr>
      <w:pStyle w:val="Footer"/>
      <w:jc w:val="center"/>
      <w:rPr>
        <w:lang w:val="en-US"/>
      </w:rPr>
    </w:pPr>
  </w:p>
  <w:p w14:paraId="6BD69AF5" w14:textId="77777777" w:rsidR="00533894" w:rsidRPr="00F806A5" w:rsidRDefault="00533894">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222413241"/>
      <w:docPartObj>
        <w:docPartGallery w:val="Page Numbers (Bottom of Page)"/>
        <w:docPartUnique/>
      </w:docPartObj>
    </w:sdtPr>
    <w:sdtContent>
      <w:p w14:paraId="1997D572" w14:textId="09135A4F" w:rsidR="00533894" w:rsidRPr="00F806A5" w:rsidRDefault="00533894">
        <w:pPr>
          <w:pStyle w:val="Footer"/>
          <w:jc w:val="center"/>
          <w:rPr>
            <w:lang w:val="en-US"/>
          </w:rPr>
        </w:pPr>
        <w:r w:rsidRPr="00F806A5">
          <w:rPr>
            <w:lang w:val="en-US"/>
          </w:rPr>
          <w:fldChar w:fldCharType="begin"/>
        </w:r>
        <w:r w:rsidRPr="00F806A5">
          <w:rPr>
            <w:lang w:val="en-US"/>
          </w:rPr>
          <w:instrText xml:space="preserve"> PAGE   \* MERGEFORMAT </w:instrText>
        </w:r>
        <w:r w:rsidRPr="00F806A5">
          <w:rPr>
            <w:lang w:val="en-US"/>
          </w:rPr>
          <w:fldChar w:fldCharType="separate"/>
        </w:r>
        <w:r w:rsidRPr="00F806A5">
          <w:rPr>
            <w:lang w:val="en-US"/>
          </w:rPr>
          <w:t>116</w:t>
        </w:r>
        <w:r w:rsidRPr="00F806A5">
          <w:rPr>
            <w:lang w:val="en-US"/>
          </w:rPr>
          <w:fldChar w:fldCharType="end"/>
        </w:r>
      </w:p>
    </w:sdtContent>
  </w:sdt>
  <w:p w14:paraId="70E443E3" w14:textId="77777777" w:rsidR="00533894" w:rsidRPr="00F806A5" w:rsidRDefault="00533894">
    <w:pPr>
      <w:pStyle w:val="Footer"/>
      <w:rPr>
        <w:lang w:val="en-US"/>
      </w:rPr>
    </w:pPr>
  </w:p>
  <w:p w14:paraId="31464C9D" w14:textId="77777777" w:rsidR="00F67619" w:rsidRPr="00F806A5" w:rsidRDefault="00F6761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B011C" w14:textId="77777777" w:rsidR="00CA5547" w:rsidRPr="00F806A5" w:rsidRDefault="00CA5547">
    <w:pPr>
      <w:spacing w:line="259" w:lineRule="auto"/>
      <w:ind w:right="52"/>
      <w:jc w:val="center"/>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w:t>
    </w:r>
    <w:r w:rsidRPr="00F806A5">
      <w:rPr>
        <w:rFonts w:ascii="Times New Roman" w:hAnsi="Times New Roman"/>
        <w:sz w:val="20"/>
      </w:rPr>
      <w:fldChar w:fldCharType="end"/>
    </w:r>
    <w:r w:rsidRPr="00F806A5">
      <w:rPr>
        <w:rFonts w:ascii="Times New Roman" w:hAnsi="Times New Roman"/>
        <w:sz w:val="20"/>
      </w:rPr>
      <w:t xml:space="preserve"> </w:t>
    </w:r>
  </w:p>
  <w:p w14:paraId="46B67A9E" w14:textId="77777777" w:rsidR="00CA5547" w:rsidRPr="00F806A5" w:rsidRDefault="00CA5547">
    <w:pPr>
      <w:spacing w:line="259" w:lineRule="auto"/>
    </w:pPr>
    <w:r w:rsidRPr="00F806A5">
      <w:rPr>
        <w:rFonts w:ascii="Times New Roman" w:hAnsi="Times New Roman"/>
        <w:sz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6B89" w14:textId="77777777" w:rsidR="00CA5547" w:rsidRPr="00F806A5" w:rsidRDefault="00CA5547">
    <w:pPr>
      <w:spacing w:line="259" w:lineRule="auto"/>
      <w:ind w:right="52"/>
      <w:jc w:val="center"/>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w:t>
    </w:r>
    <w:r w:rsidRPr="00F806A5">
      <w:rPr>
        <w:rFonts w:ascii="Times New Roman" w:hAnsi="Times New Roman"/>
        <w:sz w:val="20"/>
      </w:rPr>
      <w:fldChar w:fldCharType="end"/>
    </w:r>
    <w:r w:rsidRPr="00F806A5">
      <w:rPr>
        <w:rFonts w:ascii="Times New Roman" w:hAnsi="Times New Roman"/>
        <w:sz w:val="20"/>
      </w:rPr>
      <w:t xml:space="preserve"> </w:t>
    </w:r>
  </w:p>
  <w:p w14:paraId="724E404E" w14:textId="77777777" w:rsidR="00CA5547" w:rsidRPr="00F806A5" w:rsidRDefault="00CA5547">
    <w:pPr>
      <w:spacing w:line="259" w:lineRule="auto"/>
    </w:pPr>
    <w:r w:rsidRPr="00F806A5">
      <w:rPr>
        <w:rFonts w:ascii="Times New Roman" w:hAnsi="Times New Roman"/>
        <w:sz w:val="20"/>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F485D" w14:textId="77777777" w:rsidR="00CA5547" w:rsidRPr="00F806A5" w:rsidRDefault="00CA5547">
    <w:pPr>
      <w:spacing w:line="259" w:lineRule="auto"/>
      <w:ind w:right="52"/>
      <w:jc w:val="center"/>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w:t>
    </w:r>
    <w:r w:rsidRPr="00F806A5">
      <w:rPr>
        <w:rFonts w:ascii="Times New Roman" w:hAnsi="Times New Roman"/>
        <w:sz w:val="20"/>
      </w:rPr>
      <w:fldChar w:fldCharType="end"/>
    </w:r>
    <w:r w:rsidRPr="00F806A5">
      <w:rPr>
        <w:rFonts w:ascii="Times New Roman" w:hAnsi="Times New Roman"/>
        <w:sz w:val="20"/>
      </w:rPr>
      <w:t xml:space="preserve"> </w:t>
    </w:r>
  </w:p>
  <w:p w14:paraId="1247EA36" w14:textId="77777777" w:rsidR="00CA5547" w:rsidRPr="00F806A5" w:rsidRDefault="00CA5547">
    <w:pPr>
      <w:spacing w:line="259" w:lineRule="auto"/>
    </w:pPr>
    <w:r w:rsidRPr="00F806A5">
      <w:rPr>
        <w:rFonts w:ascii="Times New Roman" w:hAnsi="Times New Roman"/>
        <w:sz w:val="20"/>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C0EC2" w14:textId="77777777" w:rsidR="00CA5547" w:rsidRPr="00F806A5" w:rsidRDefault="00CA5547">
    <w:pPr>
      <w:spacing w:line="259" w:lineRule="auto"/>
      <w:ind w:left="6680" w:right="-1094"/>
      <w:jc w:val="center"/>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12</w:t>
    </w:r>
    <w:r w:rsidRPr="00F806A5">
      <w:rPr>
        <w:rFonts w:ascii="Times New Roman" w:hAnsi="Times New Roman"/>
        <w:sz w:val="20"/>
      </w:rPr>
      <w:fldChar w:fldCharType="end"/>
    </w:r>
    <w:r w:rsidRPr="00F806A5">
      <w:rPr>
        <w:rFonts w:ascii="Times New Roman" w:hAnsi="Times New Roman"/>
        <w:sz w:val="20"/>
      </w:rPr>
      <w:t xml:space="preserve"> </w:t>
    </w:r>
  </w:p>
  <w:p w14:paraId="14EECBC5" w14:textId="77777777" w:rsidR="00CA5547" w:rsidRPr="00F806A5" w:rsidRDefault="00CA5547">
    <w:pPr>
      <w:spacing w:line="259" w:lineRule="auto"/>
    </w:pPr>
    <w:r w:rsidRPr="00F806A5">
      <w:rPr>
        <w:rFonts w:ascii="Times New Roman" w:hAnsi="Times New Roman"/>
        <w:sz w:val="20"/>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50B11" w14:textId="77777777" w:rsidR="00CA5547" w:rsidRPr="00F806A5" w:rsidRDefault="00CA5547" w:rsidP="00835632">
    <w:pPr>
      <w:spacing w:line="259" w:lineRule="auto"/>
      <w:ind w:left="5760" w:right="-1094" w:firstLine="720"/>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12</w:t>
    </w:r>
    <w:r w:rsidRPr="00F806A5">
      <w:rPr>
        <w:rFonts w:ascii="Times New Roman" w:hAnsi="Times New Roman"/>
        <w:sz w:val="20"/>
      </w:rPr>
      <w:fldChar w:fldCharType="end"/>
    </w:r>
  </w:p>
  <w:p w14:paraId="4C667B91" w14:textId="77777777" w:rsidR="00CA5547" w:rsidRPr="00F806A5" w:rsidRDefault="00CA5547">
    <w:pPr>
      <w:spacing w:line="259" w:lineRule="auto"/>
    </w:pPr>
    <w:r w:rsidRPr="00F806A5">
      <w:rPr>
        <w:rFonts w:ascii="Times New Roman" w:hAnsi="Times New Roman"/>
        <w:sz w:val="20"/>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B148D" w14:textId="77777777" w:rsidR="00CA5547" w:rsidRPr="00F806A5" w:rsidRDefault="00CA5547">
    <w:pPr>
      <w:spacing w:line="259" w:lineRule="auto"/>
      <w:ind w:left="6680" w:right="-1094"/>
      <w:jc w:val="center"/>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12</w:t>
    </w:r>
    <w:r w:rsidRPr="00F806A5">
      <w:rPr>
        <w:rFonts w:ascii="Times New Roman" w:hAnsi="Times New Roman"/>
        <w:sz w:val="20"/>
      </w:rPr>
      <w:fldChar w:fldCharType="end"/>
    </w:r>
    <w:r w:rsidRPr="00F806A5">
      <w:rPr>
        <w:rFonts w:ascii="Times New Roman" w:hAnsi="Times New Roman"/>
        <w:sz w:val="20"/>
      </w:rPr>
      <w:t xml:space="preserve"> </w:t>
    </w:r>
  </w:p>
  <w:p w14:paraId="36601421" w14:textId="77777777" w:rsidR="00CA5547" w:rsidRPr="00F806A5" w:rsidRDefault="00CA5547">
    <w:pPr>
      <w:spacing w:line="259" w:lineRule="auto"/>
    </w:pPr>
    <w:r w:rsidRPr="00F806A5">
      <w:rPr>
        <w:rFonts w:ascii="Times New Roman" w:hAnsi="Times New Roman"/>
        <w:sz w:val="20"/>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33998" w14:textId="48EB56DA" w:rsidR="00D21264" w:rsidRPr="00F806A5" w:rsidRDefault="00D21264" w:rsidP="00175DCF">
    <w:pPr>
      <w:spacing w:line="259" w:lineRule="auto"/>
      <w:ind w:left="4320" w:right="-1094" w:firstLineChars="150" w:firstLine="330"/>
    </w:pPr>
    <w:r w:rsidRPr="00F806A5">
      <w:rPr>
        <w:rFonts w:eastAsia="Calibri" w:cs="Calibri"/>
      </w:rPr>
      <w:fldChar w:fldCharType="begin"/>
    </w:r>
    <w:r w:rsidRPr="00F806A5">
      <w:instrText xml:space="preserve"> PAGE   \* MERGEFORMAT </w:instrText>
    </w:r>
    <w:r w:rsidRPr="00F806A5">
      <w:rPr>
        <w:rFonts w:eastAsia="Calibri" w:cs="Calibri"/>
      </w:rPr>
      <w:fldChar w:fldCharType="separate"/>
    </w:r>
    <w:r w:rsidRPr="00F806A5">
      <w:rPr>
        <w:rFonts w:ascii="Times New Roman" w:hAnsi="Times New Roman"/>
        <w:sz w:val="20"/>
      </w:rPr>
      <w:t>12</w:t>
    </w:r>
    <w:r w:rsidRPr="00F806A5">
      <w:rPr>
        <w:rFonts w:ascii="Times New Roman" w:hAnsi="Times New Roman"/>
        <w:sz w:val="20"/>
      </w:rPr>
      <w:fldChar w:fldCharType="end"/>
    </w:r>
  </w:p>
  <w:p w14:paraId="2E254EB7" w14:textId="639039DD" w:rsidR="00D21264" w:rsidRPr="00F806A5" w:rsidRDefault="00D21264" w:rsidP="00FA1B1E">
    <w:pPr>
      <w:spacing w:line="259" w:lineRule="auto"/>
      <w:rPr>
        <w:rFonts w:eastAsia="MS Mincho"/>
        <w:lang w:eastAsia="ja-JP"/>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lang w:val="en-US"/>
      </w:rPr>
      <w:id w:val="-1200542962"/>
      <w:docPartObj>
        <w:docPartGallery w:val="Page Numbers (Bottom of Page)"/>
        <w:docPartUnique/>
      </w:docPartObj>
    </w:sdtPr>
    <w:sdtContent>
      <w:p w14:paraId="103FA26E" w14:textId="77777777" w:rsidR="00533894" w:rsidRPr="00F806A5" w:rsidRDefault="00533894">
        <w:pPr>
          <w:pStyle w:val="Footer"/>
          <w:jc w:val="center"/>
          <w:rPr>
            <w:lang w:val="en-US"/>
          </w:rPr>
        </w:pPr>
        <w:r w:rsidRPr="00F806A5">
          <w:rPr>
            <w:lang w:val="en-US"/>
          </w:rPr>
          <w:fldChar w:fldCharType="begin"/>
        </w:r>
        <w:r w:rsidRPr="00F806A5">
          <w:rPr>
            <w:lang w:val="en-US"/>
          </w:rPr>
          <w:instrText xml:space="preserve"> PAGE   \* MERGEFORMAT </w:instrText>
        </w:r>
        <w:r w:rsidRPr="00F806A5">
          <w:rPr>
            <w:lang w:val="en-US"/>
          </w:rPr>
          <w:fldChar w:fldCharType="separate"/>
        </w:r>
        <w:r w:rsidRPr="00F806A5">
          <w:rPr>
            <w:lang w:val="en-US"/>
          </w:rPr>
          <w:t>97</w:t>
        </w:r>
        <w:r w:rsidRPr="00F806A5">
          <w:rPr>
            <w:lang w:val="en-US"/>
          </w:rPr>
          <w:fldChar w:fldCharType="end"/>
        </w:r>
      </w:p>
    </w:sdtContent>
  </w:sdt>
  <w:p w14:paraId="74470E61" w14:textId="77777777" w:rsidR="00533894" w:rsidRPr="00F806A5" w:rsidRDefault="00533894">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6C92FD" w14:textId="77777777" w:rsidR="006D088A" w:rsidRPr="00F806A5" w:rsidRDefault="006D088A">
      <w:r w:rsidRPr="00F806A5">
        <w:separator/>
      </w:r>
    </w:p>
  </w:footnote>
  <w:footnote w:type="continuationSeparator" w:id="0">
    <w:p w14:paraId="41DFA18D" w14:textId="77777777" w:rsidR="006D088A" w:rsidRPr="00F806A5" w:rsidRDefault="006D088A">
      <w:r w:rsidRPr="00F806A5">
        <w:continuationSeparator/>
      </w:r>
    </w:p>
  </w:footnote>
  <w:footnote w:id="1">
    <w:p w14:paraId="70123558" w14:textId="77777777" w:rsidR="00CA5547" w:rsidRPr="00F806A5" w:rsidRDefault="00CA5547" w:rsidP="00CA5547">
      <w:pPr>
        <w:spacing w:line="255" w:lineRule="auto"/>
        <w:rPr>
          <w:rFonts w:asciiTheme="minorHAnsi" w:hAnsiTheme="minorHAnsi" w:cstheme="minorHAnsi"/>
          <w:sz w:val="20"/>
          <w:szCs w:val="20"/>
        </w:rPr>
      </w:pPr>
      <w:r w:rsidRPr="00F806A5">
        <w:rPr>
          <w:rStyle w:val="FootnoteReference"/>
          <w:rFonts w:asciiTheme="minorHAnsi" w:hAnsiTheme="minorHAnsi" w:cstheme="minorHAnsi"/>
          <w:sz w:val="20"/>
          <w:szCs w:val="20"/>
        </w:rPr>
        <w:footnoteRef/>
      </w:r>
      <w:r w:rsidRPr="00F806A5">
        <w:rPr>
          <w:rFonts w:asciiTheme="minorHAnsi" w:hAnsiTheme="minorHAnsi" w:cstheme="minorHAnsi"/>
          <w:sz w:val="20"/>
          <w:szCs w:val="20"/>
        </w:rPr>
        <w:t xml:space="preserve">As refined and first adopted at WCPFC13 (2016) and incorporating the latest revision made at WCPFC21 (2024). </w:t>
      </w:r>
    </w:p>
  </w:footnote>
  <w:footnote w:id="2">
    <w:p w14:paraId="05955933" w14:textId="77777777" w:rsidR="00CA5547" w:rsidRPr="00F806A5" w:rsidRDefault="00CA5547" w:rsidP="00CA5547">
      <w:pPr>
        <w:pStyle w:val="FootnoteText"/>
        <w:rPr>
          <w:rFonts w:asciiTheme="minorHAnsi" w:hAnsiTheme="minorHAnsi" w:cstheme="minorHAnsi"/>
        </w:rPr>
      </w:pPr>
      <w:r w:rsidRPr="00F806A5">
        <w:rPr>
          <w:rStyle w:val="FootnoteReference"/>
          <w:rFonts w:asciiTheme="minorHAnsi" w:hAnsiTheme="minorHAnsi" w:cstheme="minorHAnsi"/>
        </w:rPr>
        <w:footnoteRef/>
      </w:r>
      <w:r w:rsidRPr="00F806A5">
        <w:rPr>
          <w:rFonts w:asciiTheme="minorHAnsi" w:hAnsiTheme="minorHAnsi" w:cstheme="minorHAnsi"/>
        </w:rPr>
        <w:t xml:space="preserve"> Porbeagle shark catches are to be reported for the area south of 20S in the WCPFC Statistical Area, until biological data shows this</w:t>
      </w:r>
      <w:r w:rsidRPr="00F806A5">
        <w:rPr>
          <w:rFonts w:asciiTheme="minorHAnsi" w:hAnsiTheme="minorHAnsi" w:cstheme="minorHAnsi"/>
        </w:rPr>
        <w:t xml:space="preserve"> or another geographic limit to be appropriate.</w:t>
      </w:r>
    </w:p>
  </w:footnote>
  <w:footnote w:id="3">
    <w:p w14:paraId="4D8BA01D" w14:textId="77777777" w:rsidR="00CA5547" w:rsidRPr="00F806A5" w:rsidRDefault="00CA5547" w:rsidP="00CA5547">
      <w:pPr>
        <w:pStyle w:val="FootnoteText"/>
      </w:pPr>
      <w:r w:rsidRPr="00F806A5">
        <w:rPr>
          <w:rStyle w:val="FootnoteReference"/>
        </w:rPr>
        <w:footnoteRef/>
      </w:r>
      <w:r w:rsidRPr="00F806A5">
        <w:t xml:space="preserve"> </w:t>
      </w:r>
      <w:r w:rsidRPr="00F806A5">
        <w:rPr>
          <w:rFonts w:ascii="Times New Roman" w:hAnsi="Times New Roman" w:cs="Times New Roman"/>
          <w:sz w:val="18"/>
        </w:rPr>
        <w:t>It is also recognized that certain members and cooperating non-members of the Commission may have practical difficulties in compiling discards/releases data for fleets comprised of small vessels, such as certain sectors of the fisheries of Indonesia, the Philippines and small island developing states</w:t>
      </w:r>
    </w:p>
  </w:footnote>
  <w:footnote w:id="4">
    <w:p w14:paraId="008A6749" w14:textId="77777777" w:rsidR="00CA5547" w:rsidRPr="00F806A5" w:rsidRDefault="00CA5547" w:rsidP="00CA5547">
      <w:pPr>
        <w:pStyle w:val="footnotedescription"/>
        <w:spacing w:line="261" w:lineRule="auto"/>
      </w:pPr>
      <w:r w:rsidRPr="00F806A5">
        <w:rPr>
          <w:rStyle w:val="footnotemark"/>
        </w:rPr>
        <w:footnoteRef/>
      </w:r>
      <w:r w:rsidRPr="00F806A5">
        <w:t xml:space="preserve"> </w:t>
      </w:r>
      <w:r w:rsidRPr="00F806A5">
        <w:t xml:space="preserve">A vessel is considered to be “active” if it fished (targeting highly migratory fish stocks) at least one day during the year. </w:t>
      </w:r>
    </w:p>
  </w:footnote>
  <w:footnote w:id="5">
    <w:p w14:paraId="58A8FA77" w14:textId="77777777" w:rsidR="00CA5547" w:rsidRPr="00F806A5" w:rsidRDefault="00CA5547" w:rsidP="00CA5547">
      <w:pPr>
        <w:pStyle w:val="footnotedescription"/>
        <w:ind w:right="9"/>
        <w:rPr>
          <w:rFonts w:ascii="Calibri" w:hAnsi="Calibri" w:cs="Calibri"/>
        </w:rPr>
      </w:pPr>
      <w:r w:rsidRPr="00F806A5">
        <w:rPr>
          <w:rStyle w:val="footnotemark"/>
          <w:rFonts w:ascii="Calibri" w:hAnsi="Calibri" w:cs="Calibri"/>
        </w:rPr>
        <w:footnoteRef/>
      </w:r>
      <w:r w:rsidRPr="00F806A5">
        <w:rPr>
          <w:rFonts w:ascii="Calibri" w:hAnsi="Calibri" w:cs="Calibri"/>
        </w:rPr>
        <w:t xml:space="preserve"> The taxa/species list in Table ST-01 represents the common bait types reported for the longline fishery, but see </w:t>
      </w:r>
      <w:hyperlink r:id="rId1">
        <w:r w:rsidRPr="00F806A5">
          <w:rPr>
            <w:rFonts w:ascii="Calibri" w:hAnsi="Calibri" w:cs="Calibri"/>
            <w:color w:val="0000FF"/>
            <w:u w:val="single" w:color="0000FF"/>
          </w:rPr>
          <w:t>https://www.fao.org/fishery/en/collection/asfis/en</w:t>
        </w:r>
      </w:hyperlink>
      <w:hyperlink r:id="rId2">
        <w:r w:rsidRPr="00F806A5">
          <w:rPr>
            <w:rFonts w:ascii="Calibri" w:hAnsi="Calibri" w:cs="Calibri"/>
          </w:rPr>
          <w:t xml:space="preserve"> </w:t>
        </w:r>
      </w:hyperlink>
      <w:r w:rsidRPr="00F806A5">
        <w:rPr>
          <w:rFonts w:ascii="Calibri" w:hAnsi="Calibri" w:cs="Calibri"/>
        </w:rPr>
        <w:t>for a complete list of FAO species codes.</w:t>
      </w:r>
      <w:r w:rsidRPr="00F806A5">
        <w:rPr>
          <w:rFonts w:ascii="Calibri" w:eastAsia="Calibri" w:hAnsi="Calibri" w:cs="Calibri"/>
          <w:b/>
        </w:rPr>
        <w:t xml:space="preserve"> </w:t>
      </w:r>
    </w:p>
  </w:footnote>
  <w:footnote w:id="6">
    <w:p w14:paraId="659D81BE" w14:textId="77777777" w:rsidR="00CA5547" w:rsidRPr="00F806A5" w:rsidRDefault="00CA5547" w:rsidP="00CA5547">
      <w:pPr>
        <w:spacing w:line="257" w:lineRule="auto"/>
        <w:rPr>
          <w:rFonts w:cs="Calibri"/>
        </w:rPr>
      </w:pPr>
      <w:r w:rsidRPr="00F806A5">
        <w:rPr>
          <w:rStyle w:val="FootnoteReference"/>
          <w:rFonts w:cs="Calibri"/>
        </w:rPr>
        <w:footnoteRef/>
      </w:r>
      <w:r w:rsidRPr="00F806A5">
        <w:rPr>
          <w:rFonts w:cs="Calibri"/>
        </w:rPr>
        <w:t xml:space="preserve"> </w:t>
      </w:r>
      <w:r w:rsidRPr="00F806A5">
        <w:rPr>
          <w:rFonts w:cs="Calibri"/>
          <w:sz w:val="20"/>
        </w:rPr>
        <w:t xml:space="preserve">The current definition for a purse seine day in transit (‘a day in transit’) should only cover the following cases: </w:t>
      </w:r>
    </w:p>
    <w:p w14:paraId="66874B82" w14:textId="77777777" w:rsidR="00CA5547" w:rsidRPr="00F806A5" w:rsidRDefault="00CA5547" w:rsidP="00D47778">
      <w:pPr>
        <w:numPr>
          <w:ilvl w:val="1"/>
          <w:numId w:val="41"/>
        </w:numPr>
        <w:spacing w:after="4" w:line="257" w:lineRule="auto"/>
        <w:ind w:hanging="360"/>
        <w:rPr>
          <w:rFonts w:cs="Calibri"/>
        </w:rPr>
      </w:pPr>
      <w:r w:rsidRPr="00F806A5">
        <w:rPr>
          <w:rFonts w:cs="Calibri"/>
          <w:sz w:val="20"/>
        </w:rPr>
        <w:t xml:space="preserve">Transiting from port to the tropical WCPFC area (10°N - 10°S); or </w:t>
      </w:r>
    </w:p>
    <w:p w14:paraId="6F68B33C" w14:textId="77777777" w:rsidR="00CA5547" w:rsidRPr="00F806A5" w:rsidRDefault="00CA5547" w:rsidP="00D47778">
      <w:pPr>
        <w:numPr>
          <w:ilvl w:val="1"/>
          <w:numId w:val="41"/>
        </w:numPr>
        <w:spacing w:after="4" w:line="257" w:lineRule="auto"/>
        <w:ind w:hanging="360"/>
        <w:rPr>
          <w:rFonts w:cs="Calibri"/>
        </w:rPr>
      </w:pPr>
      <w:r w:rsidRPr="00F806A5">
        <w:rPr>
          <w:rFonts w:cs="Calibri"/>
          <w:sz w:val="20"/>
        </w:rPr>
        <w:t xml:space="preserve">Transiting back to port; or </w:t>
      </w:r>
    </w:p>
    <w:p w14:paraId="1EB0EC0D" w14:textId="77777777" w:rsidR="00CA5547" w:rsidRPr="00F806A5" w:rsidRDefault="00CA5547" w:rsidP="00D47778">
      <w:pPr>
        <w:numPr>
          <w:ilvl w:val="1"/>
          <w:numId w:val="41"/>
        </w:numPr>
        <w:spacing w:after="4" w:line="257" w:lineRule="auto"/>
        <w:ind w:hanging="360"/>
        <w:rPr>
          <w:rFonts w:cs="Calibri"/>
        </w:rPr>
      </w:pPr>
      <w:r w:rsidRPr="00F806A5">
        <w:rPr>
          <w:rFonts w:cs="Calibri"/>
          <w:sz w:val="20"/>
        </w:rPr>
        <w:t xml:space="preserve">Transiting from one fishing zone to another in the Convention Area. </w:t>
      </w:r>
    </w:p>
    <w:p w14:paraId="045C6DE4" w14:textId="77777777" w:rsidR="00CA5547" w:rsidRPr="00F806A5" w:rsidRDefault="00CA5547" w:rsidP="00CA5547">
      <w:pPr>
        <w:pStyle w:val="FootnoteText"/>
        <w:rPr>
          <w:rFonts w:cs="Calibri"/>
        </w:rPr>
      </w:pPr>
      <w:r w:rsidRPr="00F806A5">
        <w:rPr>
          <w:rFonts w:cs="Calibri"/>
        </w:rPr>
        <w:t xml:space="preserve">Where vessels are transiting as described above, the conditions of transit are that the gear is stowed, with the boom lowered and tied down, and the net covered.”** </w:t>
      </w:r>
    </w:p>
    <w:p w14:paraId="68F07C06" w14:textId="77777777" w:rsidR="00CA5547" w:rsidRPr="00F806A5" w:rsidRDefault="00CA5547" w:rsidP="00CA5547">
      <w:pPr>
        <w:pStyle w:val="FootnoteText"/>
        <w:rPr>
          <w:rFonts w:cs="Calibri"/>
        </w:rPr>
      </w:pPr>
      <w:r w:rsidRPr="00F806A5">
        <w:rPr>
          <w:rFonts w:cs="Calibri"/>
        </w:rPr>
        <w:t>Footnote: **Subject to any further clarification</w:t>
      </w:r>
    </w:p>
  </w:footnote>
  <w:footnote w:id="7">
    <w:p w14:paraId="6CD2D4DC" w14:textId="77777777" w:rsidR="00CA5547" w:rsidRPr="00F806A5" w:rsidRDefault="00CA5547" w:rsidP="00CA5547">
      <w:pPr>
        <w:pStyle w:val="footnotedescription"/>
        <w:spacing w:line="233" w:lineRule="auto"/>
        <w:rPr>
          <w:rFonts w:asciiTheme="minorHAnsi" w:hAnsiTheme="minorHAnsi" w:cstheme="minorHAnsi"/>
        </w:rPr>
      </w:pPr>
      <w:r w:rsidRPr="00F806A5">
        <w:rPr>
          <w:rStyle w:val="footnotemark"/>
          <w:rFonts w:asciiTheme="minorHAnsi" w:hAnsiTheme="minorHAnsi" w:cstheme="minorHAnsi"/>
        </w:rPr>
        <w:footnoteRef/>
      </w:r>
      <w:r w:rsidRPr="00F806A5">
        <w:rPr>
          <w:rFonts w:asciiTheme="minorHAnsi" w:hAnsiTheme="minorHAnsi" w:cstheme="minorHAnsi"/>
        </w:rPr>
        <w:t xml:space="preserve"> The taxa/species list in Table ST-01 represents the common bait types reported for the longline fishery, but see </w:t>
      </w:r>
      <w:hyperlink r:id="rId3">
        <w:r w:rsidRPr="00F806A5">
          <w:rPr>
            <w:rFonts w:asciiTheme="minorHAnsi" w:hAnsiTheme="minorHAnsi" w:cstheme="minorHAnsi"/>
            <w:color w:val="0000FF"/>
            <w:u w:val="single" w:color="0000FF"/>
          </w:rPr>
          <w:t>https://www.fao.org/fishery/en/collection/asfis/en</w:t>
        </w:r>
      </w:hyperlink>
      <w:hyperlink r:id="rId4">
        <w:r w:rsidRPr="00F806A5">
          <w:rPr>
            <w:rFonts w:asciiTheme="minorHAnsi" w:hAnsiTheme="minorHAnsi" w:cstheme="minorHAnsi"/>
          </w:rPr>
          <w:t xml:space="preserve"> </w:t>
        </w:r>
      </w:hyperlink>
      <w:r w:rsidRPr="00F806A5">
        <w:rPr>
          <w:rFonts w:asciiTheme="minorHAnsi" w:hAnsiTheme="minorHAnsi" w:cstheme="minorHAnsi"/>
        </w:rPr>
        <w:t>for a complete list of FAO species codes.</w:t>
      </w:r>
      <w:r w:rsidRPr="00F806A5">
        <w:rPr>
          <w:rFonts w:asciiTheme="minorHAnsi" w:eastAsia="Calibri" w:hAnsiTheme="minorHAnsi" w:cstheme="minorHAnsi"/>
          <w:b/>
        </w:rPr>
        <w:t xml:space="preserve"> </w:t>
      </w:r>
    </w:p>
  </w:footnote>
  <w:footnote w:id="8">
    <w:p w14:paraId="6F3CDE3A" w14:textId="77777777" w:rsidR="00CA5547" w:rsidRPr="00F806A5" w:rsidRDefault="00CA5547" w:rsidP="00CA5547">
      <w:pPr>
        <w:pStyle w:val="FootnoteText"/>
      </w:pPr>
      <w:r w:rsidRPr="00F806A5">
        <w:rPr>
          <w:rStyle w:val="FootnoteReference"/>
        </w:rPr>
        <w:footnoteRef/>
      </w:r>
      <w:r w:rsidRPr="00F806A5">
        <w:t xml:space="preserve"> </w:t>
      </w:r>
      <w:r w:rsidRPr="00F806A5">
        <w:rPr>
          <w:sz w:val="16"/>
          <w:szCs w:val="16"/>
        </w:rPr>
        <w:t>This field includes cetaceans in accordance with CMM 2024-07 and sea turtles in accordance with CMM 2018-04</w:t>
      </w:r>
    </w:p>
  </w:footnote>
  <w:footnote w:id="9">
    <w:p w14:paraId="0D263CE7" w14:textId="77777777" w:rsidR="00CA5547" w:rsidRDefault="00CA5547" w:rsidP="00CA5547">
      <w:pPr>
        <w:pStyle w:val="FootnoteText"/>
      </w:pPr>
      <w:r w:rsidRPr="00F806A5">
        <w:rPr>
          <w:rStyle w:val="FootnoteReference"/>
        </w:rPr>
        <w:footnoteRef/>
      </w:r>
      <w:r w:rsidRPr="00F806A5">
        <w:t xml:space="preserve"> </w:t>
      </w:r>
      <w:r w:rsidRPr="00F806A5">
        <w:rPr>
          <w:sz w:val="16"/>
          <w:szCs w:val="16"/>
        </w:rPr>
        <w:t>This field includes cetaceans in accordance with CMM 2024-07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FBECD" w14:textId="77777777" w:rsidR="00FE1374" w:rsidRPr="00F806A5" w:rsidRDefault="00FE1374">
    <w:pPr>
      <w:pStyle w:val="Header"/>
      <w:rPr>
        <w:lang w:val="en-US"/>
      </w:rPr>
    </w:pPr>
    <w:r w:rsidRPr="00F806A5">
      <w:rPr>
        <w:noProof/>
        <w:lang w:val="en-US"/>
      </w:rPr>
      <mc:AlternateContent>
        <mc:Choice Requires="wps">
          <w:drawing>
            <wp:anchor distT="0" distB="0" distL="0" distR="0" simplePos="0" relativeHeight="251658241" behindDoc="0" locked="0" layoutInCell="1" allowOverlap="1" wp14:anchorId="7E07B2AC" wp14:editId="085E5D22">
              <wp:simplePos x="635" y="635"/>
              <wp:positionH relativeFrom="page">
                <wp:align>left</wp:align>
              </wp:positionH>
              <wp:positionV relativeFrom="page">
                <wp:align>top</wp:align>
              </wp:positionV>
              <wp:extent cx="1278255" cy="354965"/>
              <wp:effectExtent l="0" t="0" r="4445" b="635"/>
              <wp:wrapNone/>
              <wp:docPr id="2072644333" name="テキスト ボックス 2"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6B0C53E4" w14:textId="77777777" w:rsidR="00FE1374" w:rsidRPr="00F806A5" w:rsidRDefault="00FE1374" w:rsidP="00835632">
                          <w:pPr>
                            <w:rPr>
                              <w:rFonts w:ascii="Aptos" w:eastAsia="Aptos" w:hAnsi="Aptos" w:cs="Aptos"/>
                              <w:color w:val="000000"/>
                              <w:sz w:val="20"/>
                              <w:szCs w:val="20"/>
                            </w:rPr>
                          </w:pPr>
                          <w:r w:rsidRPr="00F806A5">
                            <w:rPr>
                              <w:rFonts w:ascii="Aptos" w:eastAsia="Aptos" w:hAnsi="Aptos" w:cs="Aptos"/>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E07B2AC" id="_x0000_t202" coordsize="21600,21600" o:spt="202" path="m,l,21600r21600,l21600,xe">
              <v:stroke joinstyle="miter"/>
              <v:path gradientshapeok="t" o:connecttype="rect"/>
            </v:shapetype>
            <v:shape id="テキスト ボックス 2" o:spid="_x0000_s1026" type="#_x0000_t202" alt="【機密性2情報】" style="position:absolute;margin-left:0;margin-top:0;width:100.65pt;height:27.95pt;z-index:251658241;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" filled="f" stroked="f">
              <v:textbox style="mso-fit-shape-to-text:t" inset="20pt,15pt,0,0">
                <w:txbxContent>
                  <w:p w14:paraId="6B0C53E4" w14:textId="77777777" w:rsidR="00FE1374" w:rsidRPr="00F806A5" w:rsidRDefault="00FE1374" w:rsidP="00835632">
                    <w:pPr>
                      <w:rPr>
                        <w:rFonts w:ascii="Aptos" w:eastAsia="Aptos" w:hAnsi="Aptos" w:cs="Aptos"/>
                        <w:color w:val="000000"/>
                        <w:sz w:val="20"/>
                        <w:szCs w:val="20"/>
                      </w:rPr>
                    </w:pPr>
                    <w:r w:rsidRPr="00F806A5">
                      <w:rPr>
                        <w:rFonts w:ascii="Aptos" w:eastAsia="Aptos" w:hAnsi="Aptos" w:cs="Aptos"/>
                        <w:color w:val="000000"/>
                        <w:sz w:val="20"/>
                        <w:szCs w:val="20"/>
                      </w:rPr>
                      <w:t>【機密性2情報】</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F46F0" w14:textId="77777777" w:rsidR="00FE1374" w:rsidRPr="00F806A5" w:rsidRDefault="00FE1374">
    <w:pPr>
      <w:pStyle w:val="Header"/>
      <w:rPr>
        <w:lang w:val="en-US"/>
      </w:rPr>
    </w:pPr>
    <w:r w:rsidRPr="00F806A5">
      <w:rPr>
        <w:noProof/>
        <w:lang w:val="en-US"/>
      </w:rPr>
      <mc:AlternateContent>
        <mc:Choice Requires="wps">
          <w:drawing>
            <wp:anchor distT="0" distB="0" distL="0" distR="0" simplePos="0" relativeHeight="251658240" behindDoc="0" locked="0" layoutInCell="1" allowOverlap="1" wp14:anchorId="2727A384" wp14:editId="36B8C157">
              <wp:simplePos x="635" y="635"/>
              <wp:positionH relativeFrom="page">
                <wp:align>left</wp:align>
              </wp:positionH>
              <wp:positionV relativeFrom="page">
                <wp:align>top</wp:align>
              </wp:positionV>
              <wp:extent cx="1278255" cy="354965"/>
              <wp:effectExtent l="0" t="0" r="4445" b="635"/>
              <wp:wrapNone/>
              <wp:docPr id="411954601" name="テキスト ボックス 1" descr="【機密性2情報】">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78255" cy="354965"/>
                      </a:xfrm>
                      <a:prstGeom prst="rect">
                        <a:avLst/>
                      </a:prstGeom>
                      <a:noFill/>
                      <a:ln>
                        <a:noFill/>
                      </a:ln>
                    </wps:spPr>
                    <wps:txbx>
                      <w:txbxContent>
                        <w:p w14:paraId="0CB5239B" w14:textId="77777777" w:rsidR="00FE1374" w:rsidRPr="00F806A5" w:rsidRDefault="00FE1374" w:rsidP="00835632">
                          <w:pPr>
                            <w:rPr>
                              <w:rFonts w:ascii="Aptos" w:eastAsia="Aptos" w:hAnsi="Aptos" w:cs="Aptos"/>
                              <w:color w:val="000000"/>
                              <w:sz w:val="20"/>
                              <w:szCs w:val="20"/>
                            </w:rPr>
                          </w:pPr>
                          <w:r w:rsidRPr="00F806A5">
                            <w:rPr>
                              <w:rFonts w:ascii="Aptos" w:eastAsia="Aptos" w:hAnsi="Aptos" w:cs="Aptos"/>
                              <w:color w:val="000000"/>
                              <w:sz w:val="20"/>
                              <w:szCs w:val="20"/>
                            </w:rPr>
                            <w:t>【機密性2情報】</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727A384" id="_x0000_t202" coordsize="21600,21600" o:spt="202" path="m,l,21600r21600,l21600,xe">
              <v:stroke joinstyle="miter"/>
              <v:path gradientshapeok="t" o:connecttype="rect"/>
            </v:shapetype>
            <v:shape id="テキスト ボックス 1" o:spid="_x0000_s1027" type="#_x0000_t202" alt="【機密性2情報】" style="position:absolute;margin-left:0;margin-top:0;width:100.65pt;height:27.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" filled="f" stroked="f">
              <v:textbox style="mso-fit-shape-to-text:t" inset="20pt,15pt,0,0">
                <w:txbxContent>
                  <w:p w14:paraId="0CB5239B" w14:textId="77777777" w:rsidR="00FE1374" w:rsidRPr="00F806A5" w:rsidRDefault="00FE1374" w:rsidP="00835632">
                    <w:pPr>
                      <w:rPr>
                        <w:rFonts w:ascii="Aptos" w:eastAsia="Aptos" w:hAnsi="Aptos" w:cs="Aptos"/>
                        <w:color w:val="000000"/>
                        <w:sz w:val="20"/>
                        <w:szCs w:val="20"/>
                      </w:rPr>
                    </w:pPr>
                    <w:r w:rsidRPr="00F806A5">
                      <w:rPr>
                        <w:rFonts w:ascii="Aptos" w:eastAsia="Aptos" w:hAnsi="Aptos" w:cs="Aptos"/>
                        <w:color w:val="000000"/>
                        <w:sz w:val="20"/>
                        <w:szCs w:val="20"/>
                      </w:rPr>
                      <w:t>【機密性2情報】</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B17B4" w14:textId="77777777" w:rsidR="00CA5547" w:rsidRPr="00F806A5" w:rsidRDefault="00CA5547">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C27C" w14:textId="77777777" w:rsidR="00CA5547" w:rsidRPr="00F806A5" w:rsidRDefault="00CA5547">
    <w:pPr>
      <w:spacing w:after="160" w:line="259" w:lineRule="aut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2CBF2" w14:textId="77777777" w:rsidR="00CA5547" w:rsidRPr="00F806A5" w:rsidRDefault="00CA5547">
    <w:pPr>
      <w:spacing w:after="160"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97054" w14:textId="77777777" w:rsidR="00CA5547" w:rsidRPr="00F806A5" w:rsidRDefault="00CA5547">
    <w:pPr>
      <w:spacing w:after="193" w:line="259" w:lineRule="auto"/>
    </w:pPr>
    <w:r w:rsidRPr="00F806A5">
      <w:rPr>
        <w:rFonts w:ascii="Times New Roman" w:hAnsi="Times New Roman"/>
        <w:sz w:val="20"/>
      </w:rPr>
      <w:t xml:space="preserve"> </w:t>
    </w:r>
  </w:p>
  <w:p w14:paraId="46B6EFCD" w14:textId="77777777" w:rsidR="00CA5547" w:rsidRPr="00F806A5" w:rsidRDefault="00CA5547">
    <w:pPr>
      <w:spacing w:line="259" w:lineRule="auto"/>
      <w:ind w:left="586"/>
    </w:pPr>
    <w:r w:rsidRPr="00F806A5">
      <w:rPr>
        <w:b/>
        <w:i/>
        <w:color w:val="365F91"/>
      </w:rPr>
      <w:t xml:space="preserve"> Purse seine operational data –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1A2C" w14:textId="77777777" w:rsidR="00CA5547" w:rsidRPr="00F806A5" w:rsidRDefault="00CA5547" w:rsidP="00835632">
    <w:pPr>
      <w:spacing w:after="193" w:line="259" w:lineRule="aut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4521C" w14:textId="77777777" w:rsidR="00CA5547" w:rsidRPr="00F806A5" w:rsidRDefault="00CA5547">
    <w:pPr>
      <w:spacing w:after="193" w:line="259" w:lineRule="auto"/>
    </w:pPr>
    <w:r w:rsidRPr="00F806A5">
      <w:rPr>
        <w:rFonts w:ascii="Times New Roman" w:hAnsi="Times New Roman"/>
        <w:sz w:val="20"/>
      </w:rPr>
      <w:t xml:space="preserve"> </w:t>
    </w:r>
  </w:p>
  <w:p w14:paraId="261EA1B6" w14:textId="77777777" w:rsidR="00CA5547" w:rsidRPr="00F806A5" w:rsidRDefault="00CA5547">
    <w:pPr>
      <w:spacing w:line="259" w:lineRule="auto"/>
      <w:ind w:left="586"/>
    </w:pPr>
    <w:r w:rsidRPr="00F806A5">
      <w:rPr>
        <w:b/>
        <w:i/>
        <w:color w:val="365F91"/>
      </w:rPr>
      <w:t xml:space="preserve"> Purse seine operational data –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44D07" w14:textId="77777777" w:rsidR="00533894" w:rsidRPr="00F806A5" w:rsidRDefault="00533894">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63AA2"/>
    <w:multiLevelType w:val="multilevel"/>
    <w:tmpl w:val="0409001D"/>
    <w:styleLink w:val="SCList1"/>
    <w:lvl w:ilvl="0">
      <w:start w:val="1"/>
      <w:numFmt w:val="decimal"/>
      <w:lvlText w:val="%1)"/>
      <w:lvlJc w:val="left"/>
      <w:pPr>
        <w:ind w:left="360" w:hanging="360"/>
      </w:pPr>
      <w:rPr>
        <w:rFonts w:hint="default"/>
        <w:sz w:val="22"/>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27C70C9"/>
    <w:multiLevelType w:val="hybridMultilevel"/>
    <w:tmpl w:val="2076D110"/>
    <w:styleLink w:val="ImportedStyle41"/>
    <w:lvl w:ilvl="0" w:tplc="F1DAD29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CFE217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8A27F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B66051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A4FA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D62BF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88D29A">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60E5F4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66624A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5507F26"/>
    <w:multiLevelType w:val="hybridMultilevel"/>
    <w:tmpl w:val="67246D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648301F"/>
    <w:multiLevelType w:val="multilevel"/>
    <w:tmpl w:val="C0701642"/>
    <w:lvl w:ilvl="0">
      <w:start w:val="1"/>
      <w:numFmt w:val="bullet"/>
      <w:lvlText w:val="●"/>
      <w:lvlJc w:val="left"/>
      <w:pPr>
        <w:ind w:left="720" w:hanging="360"/>
      </w:pPr>
      <w:rPr>
        <w:rFonts w:ascii="Arial" w:eastAsia="Arial" w:hAnsi="Arial" w:cs="Arial"/>
        <w:b w:val="0"/>
        <w:bCs w:val="0"/>
        <w:i w:val="0"/>
        <w:iCs w:val="0"/>
        <w:smallCaps w:val="0"/>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1E0BA1"/>
    <w:multiLevelType w:val="multilevel"/>
    <w:tmpl w:val="8F80B7A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8310184"/>
    <w:multiLevelType w:val="hybridMultilevel"/>
    <w:tmpl w:val="9B045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A103C34"/>
    <w:multiLevelType w:val="hybridMultilevel"/>
    <w:tmpl w:val="BFC692D2"/>
    <w:lvl w:ilvl="0" w:tplc="1E8063F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046398C">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7AC363A">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0228B92">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31408EC">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8FD66D2E">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FB58E4EA">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2F2FF2E">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B4A5262">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0CB641C9"/>
    <w:multiLevelType w:val="hybridMultilevel"/>
    <w:tmpl w:val="C01EF0E4"/>
    <w:lvl w:ilvl="0" w:tplc="F8A8E072">
      <w:start w:val="1"/>
      <w:numFmt w:val="lowerLetter"/>
      <w:pStyle w:val="SC5"/>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D4A7CF5"/>
    <w:multiLevelType w:val="multilevel"/>
    <w:tmpl w:val="2690E342"/>
    <w:lvl w:ilvl="0">
      <w:start w:val="3"/>
      <w:numFmt w:val="decimal"/>
      <w:lvlText w:val="%1"/>
      <w:lvlJc w:val="left"/>
      <w:pPr>
        <w:ind w:left="620" w:hanging="620"/>
      </w:pPr>
      <w:rPr>
        <w:rFonts w:hint="default"/>
      </w:rPr>
    </w:lvl>
    <w:lvl w:ilvl="1">
      <w:start w:val="1"/>
      <w:numFmt w:val="decimal"/>
      <w:lvlText w:val="%1.%2"/>
      <w:lvlJc w:val="left"/>
      <w:pPr>
        <w:ind w:left="620" w:hanging="62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0D6632B5"/>
    <w:multiLevelType w:val="multilevel"/>
    <w:tmpl w:val="32C4E5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E2D01A5"/>
    <w:multiLevelType w:val="hybridMultilevel"/>
    <w:tmpl w:val="697E6272"/>
    <w:lvl w:ilvl="0" w:tplc="40E060EE">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16C616DA">
      <w:start w:val="1"/>
      <w:numFmt w:val="bullet"/>
      <w:lvlRestart w:val="0"/>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C16F00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3E89102">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A3C678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CEA2CD0">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3D8F832">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1D81296">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D4C46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1" w15:restartNumberingAfterBreak="0">
    <w:nsid w:val="104976F2"/>
    <w:multiLevelType w:val="multilevel"/>
    <w:tmpl w:val="AFCCA420"/>
    <w:lvl w:ilvl="0">
      <w:start w:val="1"/>
      <w:numFmt w:val="decimal"/>
      <w:lvlText w:val="%1."/>
      <w:lvlJc w:val="left"/>
      <w:pPr>
        <w:ind w:left="360" w:hanging="360"/>
      </w:pPr>
      <w:rPr>
        <w:rFonts w:hint="default"/>
      </w:rPr>
    </w:lvl>
    <w:lvl w:ilvl="1">
      <w:start w:val="1"/>
      <w:numFmt w:val="decimal"/>
      <w:pStyle w:val="SC2"/>
      <w:lvlText w:val="%1.%2"/>
      <w:lvlJc w:val="left"/>
      <w:pPr>
        <w:ind w:left="720" w:hanging="720"/>
      </w:pPr>
      <w:rPr>
        <w:rFonts w:asciiTheme="minorHAnsi" w:hAnsiTheme="minorHAnsi" w:cstheme="minorHAnsi" w:hint="default"/>
        <w:b/>
        <w:bCs/>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SC3"/>
      <w:lvlText w:val="%1.%2.%3"/>
      <w:lvlJc w:val="left"/>
      <w:pPr>
        <w:ind w:left="1080" w:hanging="1080"/>
      </w:pPr>
      <w:rPr>
        <w:rFonts w:hint="default"/>
        <w:sz w:val="22"/>
        <w:szCs w:val="21"/>
      </w:rPr>
    </w:lvl>
    <w:lvl w:ilvl="3">
      <w:start w:val="1"/>
      <w:numFmt w:val="decimal"/>
      <w:lvlText w:val="%1.%2.%3.%4."/>
      <w:lvlJc w:val="left"/>
      <w:pPr>
        <w:ind w:left="180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0AC592C"/>
    <w:multiLevelType w:val="hybridMultilevel"/>
    <w:tmpl w:val="5894869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5F515DB"/>
    <w:multiLevelType w:val="hybridMultilevel"/>
    <w:tmpl w:val="2A26775C"/>
    <w:lvl w:ilvl="0" w:tplc="99E8F4FE">
      <w:start w:val="1"/>
      <w:numFmt w:val="decimal"/>
      <w:lvlText w:val="%1"/>
      <w:lvlJc w:val="left"/>
      <w:pPr>
        <w:ind w:left="721"/>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1" w:tplc="429E009C">
      <w:start w:val="1"/>
      <w:numFmt w:val="lowerLetter"/>
      <w:lvlText w:val="%2"/>
      <w:lvlJc w:val="left"/>
      <w:pPr>
        <w:ind w:left="11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2" w:tplc="E020B554">
      <w:start w:val="1"/>
      <w:numFmt w:val="lowerRoman"/>
      <w:lvlText w:val="%3"/>
      <w:lvlJc w:val="left"/>
      <w:pPr>
        <w:ind w:left="19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3" w:tplc="C62ABDB6">
      <w:start w:val="1"/>
      <w:numFmt w:val="decimal"/>
      <w:lvlText w:val="%4"/>
      <w:lvlJc w:val="left"/>
      <w:pPr>
        <w:ind w:left="26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4" w:tplc="794E422C">
      <w:start w:val="1"/>
      <w:numFmt w:val="lowerLetter"/>
      <w:lvlText w:val="%5"/>
      <w:lvlJc w:val="left"/>
      <w:pPr>
        <w:ind w:left="334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5" w:tplc="216686EA">
      <w:start w:val="1"/>
      <w:numFmt w:val="lowerRoman"/>
      <w:lvlText w:val="%6"/>
      <w:lvlJc w:val="left"/>
      <w:pPr>
        <w:ind w:left="406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6" w:tplc="584003A6">
      <w:start w:val="1"/>
      <w:numFmt w:val="decimal"/>
      <w:lvlText w:val="%7"/>
      <w:lvlJc w:val="left"/>
      <w:pPr>
        <w:ind w:left="478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7" w:tplc="59F8D3C8">
      <w:start w:val="1"/>
      <w:numFmt w:val="lowerLetter"/>
      <w:lvlText w:val="%8"/>
      <w:lvlJc w:val="left"/>
      <w:pPr>
        <w:ind w:left="550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lvl w:ilvl="8" w:tplc="16C60D90">
      <w:start w:val="1"/>
      <w:numFmt w:val="lowerRoman"/>
      <w:lvlText w:val="%9"/>
      <w:lvlJc w:val="left"/>
      <w:pPr>
        <w:ind w:left="6228"/>
      </w:pPr>
      <w:rPr>
        <w:rFonts w:ascii="Calibri" w:eastAsia="Calibri" w:hAnsi="Calibri" w:cs="Calibri"/>
        <w:b w:val="0"/>
        <w:i w:val="0"/>
        <w:strike w:val="0"/>
        <w:dstrike w:val="0"/>
        <w:color w:val="000000"/>
        <w:sz w:val="16"/>
        <w:szCs w:val="16"/>
        <w:u w:val="none" w:color="000000"/>
        <w:bdr w:val="none" w:sz="0" w:space="0" w:color="auto"/>
        <w:shd w:val="clear" w:color="auto" w:fill="auto"/>
        <w:vertAlign w:val="baseline"/>
      </w:rPr>
    </w:lvl>
  </w:abstractNum>
  <w:abstractNum w:abstractNumId="14" w15:restartNumberingAfterBreak="0">
    <w:nsid w:val="1F733351"/>
    <w:multiLevelType w:val="hybridMultilevel"/>
    <w:tmpl w:val="D5F0DF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0994465"/>
    <w:multiLevelType w:val="hybridMultilevel"/>
    <w:tmpl w:val="0816914A"/>
    <w:lvl w:ilvl="0" w:tplc="42762EAC">
      <w:start w:val="1"/>
      <w:numFmt w:val="decimal"/>
      <w:lvlText w:val="(%1)"/>
      <w:lvlJc w:val="left"/>
      <w:pPr>
        <w:ind w:left="440" w:hanging="440"/>
      </w:pPr>
      <w:rPr>
        <w:rFonts w:ascii="Calibri" w:eastAsiaTheme="minorEastAsia" w:hAnsi="Calibri" w:cs="Calibri"/>
      </w:rPr>
    </w:lvl>
    <w:lvl w:ilvl="1" w:tplc="04090017">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start w:val="1"/>
      <w:numFmt w:val="aiueoFullWidth"/>
      <w:lvlText w:val="(%5)"/>
      <w:lvlJc w:val="left"/>
      <w:pPr>
        <w:ind w:left="2200" w:hanging="440"/>
      </w:pPr>
    </w:lvl>
    <w:lvl w:ilvl="5" w:tplc="04090011">
      <w:start w:val="1"/>
      <w:numFmt w:val="decimalEnclosedCircle"/>
      <w:lvlText w:val="%6"/>
      <w:lvlJc w:val="left"/>
      <w:pPr>
        <w:ind w:left="2640" w:hanging="440"/>
      </w:pPr>
    </w:lvl>
    <w:lvl w:ilvl="6" w:tplc="0409000F">
      <w:start w:val="1"/>
      <w:numFmt w:val="decimal"/>
      <w:lvlText w:val="%7."/>
      <w:lvlJc w:val="left"/>
      <w:pPr>
        <w:ind w:left="3080" w:hanging="440"/>
      </w:pPr>
    </w:lvl>
    <w:lvl w:ilvl="7" w:tplc="04090017">
      <w:start w:val="1"/>
      <w:numFmt w:val="aiueoFullWidth"/>
      <w:lvlText w:val="(%8)"/>
      <w:lvlJc w:val="left"/>
      <w:pPr>
        <w:ind w:left="3520" w:hanging="440"/>
      </w:pPr>
    </w:lvl>
    <w:lvl w:ilvl="8" w:tplc="04090011">
      <w:start w:val="1"/>
      <w:numFmt w:val="decimalEnclosedCircle"/>
      <w:lvlText w:val="%9"/>
      <w:lvlJc w:val="left"/>
      <w:pPr>
        <w:ind w:left="3960" w:hanging="440"/>
      </w:pPr>
    </w:lvl>
  </w:abstractNum>
  <w:abstractNum w:abstractNumId="16" w15:restartNumberingAfterBreak="0">
    <w:nsid w:val="23010C4F"/>
    <w:multiLevelType w:val="hybridMultilevel"/>
    <w:tmpl w:val="8D963F14"/>
    <w:lvl w:ilvl="0" w:tplc="FFFFFFFF">
      <w:start w:val="1"/>
      <w:numFmt w:val="decimal"/>
      <w:pStyle w:val="NumberedPara"/>
      <w:lvlText w:val="%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7DE41E2C">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280C07A8"/>
    <w:multiLevelType w:val="hybridMultilevel"/>
    <w:tmpl w:val="315600F0"/>
    <w:lvl w:ilvl="0" w:tplc="72687A88">
      <w:start w:val="1"/>
      <w:numFmt w:val="decimal"/>
      <w:pStyle w:val="ODFText"/>
      <w:lvlText w:val="%1."/>
      <w:lvlJc w:val="left"/>
      <w:pPr>
        <w:ind w:left="37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C9822A0">
      <w:start w:val="1"/>
      <w:numFmt w:val="lowerRoman"/>
      <w:lvlText w:val="(%2)"/>
      <w:lvlJc w:val="left"/>
      <w:pPr>
        <w:ind w:left="77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AEEAD40A">
      <w:start w:val="1"/>
      <w:numFmt w:val="lowerRoman"/>
      <w:lvlText w:val="%3"/>
      <w:lvlJc w:val="left"/>
      <w:pPr>
        <w:ind w:left="13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3DACE0E">
      <w:start w:val="1"/>
      <w:numFmt w:val="decimal"/>
      <w:lvlText w:val="%4"/>
      <w:lvlJc w:val="left"/>
      <w:pPr>
        <w:ind w:left="20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EC4C584">
      <w:start w:val="1"/>
      <w:numFmt w:val="lowerLetter"/>
      <w:lvlText w:val="%5"/>
      <w:lvlJc w:val="left"/>
      <w:pPr>
        <w:ind w:left="277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8DE299A">
      <w:start w:val="1"/>
      <w:numFmt w:val="lowerRoman"/>
      <w:lvlText w:val="%6"/>
      <w:lvlJc w:val="left"/>
      <w:pPr>
        <w:ind w:left="34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C3617F2">
      <w:start w:val="1"/>
      <w:numFmt w:val="decimal"/>
      <w:lvlText w:val="%7"/>
      <w:lvlJc w:val="left"/>
      <w:pPr>
        <w:ind w:left="42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76C6F6">
      <w:start w:val="1"/>
      <w:numFmt w:val="lowerLetter"/>
      <w:lvlText w:val="%8"/>
      <w:lvlJc w:val="left"/>
      <w:pPr>
        <w:ind w:left="493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44D4D108">
      <w:start w:val="1"/>
      <w:numFmt w:val="lowerRoman"/>
      <w:lvlText w:val="%9"/>
      <w:lvlJc w:val="left"/>
      <w:pPr>
        <w:ind w:left="565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8737750"/>
    <w:multiLevelType w:val="hybridMultilevel"/>
    <w:tmpl w:val="01800656"/>
    <w:styleLink w:val="ImportedStyle31"/>
    <w:lvl w:ilvl="0" w:tplc="5B90411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C0C2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D4CD6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90E5722">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52A9A2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82E1C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AC78D4">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145FF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A04E8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28C369EF"/>
    <w:multiLevelType w:val="hybridMultilevel"/>
    <w:tmpl w:val="72C6B298"/>
    <w:lvl w:ilvl="0" w:tplc="FE406332">
      <w:start w:val="1"/>
      <w:numFmt w:val="lowerLetter"/>
      <w:lvlText w:val="%1)"/>
      <w:lvlJc w:val="left"/>
      <w:pPr>
        <w:ind w:left="12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4D44C4A">
      <w:start w:val="1"/>
      <w:numFmt w:val="lowerLetter"/>
      <w:lvlText w:val="%2"/>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BF8F4BA">
      <w:start w:val="1"/>
      <w:numFmt w:val="lowerRoman"/>
      <w:lvlText w:val="%3"/>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C76F228">
      <w:start w:val="1"/>
      <w:numFmt w:val="decimal"/>
      <w:lvlText w:val="%4"/>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8F25668">
      <w:start w:val="1"/>
      <w:numFmt w:val="lowerLetter"/>
      <w:lvlText w:val="%5"/>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F203570">
      <w:start w:val="1"/>
      <w:numFmt w:val="lowerRoman"/>
      <w:lvlText w:val="%6"/>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A685A3A">
      <w:start w:val="1"/>
      <w:numFmt w:val="decimal"/>
      <w:lvlText w:val="%7"/>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E905196">
      <w:start w:val="1"/>
      <w:numFmt w:val="lowerLetter"/>
      <w:lvlText w:val="%8"/>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B10A36A">
      <w:start w:val="1"/>
      <w:numFmt w:val="lowerRoman"/>
      <w:lvlText w:val="%9"/>
      <w:lvlJc w:val="left"/>
      <w:pPr>
        <w:ind w:left="68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29073371"/>
    <w:multiLevelType w:val="multilevel"/>
    <w:tmpl w:val="77406402"/>
    <w:styleLink w:val="Style21"/>
    <w:lvl w:ilvl="0">
      <w:start w:val="1"/>
      <w:numFmt w:val="decimal"/>
      <w:lvlText w:val="%1"/>
      <w:lvlJc w:val="left"/>
      <w:pPr>
        <w:ind w:left="360" w:hanging="360"/>
      </w:pPr>
      <w:rPr>
        <w:rFonts w:hint="default"/>
      </w:rPr>
    </w:lvl>
    <w:lvl w:ilvl="1">
      <w:start w:val="1"/>
      <w:numFmt w:val="decimal"/>
      <w:lvlText w:val="%1.%2."/>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080" w:hanging="108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2A040FCE"/>
    <w:multiLevelType w:val="multilevel"/>
    <w:tmpl w:val="2A040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2A08374B"/>
    <w:multiLevelType w:val="hybridMultilevel"/>
    <w:tmpl w:val="13DE9B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38D5DA3"/>
    <w:multiLevelType w:val="multilevel"/>
    <w:tmpl w:val="09A67C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38E85913"/>
    <w:multiLevelType w:val="multilevel"/>
    <w:tmpl w:val="0770BF3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9C5694A"/>
    <w:multiLevelType w:val="multilevel"/>
    <w:tmpl w:val="04CE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B97C88"/>
    <w:multiLevelType w:val="multilevel"/>
    <w:tmpl w:val="6E900D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B556902"/>
    <w:multiLevelType w:val="hybridMultilevel"/>
    <w:tmpl w:val="FFA62ABA"/>
    <w:lvl w:ilvl="0" w:tplc="70448018">
      <w:start w:val="207"/>
      <w:numFmt w:val="decimal"/>
      <w:pStyle w:val="WCPFCText"/>
      <w:lvlText w:val="%1."/>
      <w:lvlJc w:val="left"/>
      <w:pPr>
        <w:ind w:left="1495" w:hanging="360"/>
      </w:pPr>
      <w:rPr>
        <w:rFonts w:ascii="Times New Roman" w:eastAsia="Times New Roman" w:hAnsi="Times New Roman" w:cs="Times New Roman" w:hint="default"/>
        <w:b w:val="0"/>
        <w:i w:val="0"/>
        <w:strike w:val="0"/>
        <w:dstrike w:val="0"/>
        <w:color w:val="000000"/>
        <w:sz w:val="22"/>
        <w:szCs w:val="22"/>
        <w:u w:val="none" w:color="000000"/>
        <w:bdr w:val="none" w:sz="0" w:space="0" w:color="auto"/>
        <w:shd w:val="clear" w:color="auto" w:fill="auto"/>
        <w:vertAlign w:val="baseline"/>
      </w:rPr>
    </w:lvl>
    <w:lvl w:ilvl="1" w:tplc="8C94AEC2">
      <w:start w:val="1"/>
      <w:numFmt w:val="lowerLetter"/>
      <w:lvlText w:val="%2"/>
      <w:lvlJc w:val="left"/>
      <w:pPr>
        <w:ind w:left="22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F3AC74A">
      <w:start w:val="1"/>
      <w:numFmt w:val="lowerRoman"/>
      <w:lvlText w:val="%3"/>
      <w:lvlJc w:val="left"/>
      <w:pPr>
        <w:ind w:left="29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9748748">
      <w:start w:val="1"/>
      <w:numFmt w:val="decimal"/>
      <w:lvlText w:val="%4"/>
      <w:lvlJc w:val="left"/>
      <w:pPr>
        <w:ind w:left="37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FC6C050">
      <w:start w:val="1"/>
      <w:numFmt w:val="lowerLetter"/>
      <w:lvlText w:val="%5"/>
      <w:lvlJc w:val="left"/>
      <w:pPr>
        <w:ind w:left="4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38FEE3A4">
      <w:start w:val="1"/>
      <w:numFmt w:val="lowerRoman"/>
      <w:lvlText w:val="%6"/>
      <w:lvlJc w:val="left"/>
      <w:pPr>
        <w:ind w:left="5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B81BD6">
      <w:start w:val="1"/>
      <w:numFmt w:val="decimal"/>
      <w:lvlText w:val="%7"/>
      <w:lvlJc w:val="left"/>
      <w:pPr>
        <w:ind w:left="5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D08FFA">
      <w:start w:val="1"/>
      <w:numFmt w:val="lowerLetter"/>
      <w:lvlText w:val="%8"/>
      <w:lvlJc w:val="left"/>
      <w:pPr>
        <w:ind w:left="6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12521DCC">
      <w:start w:val="1"/>
      <w:numFmt w:val="lowerRoman"/>
      <w:lvlText w:val="%9"/>
      <w:lvlJc w:val="left"/>
      <w:pPr>
        <w:ind w:left="7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8" w15:restartNumberingAfterBreak="0">
    <w:nsid w:val="3C287ED2"/>
    <w:multiLevelType w:val="multilevel"/>
    <w:tmpl w:val="11E85414"/>
    <w:lvl w:ilvl="0">
      <w:start w:val="1"/>
      <w:numFmt w:val="decimal"/>
      <w:pStyle w:val="SCCHeading1"/>
      <w:lvlText w:val="%1"/>
      <w:lvlJc w:val="left"/>
      <w:pPr>
        <w:ind w:left="720" w:hanging="360"/>
      </w:pPr>
      <w:rPr>
        <w:rFonts w:hint="default"/>
      </w:rPr>
    </w:lvl>
    <w:lvl w:ilvl="1">
      <w:start w:val="1"/>
      <w:numFmt w:val="decimal"/>
      <w:pStyle w:val="SCCHeading2"/>
      <w:isLgl/>
      <w:lvlText w:val="%1.%2"/>
      <w:lvlJc w:val="left"/>
      <w:pPr>
        <w:ind w:left="1080" w:hanging="720"/>
      </w:pPr>
      <w:rPr>
        <w:rFonts w:hint="default"/>
      </w:rPr>
    </w:lvl>
    <w:lvl w:ilvl="2">
      <w:start w:val="1"/>
      <w:numFmt w:val="decimal"/>
      <w:pStyle w:val="SCCHeading3"/>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3E951F5E"/>
    <w:multiLevelType w:val="multilevel"/>
    <w:tmpl w:val="0BA64AC2"/>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0" w15:restartNumberingAfterBreak="0">
    <w:nsid w:val="3F8933BE"/>
    <w:multiLevelType w:val="multilevel"/>
    <w:tmpl w:val="9B160DCC"/>
    <w:lvl w:ilvl="0">
      <w:start w:val="6"/>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3FC10D2D"/>
    <w:multiLevelType w:val="hybridMultilevel"/>
    <w:tmpl w:val="4B6E52B2"/>
    <w:lvl w:ilvl="0" w:tplc="0C090001">
      <w:start w:val="1"/>
      <w:numFmt w:val="bullet"/>
      <w:lvlText w:val=""/>
      <w:lvlJc w:val="left"/>
      <w:pPr>
        <w:ind w:left="705" w:hanging="360"/>
      </w:pPr>
      <w:rPr>
        <w:rFonts w:ascii="Symbol" w:hAnsi="Symbol" w:hint="default"/>
      </w:rPr>
    </w:lvl>
    <w:lvl w:ilvl="1" w:tplc="0C090003" w:tentative="1">
      <w:start w:val="1"/>
      <w:numFmt w:val="bullet"/>
      <w:lvlText w:val="o"/>
      <w:lvlJc w:val="left"/>
      <w:pPr>
        <w:ind w:left="1425" w:hanging="360"/>
      </w:pPr>
      <w:rPr>
        <w:rFonts w:ascii="Courier New" w:hAnsi="Courier New" w:cs="Courier New" w:hint="default"/>
      </w:rPr>
    </w:lvl>
    <w:lvl w:ilvl="2" w:tplc="0C090005" w:tentative="1">
      <w:start w:val="1"/>
      <w:numFmt w:val="bullet"/>
      <w:lvlText w:val=""/>
      <w:lvlJc w:val="left"/>
      <w:pPr>
        <w:ind w:left="2145" w:hanging="360"/>
      </w:pPr>
      <w:rPr>
        <w:rFonts w:ascii="Wingdings" w:hAnsi="Wingdings" w:hint="default"/>
      </w:rPr>
    </w:lvl>
    <w:lvl w:ilvl="3" w:tplc="0C090001" w:tentative="1">
      <w:start w:val="1"/>
      <w:numFmt w:val="bullet"/>
      <w:lvlText w:val=""/>
      <w:lvlJc w:val="left"/>
      <w:pPr>
        <w:ind w:left="2865" w:hanging="360"/>
      </w:pPr>
      <w:rPr>
        <w:rFonts w:ascii="Symbol" w:hAnsi="Symbol" w:hint="default"/>
      </w:rPr>
    </w:lvl>
    <w:lvl w:ilvl="4" w:tplc="0C090003" w:tentative="1">
      <w:start w:val="1"/>
      <w:numFmt w:val="bullet"/>
      <w:lvlText w:val="o"/>
      <w:lvlJc w:val="left"/>
      <w:pPr>
        <w:ind w:left="3585" w:hanging="360"/>
      </w:pPr>
      <w:rPr>
        <w:rFonts w:ascii="Courier New" w:hAnsi="Courier New" w:cs="Courier New" w:hint="default"/>
      </w:rPr>
    </w:lvl>
    <w:lvl w:ilvl="5" w:tplc="0C090005" w:tentative="1">
      <w:start w:val="1"/>
      <w:numFmt w:val="bullet"/>
      <w:lvlText w:val=""/>
      <w:lvlJc w:val="left"/>
      <w:pPr>
        <w:ind w:left="4305" w:hanging="360"/>
      </w:pPr>
      <w:rPr>
        <w:rFonts w:ascii="Wingdings" w:hAnsi="Wingdings" w:hint="default"/>
      </w:rPr>
    </w:lvl>
    <w:lvl w:ilvl="6" w:tplc="0C090001" w:tentative="1">
      <w:start w:val="1"/>
      <w:numFmt w:val="bullet"/>
      <w:lvlText w:val=""/>
      <w:lvlJc w:val="left"/>
      <w:pPr>
        <w:ind w:left="5025" w:hanging="360"/>
      </w:pPr>
      <w:rPr>
        <w:rFonts w:ascii="Symbol" w:hAnsi="Symbol" w:hint="default"/>
      </w:rPr>
    </w:lvl>
    <w:lvl w:ilvl="7" w:tplc="0C090003" w:tentative="1">
      <w:start w:val="1"/>
      <w:numFmt w:val="bullet"/>
      <w:lvlText w:val="o"/>
      <w:lvlJc w:val="left"/>
      <w:pPr>
        <w:ind w:left="5745" w:hanging="360"/>
      </w:pPr>
      <w:rPr>
        <w:rFonts w:ascii="Courier New" w:hAnsi="Courier New" w:cs="Courier New" w:hint="default"/>
      </w:rPr>
    </w:lvl>
    <w:lvl w:ilvl="8" w:tplc="0C090005" w:tentative="1">
      <w:start w:val="1"/>
      <w:numFmt w:val="bullet"/>
      <w:lvlText w:val=""/>
      <w:lvlJc w:val="left"/>
      <w:pPr>
        <w:ind w:left="6465" w:hanging="360"/>
      </w:pPr>
      <w:rPr>
        <w:rFonts w:ascii="Wingdings" w:hAnsi="Wingdings" w:hint="default"/>
      </w:rPr>
    </w:lvl>
  </w:abstractNum>
  <w:abstractNum w:abstractNumId="32" w15:restartNumberingAfterBreak="0">
    <w:nsid w:val="400C5572"/>
    <w:multiLevelType w:val="hybridMultilevel"/>
    <w:tmpl w:val="C1E0356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074E0F"/>
    <w:multiLevelType w:val="multilevel"/>
    <w:tmpl w:val="B54A87B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45D58C0"/>
    <w:multiLevelType w:val="hybridMultilevel"/>
    <w:tmpl w:val="C1405ADA"/>
    <w:lvl w:ilvl="0" w:tplc="DF1E1408">
      <w:start w:val="1"/>
      <w:numFmt w:val="decimal"/>
      <w:pStyle w:val="Best2"/>
      <w:lvlText w:val="%1."/>
      <w:lvlJc w:val="left"/>
      <w:pPr>
        <w:ind w:left="360" w:hanging="360"/>
      </w:pPr>
    </w:lvl>
    <w:lvl w:ilvl="1" w:tplc="0C090019">
      <w:start w:val="1"/>
      <w:numFmt w:val="lowerLetter"/>
      <w:lvlText w:val="%2."/>
      <w:lvlJc w:val="left"/>
      <w:pPr>
        <w:ind w:left="720" w:hanging="360"/>
      </w:pPr>
    </w:lvl>
    <w:lvl w:ilvl="2" w:tplc="0C09001B" w:tentative="1">
      <w:start w:val="1"/>
      <w:numFmt w:val="lowerRoman"/>
      <w:lvlText w:val="%3."/>
      <w:lvlJc w:val="right"/>
      <w:pPr>
        <w:ind w:left="1440" w:hanging="180"/>
      </w:pPr>
    </w:lvl>
    <w:lvl w:ilvl="3" w:tplc="0C09000F" w:tentative="1">
      <w:start w:val="1"/>
      <w:numFmt w:val="decimal"/>
      <w:lvlText w:val="%4."/>
      <w:lvlJc w:val="left"/>
      <w:pPr>
        <w:ind w:left="2160" w:hanging="360"/>
      </w:pPr>
    </w:lvl>
    <w:lvl w:ilvl="4" w:tplc="0C090019" w:tentative="1">
      <w:start w:val="1"/>
      <w:numFmt w:val="lowerLetter"/>
      <w:lvlText w:val="%5."/>
      <w:lvlJc w:val="left"/>
      <w:pPr>
        <w:ind w:left="2880" w:hanging="360"/>
      </w:pPr>
    </w:lvl>
    <w:lvl w:ilvl="5" w:tplc="0C09001B" w:tentative="1">
      <w:start w:val="1"/>
      <w:numFmt w:val="lowerRoman"/>
      <w:lvlText w:val="%6."/>
      <w:lvlJc w:val="right"/>
      <w:pPr>
        <w:ind w:left="3600" w:hanging="180"/>
      </w:pPr>
    </w:lvl>
    <w:lvl w:ilvl="6" w:tplc="0C09000F" w:tentative="1">
      <w:start w:val="1"/>
      <w:numFmt w:val="decimal"/>
      <w:lvlText w:val="%7."/>
      <w:lvlJc w:val="left"/>
      <w:pPr>
        <w:ind w:left="4320" w:hanging="360"/>
      </w:pPr>
    </w:lvl>
    <w:lvl w:ilvl="7" w:tplc="0C090019" w:tentative="1">
      <w:start w:val="1"/>
      <w:numFmt w:val="lowerLetter"/>
      <w:lvlText w:val="%8."/>
      <w:lvlJc w:val="left"/>
      <w:pPr>
        <w:ind w:left="5040" w:hanging="360"/>
      </w:pPr>
    </w:lvl>
    <w:lvl w:ilvl="8" w:tplc="0C09001B" w:tentative="1">
      <w:start w:val="1"/>
      <w:numFmt w:val="lowerRoman"/>
      <w:lvlText w:val="%9."/>
      <w:lvlJc w:val="right"/>
      <w:pPr>
        <w:ind w:left="5760" w:hanging="180"/>
      </w:pPr>
    </w:lvl>
  </w:abstractNum>
  <w:abstractNum w:abstractNumId="35" w15:restartNumberingAfterBreak="0">
    <w:nsid w:val="455056A3"/>
    <w:multiLevelType w:val="multilevel"/>
    <w:tmpl w:val="D71AC1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46EC099E"/>
    <w:multiLevelType w:val="hybridMultilevel"/>
    <w:tmpl w:val="47B42CB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4949305C"/>
    <w:multiLevelType w:val="hybridMultilevel"/>
    <w:tmpl w:val="D8360ABC"/>
    <w:lvl w:ilvl="0" w:tplc="09429910">
      <w:start w:val="1"/>
      <w:numFmt w:val="decimal"/>
      <w:pStyle w:val="TextTTMW"/>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FD159E1"/>
    <w:multiLevelType w:val="hybridMultilevel"/>
    <w:tmpl w:val="ABDCB538"/>
    <w:lvl w:ilvl="0" w:tplc="DCE007FE">
      <w:start w:val="1"/>
      <w:numFmt w:val="bullet"/>
      <w:lvlText w:val="•"/>
      <w:lvlJc w:val="left"/>
      <w:pPr>
        <w:ind w:left="3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9E4FD8">
      <w:start w:val="1"/>
      <w:numFmt w:val="bullet"/>
      <w:lvlText w:val="o"/>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9328D10">
      <w:start w:val="1"/>
      <w:numFmt w:val="bullet"/>
      <w:lvlText w:val="▪"/>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F5C848A">
      <w:start w:val="1"/>
      <w:numFmt w:val="bullet"/>
      <w:lvlText w:val="•"/>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ADA92E0">
      <w:start w:val="1"/>
      <w:numFmt w:val="bullet"/>
      <w:lvlText w:val="o"/>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7705BFA">
      <w:start w:val="1"/>
      <w:numFmt w:val="bullet"/>
      <w:lvlText w:val="▪"/>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A823198">
      <w:start w:val="1"/>
      <w:numFmt w:val="bullet"/>
      <w:lvlText w:val="•"/>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D206256">
      <w:start w:val="1"/>
      <w:numFmt w:val="bullet"/>
      <w:lvlText w:val="o"/>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520CCF4">
      <w:start w:val="1"/>
      <w:numFmt w:val="bullet"/>
      <w:lvlText w:val="▪"/>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0C55324"/>
    <w:multiLevelType w:val="multilevel"/>
    <w:tmpl w:val="A300A5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2A719D1"/>
    <w:multiLevelType w:val="hybridMultilevel"/>
    <w:tmpl w:val="5A80605C"/>
    <w:lvl w:ilvl="0" w:tplc="0E06546C">
      <w:start w:val="1"/>
      <w:numFmt w:val="decimal"/>
      <w:pStyle w:val="SCa1"/>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52E034EE"/>
    <w:multiLevelType w:val="hybridMultilevel"/>
    <w:tmpl w:val="07A465DE"/>
    <w:lvl w:ilvl="0" w:tplc="2744BD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D70C58"/>
    <w:multiLevelType w:val="multilevel"/>
    <w:tmpl w:val="99C4646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A7C0D20"/>
    <w:multiLevelType w:val="hybridMultilevel"/>
    <w:tmpl w:val="BA3AC480"/>
    <w:lvl w:ilvl="0" w:tplc="42D8DCA0">
      <w:start w:val="1"/>
      <w:numFmt w:val="decimal"/>
      <w:pStyle w:val="favourite"/>
      <w:lvlText w:val="%1."/>
      <w:lvlJc w:val="left"/>
      <w:pPr>
        <w:ind w:left="1800" w:hanging="360"/>
      </w:pPr>
      <w:rPr>
        <w:rFonts w:hint="default"/>
        <w:b w:val="0"/>
        <w:bCs w:val="0"/>
        <w:i w:val="0"/>
        <w:iCs w:val="0"/>
        <w:caps w:val="0"/>
        <w:smallCaps w:val="0"/>
        <w:strike w:val="0"/>
        <w:dstrike w:val="0"/>
        <w:noProof w:val="0"/>
        <w:vanish w:val="0"/>
        <w:spacing w:val="0"/>
        <w:kern w:val="0"/>
        <w:position w:val="0"/>
        <w:u w:val="none"/>
        <w:effect w:val="none"/>
        <w:vertAlign w:val="baseline"/>
        <w:em w:val="none"/>
        <w:specVanish w:val="0"/>
      </w:rPr>
    </w:lvl>
    <w:lvl w:ilvl="1" w:tplc="14090019">
      <w:start w:val="1"/>
      <w:numFmt w:val="lowerLetter"/>
      <w:lvlText w:val="%2."/>
      <w:lvlJc w:val="left"/>
      <w:pPr>
        <w:ind w:left="2520" w:hanging="360"/>
      </w:pPr>
    </w:lvl>
    <w:lvl w:ilvl="2" w:tplc="1409001B">
      <w:start w:val="1"/>
      <w:numFmt w:val="lowerRoman"/>
      <w:lvlText w:val="%3."/>
      <w:lvlJc w:val="right"/>
      <w:pPr>
        <w:ind w:left="3240" w:hanging="180"/>
      </w:pPr>
    </w:lvl>
    <w:lvl w:ilvl="3" w:tplc="1409000F">
      <w:start w:val="1"/>
      <w:numFmt w:val="decimal"/>
      <w:lvlText w:val="%4."/>
      <w:lvlJc w:val="left"/>
      <w:pPr>
        <w:ind w:left="3960" w:hanging="360"/>
      </w:pPr>
    </w:lvl>
    <w:lvl w:ilvl="4" w:tplc="6E52C89C">
      <w:start w:val="1"/>
      <w:numFmt w:val="lowerLetter"/>
      <w:lvlText w:val="%5)"/>
      <w:lvlJc w:val="left"/>
      <w:pPr>
        <w:ind w:left="4680" w:hanging="360"/>
      </w:pPr>
      <w:rPr>
        <w:rFonts w:hint="default"/>
      </w:rPr>
    </w:lvl>
    <w:lvl w:ilvl="5" w:tplc="1409001B" w:tentative="1">
      <w:start w:val="1"/>
      <w:numFmt w:val="lowerRoman"/>
      <w:lvlText w:val="%6."/>
      <w:lvlJc w:val="righ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right"/>
      <w:pPr>
        <w:ind w:left="7560" w:hanging="180"/>
      </w:pPr>
    </w:lvl>
  </w:abstractNum>
  <w:abstractNum w:abstractNumId="44" w15:restartNumberingAfterBreak="0">
    <w:nsid w:val="5AF64B32"/>
    <w:multiLevelType w:val="multilevel"/>
    <w:tmpl w:val="1D301D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5" w15:restartNumberingAfterBreak="0">
    <w:nsid w:val="5B8A00BC"/>
    <w:multiLevelType w:val="hybridMultilevel"/>
    <w:tmpl w:val="35EE4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C36731"/>
    <w:multiLevelType w:val="multilevel"/>
    <w:tmpl w:val="2370FC0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D024ED3"/>
    <w:multiLevelType w:val="multilevel"/>
    <w:tmpl w:val="0409001D"/>
    <w:styleLink w:val="Style1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8" w15:restartNumberingAfterBreak="0">
    <w:nsid w:val="605F591E"/>
    <w:multiLevelType w:val="multilevel"/>
    <w:tmpl w:val="5FF4A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07663B4"/>
    <w:multiLevelType w:val="multilevel"/>
    <w:tmpl w:val="74CE9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1AF4910"/>
    <w:multiLevelType w:val="hybridMultilevel"/>
    <w:tmpl w:val="37BA4442"/>
    <w:lvl w:ilvl="0" w:tplc="260C1E16">
      <w:start w:val="1"/>
      <w:numFmt w:val="bullet"/>
      <w:lvlText w:val="•"/>
      <w:lvlJc w:val="left"/>
      <w:pPr>
        <w:ind w:left="377"/>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1" w:tplc="877E85FE">
      <w:start w:val="1"/>
      <w:numFmt w:val="bullet"/>
      <w:lvlText w:val="o"/>
      <w:lvlJc w:val="left"/>
      <w:pPr>
        <w:ind w:left="137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2" w:tplc="C602E2D6">
      <w:start w:val="1"/>
      <w:numFmt w:val="bullet"/>
      <w:lvlText w:val="▪"/>
      <w:lvlJc w:val="left"/>
      <w:pPr>
        <w:ind w:left="20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3" w:tplc="C8087016">
      <w:start w:val="1"/>
      <w:numFmt w:val="bullet"/>
      <w:lvlText w:val="•"/>
      <w:lvlJc w:val="left"/>
      <w:pPr>
        <w:ind w:left="281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4" w:tplc="7B665C3E">
      <w:start w:val="1"/>
      <w:numFmt w:val="bullet"/>
      <w:lvlText w:val="o"/>
      <w:lvlJc w:val="left"/>
      <w:pPr>
        <w:ind w:left="353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5" w:tplc="47B09448">
      <w:start w:val="1"/>
      <w:numFmt w:val="bullet"/>
      <w:lvlText w:val="▪"/>
      <w:lvlJc w:val="left"/>
      <w:pPr>
        <w:ind w:left="425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6" w:tplc="F4DE7C0A">
      <w:start w:val="1"/>
      <w:numFmt w:val="bullet"/>
      <w:lvlText w:val="•"/>
      <w:lvlJc w:val="left"/>
      <w:pPr>
        <w:ind w:left="4976"/>
      </w:pPr>
      <w:rPr>
        <w:rFonts w:ascii="Arial" w:eastAsia="Arial" w:hAnsi="Arial" w:cs="Arial"/>
        <w:b w:val="0"/>
        <w:i w:val="0"/>
        <w:strike w:val="0"/>
        <w:dstrike w:val="0"/>
        <w:color w:val="0000FF"/>
        <w:sz w:val="16"/>
        <w:szCs w:val="16"/>
        <w:u w:val="none" w:color="000000"/>
        <w:bdr w:val="none" w:sz="0" w:space="0" w:color="auto"/>
        <w:shd w:val="clear" w:color="auto" w:fill="auto"/>
        <w:vertAlign w:val="baseline"/>
      </w:rPr>
    </w:lvl>
    <w:lvl w:ilvl="7" w:tplc="E7CE916E">
      <w:start w:val="1"/>
      <w:numFmt w:val="bullet"/>
      <w:lvlText w:val="o"/>
      <w:lvlJc w:val="left"/>
      <w:pPr>
        <w:ind w:left="569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lvl w:ilvl="8" w:tplc="C3EA91D2">
      <w:start w:val="1"/>
      <w:numFmt w:val="bullet"/>
      <w:lvlText w:val="▪"/>
      <w:lvlJc w:val="left"/>
      <w:pPr>
        <w:ind w:left="6416"/>
      </w:pPr>
      <w:rPr>
        <w:rFonts w:ascii="Segoe UI Symbol" w:eastAsia="Segoe UI Symbol" w:hAnsi="Segoe UI Symbol" w:cs="Segoe UI Symbol"/>
        <w:b w:val="0"/>
        <w:i w:val="0"/>
        <w:strike w:val="0"/>
        <w:dstrike w:val="0"/>
        <w:color w:val="0000FF"/>
        <w:sz w:val="16"/>
        <w:szCs w:val="16"/>
        <w:u w:val="none" w:color="000000"/>
        <w:bdr w:val="none" w:sz="0" w:space="0" w:color="auto"/>
        <w:shd w:val="clear" w:color="auto" w:fill="auto"/>
        <w:vertAlign w:val="baseline"/>
      </w:rPr>
    </w:lvl>
  </w:abstractNum>
  <w:abstractNum w:abstractNumId="51" w15:restartNumberingAfterBreak="0">
    <w:nsid w:val="63417E15"/>
    <w:multiLevelType w:val="multilevel"/>
    <w:tmpl w:val="5A7CD37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97742FC"/>
    <w:multiLevelType w:val="hybridMultilevel"/>
    <w:tmpl w:val="127CA416"/>
    <w:styleLink w:val="ImportedStyle11"/>
    <w:lvl w:ilvl="0" w:tplc="80E8DA86">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5810E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334635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7542CB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22E70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6456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84EE73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948301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514176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72200E22"/>
    <w:multiLevelType w:val="multilevel"/>
    <w:tmpl w:val="2432F08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pStyle w:val="wcpfcsubheading"/>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72C53264"/>
    <w:multiLevelType w:val="hybridMultilevel"/>
    <w:tmpl w:val="FE4C4608"/>
    <w:lvl w:ilvl="0" w:tplc="FD66BF84">
      <w:start w:val="1"/>
      <w:numFmt w:val="decimal"/>
      <w:pStyle w:val="SCtext"/>
      <w:lvlText w:val="%1."/>
      <w:lvlJc w:val="left"/>
      <w:pPr>
        <w:ind w:left="6030" w:hanging="360"/>
      </w:pPr>
      <w:rPr>
        <w:rFonts w:ascii="Calibri" w:hAnsi="Calibri" w:cs="Calibri" w:hint="default"/>
        <w:b w:val="0"/>
        <w:i w:val="0"/>
      </w:rPr>
    </w:lvl>
    <w:lvl w:ilvl="1" w:tplc="FFFFFFFF">
      <w:start w:val="1"/>
      <w:numFmt w:val="bullet"/>
      <w:lvlText w:val="o"/>
      <w:lvlJc w:val="left"/>
      <w:pPr>
        <w:ind w:left="2520" w:hanging="360"/>
      </w:pPr>
      <w:rPr>
        <w:rFonts w:ascii="Courier New" w:hAnsi="Courier New" w:cs="Courier New" w:hint="default"/>
      </w:rPr>
    </w:lvl>
    <w:lvl w:ilvl="2" w:tplc="FFFFFFFF">
      <w:start w:val="1"/>
      <w:numFmt w:val="bullet"/>
      <w:lvlText w:val=""/>
      <w:lvlJc w:val="left"/>
      <w:pPr>
        <w:ind w:left="3240" w:hanging="360"/>
      </w:pPr>
      <w:rPr>
        <w:rFonts w:ascii="Wingdings" w:hAnsi="Wingdings" w:hint="default"/>
      </w:rPr>
    </w:lvl>
    <w:lvl w:ilvl="3" w:tplc="FFFFFFFF">
      <w:start w:val="1"/>
      <w:numFmt w:val="decimal"/>
      <w:lvlText w:val="%4)"/>
      <w:lvlJc w:val="left"/>
      <w:pPr>
        <w:ind w:left="3960" w:hanging="360"/>
      </w:pPr>
      <w:rPr>
        <w:rFonts w:hint="default"/>
      </w:rPr>
    </w:lvl>
    <w:lvl w:ilvl="4" w:tplc="FFFFFFFF">
      <w:start w:val="1"/>
      <w:numFmt w:val="decimal"/>
      <w:lvlText w:val="(%5)"/>
      <w:lvlJc w:val="left"/>
      <w:pPr>
        <w:ind w:left="4680" w:hanging="360"/>
      </w:pPr>
      <w:rPr>
        <w:rFonts w:hint="default"/>
      </w:rPr>
    </w:lvl>
    <w:lvl w:ilvl="5" w:tplc="FFFFFFFF">
      <w:start w:val="1"/>
      <w:numFmt w:val="lowerLetter"/>
      <w:lvlText w:val="%6."/>
      <w:lvlJc w:val="left"/>
      <w:pPr>
        <w:ind w:left="5400" w:hanging="360"/>
      </w:pPr>
      <w:rPr>
        <w:rFonts w:hint="default"/>
      </w:rPr>
    </w:lvl>
    <w:lvl w:ilvl="6" w:tplc="FFFFFFFF">
      <w:start w:val="1"/>
      <w:numFmt w:val="bullet"/>
      <w:lvlText w:val=""/>
      <w:lvlJc w:val="left"/>
      <w:pPr>
        <w:ind w:left="6120" w:hanging="360"/>
      </w:pPr>
      <w:rPr>
        <w:rFonts w:ascii="Symbol" w:hAnsi="Symbol" w:hint="default"/>
      </w:rPr>
    </w:lvl>
    <w:lvl w:ilvl="7" w:tplc="D602C366">
      <w:start w:val="1"/>
      <w:numFmt w:val="lowerRoman"/>
      <w:lvlText w:val="(%8)"/>
      <w:lvlJc w:val="left"/>
      <w:pPr>
        <w:ind w:left="7200" w:hanging="720"/>
      </w:pPr>
      <w:rPr>
        <w:rFonts w:hint="default"/>
      </w:rPr>
    </w:lvl>
    <w:lvl w:ilvl="8" w:tplc="5FDA9A4C">
      <w:numFmt w:val="bullet"/>
      <w:lvlText w:val="•"/>
      <w:lvlJc w:val="left"/>
      <w:pPr>
        <w:ind w:left="7560" w:hanging="360"/>
      </w:pPr>
      <w:rPr>
        <w:rFonts w:ascii="Calibri" w:eastAsia="Batang" w:hAnsi="Calibri" w:cs="Calibri" w:hint="default"/>
        <w:b/>
      </w:rPr>
    </w:lvl>
  </w:abstractNum>
  <w:abstractNum w:abstractNumId="55" w15:restartNumberingAfterBreak="0">
    <w:nsid w:val="73F96FED"/>
    <w:multiLevelType w:val="multilevel"/>
    <w:tmpl w:val="F9BAFB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6" w15:restartNumberingAfterBreak="0">
    <w:nsid w:val="760B4422"/>
    <w:multiLevelType w:val="hybridMultilevel"/>
    <w:tmpl w:val="65201646"/>
    <w:lvl w:ilvl="0" w:tplc="BC024180">
      <w:start w:val="1"/>
      <w:numFmt w:val="decimal"/>
      <w:pStyle w:val="WCPFCnormal"/>
      <w:lvlText w:val="%1."/>
      <w:lvlJc w:val="left"/>
      <w:pPr>
        <w:ind w:left="756" w:hanging="360"/>
      </w:pPr>
      <w:rPr>
        <w:rFonts w:hint="default"/>
        <w:b w:val="0"/>
        <w:i w:val="0"/>
      </w:rPr>
    </w:lvl>
    <w:lvl w:ilvl="1" w:tplc="08090019">
      <w:start w:val="1"/>
      <w:numFmt w:val="lowerLetter"/>
      <w:lvlText w:val="%2."/>
      <w:lvlJc w:val="left"/>
      <w:pPr>
        <w:ind w:left="1440" w:hanging="360"/>
      </w:pPr>
    </w:lvl>
    <w:lvl w:ilvl="2" w:tplc="B484CE6E">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79AC15EC"/>
    <w:multiLevelType w:val="multilevel"/>
    <w:tmpl w:val="CD363EE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numFmt w:val="decimal"/>
      <w:lvlText w:val="%1.%2.%3"/>
      <w:lvlJc w:val="left"/>
      <w:pPr>
        <w:ind w:left="720" w:hanging="720"/>
      </w:pPr>
      <w:rPr>
        <w:rFonts w:hint="default"/>
      </w:rPr>
    </w:lvl>
    <w:lvl w:ilvl="3">
      <w:start w:val="1"/>
      <w:numFmt w:val="decimal"/>
      <w:pStyle w:val="SC4"/>
      <w:lvlText w:val="%1.%2.%3.%4"/>
      <w:lvlJc w:val="left"/>
      <w:pPr>
        <w:ind w:left="1440" w:hanging="720"/>
      </w:p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B5E165C"/>
    <w:multiLevelType w:val="hybridMultilevel"/>
    <w:tmpl w:val="BD46B726"/>
    <w:lvl w:ilvl="0" w:tplc="F2FC77A6">
      <w:start w:val="1"/>
      <w:numFmt w:val="decimal"/>
      <w:pStyle w:val="Heading1"/>
      <w:lvlText w:val="TOPIC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C284D43"/>
    <w:multiLevelType w:val="hybridMultilevel"/>
    <w:tmpl w:val="6DBAF4CE"/>
    <w:styleLink w:val="ImportedStyle21"/>
    <w:lvl w:ilvl="0" w:tplc="26387D1E">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5CD83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50F8C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74A623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09813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7ECAE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F048AB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38F8F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C9CDC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662150036">
    <w:abstractNumId w:val="57"/>
  </w:num>
  <w:num w:numId="2" w16cid:durableId="1592813087">
    <w:abstractNumId w:val="43"/>
  </w:num>
  <w:num w:numId="3" w16cid:durableId="58670483">
    <w:abstractNumId w:val="34"/>
  </w:num>
  <w:num w:numId="4" w16cid:durableId="801652084">
    <w:abstractNumId w:val="58"/>
  </w:num>
  <w:num w:numId="5" w16cid:durableId="2144736912">
    <w:abstractNumId w:val="0"/>
  </w:num>
  <w:num w:numId="6" w16cid:durableId="290786907">
    <w:abstractNumId w:val="47"/>
  </w:num>
  <w:num w:numId="7" w16cid:durableId="194268627">
    <w:abstractNumId w:val="11"/>
  </w:num>
  <w:num w:numId="8" w16cid:durableId="537357224">
    <w:abstractNumId w:val="40"/>
  </w:num>
  <w:num w:numId="9" w16cid:durableId="1015154583">
    <w:abstractNumId w:val="52"/>
  </w:num>
  <w:num w:numId="10" w16cid:durableId="1031498110">
    <w:abstractNumId w:val="59"/>
  </w:num>
  <w:num w:numId="11" w16cid:durableId="628436927">
    <w:abstractNumId w:val="18"/>
  </w:num>
  <w:num w:numId="12" w16cid:durableId="90636403">
    <w:abstractNumId w:val="1"/>
  </w:num>
  <w:num w:numId="13" w16cid:durableId="900555083">
    <w:abstractNumId w:val="53"/>
  </w:num>
  <w:num w:numId="14" w16cid:durableId="984968926">
    <w:abstractNumId w:val="28"/>
  </w:num>
  <w:num w:numId="15" w16cid:durableId="312178602">
    <w:abstractNumId w:val="7"/>
  </w:num>
  <w:num w:numId="16" w16cid:durableId="1687753731">
    <w:abstractNumId w:val="27"/>
  </w:num>
  <w:num w:numId="17" w16cid:durableId="554587008">
    <w:abstractNumId w:val="20"/>
  </w:num>
  <w:num w:numId="18" w16cid:durableId="378358731">
    <w:abstractNumId w:val="16"/>
  </w:num>
  <w:num w:numId="19" w16cid:durableId="1941182404">
    <w:abstractNumId w:val="56"/>
  </w:num>
  <w:num w:numId="20" w16cid:durableId="552353085">
    <w:abstractNumId w:val="30"/>
  </w:num>
  <w:num w:numId="21" w16cid:durableId="202451492">
    <w:abstractNumId w:val="29"/>
  </w:num>
  <w:num w:numId="22" w16cid:durableId="1255669895">
    <w:abstractNumId w:val="37"/>
  </w:num>
  <w:num w:numId="23" w16cid:durableId="1534419389">
    <w:abstractNumId w:val="54"/>
  </w:num>
  <w:num w:numId="24" w16cid:durableId="126555917">
    <w:abstractNumId w:val="8"/>
  </w:num>
  <w:num w:numId="25" w16cid:durableId="579022516">
    <w:abstractNumId w:val="36"/>
  </w:num>
  <w:num w:numId="26" w16cid:durableId="981345603">
    <w:abstractNumId w:val="12"/>
  </w:num>
  <w:num w:numId="27" w16cid:durableId="1411659280">
    <w:abstractNumId w:val="14"/>
  </w:num>
  <w:num w:numId="28" w16cid:durableId="565652717">
    <w:abstractNumId w:val="49"/>
  </w:num>
  <w:num w:numId="29" w16cid:durableId="779565196">
    <w:abstractNumId w:val="48"/>
  </w:num>
  <w:num w:numId="30" w16cid:durableId="5092986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95430429">
    <w:abstractNumId w:val="44"/>
  </w:num>
  <w:num w:numId="32" w16cid:durableId="1324040521">
    <w:abstractNumId w:val="55"/>
  </w:num>
  <w:num w:numId="33" w16cid:durableId="1168328773">
    <w:abstractNumId w:val="3"/>
  </w:num>
  <w:num w:numId="34" w16cid:durableId="2123066081">
    <w:abstractNumId w:val="31"/>
  </w:num>
  <w:num w:numId="35" w16cid:durableId="1878740502">
    <w:abstractNumId w:val="45"/>
  </w:num>
  <w:num w:numId="36" w16cid:durableId="19203982">
    <w:abstractNumId w:val="5"/>
  </w:num>
  <w:num w:numId="37" w16cid:durableId="1446266030">
    <w:abstractNumId w:val="41"/>
  </w:num>
  <w:num w:numId="38" w16cid:durableId="1270889150">
    <w:abstractNumId w:val="23"/>
  </w:num>
  <w:num w:numId="39" w16cid:durableId="1822960556">
    <w:abstractNumId w:val="6"/>
  </w:num>
  <w:num w:numId="40" w16cid:durableId="449059071">
    <w:abstractNumId w:val="38"/>
  </w:num>
  <w:num w:numId="41" w16cid:durableId="2071802878">
    <w:abstractNumId w:val="10"/>
  </w:num>
  <w:num w:numId="42" w16cid:durableId="1250848390">
    <w:abstractNumId w:val="19"/>
  </w:num>
  <w:num w:numId="43" w16cid:durableId="779642975">
    <w:abstractNumId w:val="50"/>
  </w:num>
  <w:num w:numId="44" w16cid:durableId="1550412276">
    <w:abstractNumId w:val="13"/>
  </w:num>
  <w:num w:numId="45" w16cid:durableId="654605609">
    <w:abstractNumId w:val="2"/>
  </w:num>
  <w:num w:numId="46" w16cid:durableId="191962270">
    <w:abstractNumId w:val="21"/>
  </w:num>
  <w:num w:numId="47" w16cid:durableId="1981375856">
    <w:abstractNumId w:val="25"/>
  </w:num>
  <w:num w:numId="48" w16cid:durableId="598098271">
    <w:abstractNumId w:val="9"/>
  </w:num>
  <w:num w:numId="49" w16cid:durableId="510418332">
    <w:abstractNumId w:val="39"/>
  </w:num>
  <w:num w:numId="50" w16cid:durableId="1889099911">
    <w:abstractNumId w:val="35"/>
  </w:num>
  <w:num w:numId="51" w16cid:durableId="1994135221">
    <w:abstractNumId w:val="33"/>
  </w:num>
  <w:num w:numId="52" w16cid:durableId="1540362499">
    <w:abstractNumId w:val="26"/>
  </w:num>
  <w:num w:numId="53" w16cid:durableId="1681007396">
    <w:abstractNumId w:val="51"/>
  </w:num>
  <w:num w:numId="54" w16cid:durableId="1713766780">
    <w:abstractNumId w:val="46"/>
  </w:num>
  <w:num w:numId="55" w16cid:durableId="264312565">
    <w:abstractNumId w:val="42"/>
  </w:num>
  <w:num w:numId="56" w16cid:durableId="1594433406">
    <w:abstractNumId w:val="4"/>
  </w:num>
  <w:num w:numId="57" w16cid:durableId="1344893847">
    <w:abstractNumId w:val="24"/>
  </w:num>
  <w:num w:numId="58" w16cid:durableId="102312599">
    <w:abstractNumId w:val="17"/>
  </w:num>
  <w:num w:numId="59" w16cid:durableId="1563783580">
    <w:abstractNumId w:val="15"/>
  </w:num>
  <w:num w:numId="60" w16cid:durableId="795635458">
    <w:abstractNumId w:val="32"/>
  </w:num>
  <w:num w:numId="61" w16cid:durableId="768236470">
    <w:abstractNumId w:val="2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drawingGridHorizontalSpacing w:val="110"/>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QyMTS0NLUwNzezNDdQ0lEKTi0uzszPAykwNK8FABA62NAtAAAA"/>
  </w:docVars>
  <w:rsids>
    <w:rsidRoot w:val="00A83306"/>
    <w:rsid w:val="000001A0"/>
    <w:rsid w:val="000001AB"/>
    <w:rsid w:val="000001DD"/>
    <w:rsid w:val="000005A7"/>
    <w:rsid w:val="00000735"/>
    <w:rsid w:val="00000961"/>
    <w:rsid w:val="00000C9D"/>
    <w:rsid w:val="00000DBA"/>
    <w:rsid w:val="00001058"/>
    <w:rsid w:val="000011B7"/>
    <w:rsid w:val="000011E4"/>
    <w:rsid w:val="000011ED"/>
    <w:rsid w:val="000012EA"/>
    <w:rsid w:val="00001426"/>
    <w:rsid w:val="0000198E"/>
    <w:rsid w:val="00001A81"/>
    <w:rsid w:val="00001CC7"/>
    <w:rsid w:val="00001D0B"/>
    <w:rsid w:val="0000230C"/>
    <w:rsid w:val="0000234E"/>
    <w:rsid w:val="000024C2"/>
    <w:rsid w:val="0000258F"/>
    <w:rsid w:val="00002AE1"/>
    <w:rsid w:val="00002B55"/>
    <w:rsid w:val="00002D28"/>
    <w:rsid w:val="0000332C"/>
    <w:rsid w:val="00003869"/>
    <w:rsid w:val="000040DA"/>
    <w:rsid w:val="0000416C"/>
    <w:rsid w:val="00004193"/>
    <w:rsid w:val="000041D7"/>
    <w:rsid w:val="000042D6"/>
    <w:rsid w:val="00004543"/>
    <w:rsid w:val="0000467F"/>
    <w:rsid w:val="0000479C"/>
    <w:rsid w:val="0000488F"/>
    <w:rsid w:val="00004A79"/>
    <w:rsid w:val="00004BB6"/>
    <w:rsid w:val="00004C1C"/>
    <w:rsid w:val="00005689"/>
    <w:rsid w:val="0000575B"/>
    <w:rsid w:val="0000583E"/>
    <w:rsid w:val="00005A70"/>
    <w:rsid w:val="00005A9E"/>
    <w:rsid w:val="00005EE2"/>
    <w:rsid w:val="000060E8"/>
    <w:rsid w:val="000063F4"/>
    <w:rsid w:val="000064AB"/>
    <w:rsid w:val="000065BA"/>
    <w:rsid w:val="000067CE"/>
    <w:rsid w:val="00006AD0"/>
    <w:rsid w:val="00006EB8"/>
    <w:rsid w:val="000075BC"/>
    <w:rsid w:val="00007851"/>
    <w:rsid w:val="00007A82"/>
    <w:rsid w:val="00007BE6"/>
    <w:rsid w:val="00007C26"/>
    <w:rsid w:val="00007CA4"/>
    <w:rsid w:val="00007F8B"/>
    <w:rsid w:val="0001077B"/>
    <w:rsid w:val="000108D6"/>
    <w:rsid w:val="00010FC7"/>
    <w:rsid w:val="0001135E"/>
    <w:rsid w:val="000113CB"/>
    <w:rsid w:val="00011435"/>
    <w:rsid w:val="000115FC"/>
    <w:rsid w:val="000117C7"/>
    <w:rsid w:val="00011AE4"/>
    <w:rsid w:val="00011C10"/>
    <w:rsid w:val="00011D8D"/>
    <w:rsid w:val="00011E50"/>
    <w:rsid w:val="00011FD7"/>
    <w:rsid w:val="000121AE"/>
    <w:rsid w:val="0001224A"/>
    <w:rsid w:val="0001227B"/>
    <w:rsid w:val="000123AE"/>
    <w:rsid w:val="0001285E"/>
    <w:rsid w:val="00012873"/>
    <w:rsid w:val="000128D9"/>
    <w:rsid w:val="000128EF"/>
    <w:rsid w:val="00012C68"/>
    <w:rsid w:val="00012CCA"/>
    <w:rsid w:val="000130F7"/>
    <w:rsid w:val="00013805"/>
    <w:rsid w:val="000139FA"/>
    <w:rsid w:val="00013AA2"/>
    <w:rsid w:val="00013B3D"/>
    <w:rsid w:val="00013C29"/>
    <w:rsid w:val="00013DD0"/>
    <w:rsid w:val="00013E75"/>
    <w:rsid w:val="000140A6"/>
    <w:rsid w:val="00014276"/>
    <w:rsid w:val="00014A01"/>
    <w:rsid w:val="00014D5E"/>
    <w:rsid w:val="00014F6B"/>
    <w:rsid w:val="00014F82"/>
    <w:rsid w:val="0001536E"/>
    <w:rsid w:val="00015402"/>
    <w:rsid w:val="00015853"/>
    <w:rsid w:val="00015A7B"/>
    <w:rsid w:val="00015C98"/>
    <w:rsid w:val="00015E28"/>
    <w:rsid w:val="00016016"/>
    <w:rsid w:val="000160BF"/>
    <w:rsid w:val="0001610C"/>
    <w:rsid w:val="00016360"/>
    <w:rsid w:val="00016606"/>
    <w:rsid w:val="00016A4C"/>
    <w:rsid w:val="00016AF5"/>
    <w:rsid w:val="00016DC0"/>
    <w:rsid w:val="00016E01"/>
    <w:rsid w:val="00017001"/>
    <w:rsid w:val="00017447"/>
    <w:rsid w:val="000174CE"/>
    <w:rsid w:val="00017724"/>
    <w:rsid w:val="000177B3"/>
    <w:rsid w:val="00017896"/>
    <w:rsid w:val="000178CB"/>
    <w:rsid w:val="000178DC"/>
    <w:rsid w:val="00017A5E"/>
    <w:rsid w:val="00017C1C"/>
    <w:rsid w:val="00017FBF"/>
    <w:rsid w:val="00020DDF"/>
    <w:rsid w:val="000217BC"/>
    <w:rsid w:val="00021AE5"/>
    <w:rsid w:val="00021B13"/>
    <w:rsid w:val="00021C4E"/>
    <w:rsid w:val="00021E8D"/>
    <w:rsid w:val="00022222"/>
    <w:rsid w:val="000222B1"/>
    <w:rsid w:val="000223D7"/>
    <w:rsid w:val="00022673"/>
    <w:rsid w:val="000227B3"/>
    <w:rsid w:val="0002282F"/>
    <w:rsid w:val="00022B73"/>
    <w:rsid w:val="00022E76"/>
    <w:rsid w:val="000232E7"/>
    <w:rsid w:val="00023387"/>
    <w:rsid w:val="0002365E"/>
    <w:rsid w:val="000237D9"/>
    <w:rsid w:val="000240D6"/>
    <w:rsid w:val="000246E0"/>
    <w:rsid w:val="00024761"/>
    <w:rsid w:val="00024843"/>
    <w:rsid w:val="00024B18"/>
    <w:rsid w:val="00024C75"/>
    <w:rsid w:val="00024CF7"/>
    <w:rsid w:val="00024D62"/>
    <w:rsid w:val="00024E85"/>
    <w:rsid w:val="0002509D"/>
    <w:rsid w:val="0002525A"/>
    <w:rsid w:val="00025593"/>
    <w:rsid w:val="00025781"/>
    <w:rsid w:val="00025816"/>
    <w:rsid w:val="00025979"/>
    <w:rsid w:val="00025C5A"/>
    <w:rsid w:val="00025C8B"/>
    <w:rsid w:val="00025D0A"/>
    <w:rsid w:val="00025F3C"/>
    <w:rsid w:val="000268FE"/>
    <w:rsid w:val="00026CD7"/>
    <w:rsid w:val="00026F0C"/>
    <w:rsid w:val="000270A8"/>
    <w:rsid w:val="00027130"/>
    <w:rsid w:val="000273BF"/>
    <w:rsid w:val="00027882"/>
    <w:rsid w:val="000278FA"/>
    <w:rsid w:val="00027B14"/>
    <w:rsid w:val="00027D60"/>
    <w:rsid w:val="0003016B"/>
    <w:rsid w:val="00030689"/>
    <w:rsid w:val="000307A6"/>
    <w:rsid w:val="00030860"/>
    <w:rsid w:val="00030C2C"/>
    <w:rsid w:val="000310B8"/>
    <w:rsid w:val="0003114B"/>
    <w:rsid w:val="0003128C"/>
    <w:rsid w:val="0003131C"/>
    <w:rsid w:val="000316CF"/>
    <w:rsid w:val="000316E8"/>
    <w:rsid w:val="00031842"/>
    <w:rsid w:val="0003189D"/>
    <w:rsid w:val="000318BE"/>
    <w:rsid w:val="00031D94"/>
    <w:rsid w:val="00031E2C"/>
    <w:rsid w:val="00031E89"/>
    <w:rsid w:val="0003209E"/>
    <w:rsid w:val="000320CA"/>
    <w:rsid w:val="00032197"/>
    <w:rsid w:val="0003226B"/>
    <w:rsid w:val="00032BD6"/>
    <w:rsid w:val="00032C5F"/>
    <w:rsid w:val="00032D2D"/>
    <w:rsid w:val="00033140"/>
    <w:rsid w:val="0003327A"/>
    <w:rsid w:val="00033502"/>
    <w:rsid w:val="00033908"/>
    <w:rsid w:val="00033979"/>
    <w:rsid w:val="00034139"/>
    <w:rsid w:val="0003435A"/>
    <w:rsid w:val="00034393"/>
    <w:rsid w:val="00034710"/>
    <w:rsid w:val="00034A2E"/>
    <w:rsid w:val="00034B5C"/>
    <w:rsid w:val="00034B9D"/>
    <w:rsid w:val="00034BF7"/>
    <w:rsid w:val="00035692"/>
    <w:rsid w:val="000359E0"/>
    <w:rsid w:val="00035AA7"/>
    <w:rsid w:val="00035C22"/>
    <w:rsid w:val="00035C51"/>
    <w:rsid w:val="00036407"/>
    <w:rsid w:val="0003647A"/>
    <w:rsid w:val="0003657E"/>
    <w:rsid w:val="00036C9D"/>
    <w:rsid w:val="00036E00"/>
    <w:rsid w:val="000372FC"/>
    <w:rsid w:val="000376E8"/>
    <w:rsid w:val="00037704"/>
    <w:rsid w:val="00037BC0"/>
    <w:rsid w:val="00037D62"/>
    <w:rsid w:val="00037EAB"/>
    <w:rsid w:val="000400F0"/>
    <w:rsid w:val="00040526"/>
    <w:rsid w:val="0004084D"/>
    <w:rsid w:val="0004086A"/>
    <w:rsid w:val="00040A8A"/>
    <w:rsid w:val="00040AC0"/>
    <w:rsid w:val="00040C7F"/>
    <w:rsid w:val="00040D02"/>
    <w:rsid w:val="00040EC6"/>
    <w:rsid w:val="00041182"/>
    <w:rsid w:val="000415ED"/>
    <w:rsid w:val="000427A4"/>
    <w:rsid w:val="000428DE"/>
    <w:rsid w:val="00042A7A"/>
    <w:rsid w:val="00042AF4"/>
    <w:rsid w:val="000431ED"/>
    <w:rsid w:val="00043261"/>
    <w:rsid w:val="000435A2"/>
    <w:rsid w:val="000439C4"/>
    <w:rsid w:val="00043D2D"/>
    <w:rsid w:val="00043E22"/>
    <w:rsid w:val="00044185"/>
    <w:rsid w:val="000441A6"/>
    <w:rsid w:val="00044239"/>
    <w:rsid w:val="00044AC8"/>
    <w:rsid w:val="00044DD2"/>
    <w:rsid w:val="00045F55"/>
    <w:rsid w:val="000461BF"/>
    <w:rsid w:val="000463B0"/>
    <w:rsid w:val="0004644D"/>
    <w:rsid w:val="00046ABA"/>
    <w:rsid w:val="00046D7C"/>
    <w:rsid w:val="0004729F"/>
    <w:rsid w:val="0004745E"/>
    <w:rsid w:val="00047665"/>
    <w:rsid w:val="00047671"/>
    <w:rsid w:val="0004784B"/>
    <w:rsid w:val="000479E0"/>
    <w:rsid w:val="00047DEB"/>
    <w:rsid w:val="000502DC"/>
    <w:rsid w:val="00050649"/>
    <w:rsid w:val="000508A8"/>
    <w:rsid w:val="000509EA"/>
    <w:rsid w:val="00051030"/>
    <w:rsid w:val="0005111C"/>
    <w:rsid w:val="00051281"/>
    <w:rsid w:val="000512E8"/>
    <w:rsid w:val="00051804"/>
    <w:rsid w:val="0005199F"/>
    <w:rsid w:val="0005246E"/>
    <w:rsid w:val="000525BD"/>
    <w:rsid w:val="00052C2D"/>
    <w:rsid w:val="00052DA2"/>
    <w:rsid w:val="00052F87"/>
    <w:rsid w:val="00053066"/>
    <w:rsid w:val="000530F0"/>
    <w:rsid w:val="0005316E"/>
    <w:rsid w:val="00053706"/>
    <w:rsid w:val="000537D8"/>
    <w:rsid w:val="00053994"/>
    <w:rsid w:val="00053A3C"/>
    <w:rsid w:val="00053A7C"/>
    <w:rsid w:val="000540E2"/>
    <w:rsid w:val="00054640"/>
    <w:rsid w:val="0005483A"/>
    <w:rsid w:val="00054CA8"/>
    <w:rsid w:val="00054F95"/>
    <w:rsid w:val="00055A28"/>
    <w:rsid w:val="00055FF7"/>
    <w:rsid w:val="0005624B"/>
    <w:rsid w:val="000567BD"/>
    <w:rsid w:val="00056ACE"/>
    <w:rsid w:val="00056BC5"/>
    <w:rsid w:val="00056E6D"/>
    <w:rsid w:val="00056EAF"/>
    <w:rsid w:val="00056FD5"/>
    <w:rsid w:val="00057FE9"/>
    <w:rsid w:val="000608A5"/>
    <w:rsid w:val="0006090B"/>
    <w:rsid w:val="00060A4C"/>
    <w:rsid w:val="00060B27"/>
    <w:rsid w:val="00060F28"/>
    <w:rsid w:val="000612F4"/>
    <w:rsid w:val="00061454"/>
    <w:rsid w:val="000614F2"/>
    <w:rsid w:val="00061730"/>
    <w:rsid w:val="00061781"/>
    <w:rsid w:val="00061F5B"/>
    <w:rsid w:val="000628F1"/>
    <w:rsid w:val="00062B9B"/>
    <w:rsid w:val="00062DCB"/>
    <w:rsid w:val="00062EEF"/>
    <w:rsid w:val="00063184"/>
    <w:rsid w:val="0006348B"/>
    <w:rsid w:val="00063859"/>
    <w:rsid w:val="00063C28"/>
    <w:rsid w:val="00063D0C"/>
    <w:rsid w:val="00063F11"/>
    <w:rsid w:val="0006402D"/>
    <w:rsid w:val="00064110"/>
    <w:rsid w:val="0006427A"/>
    <w:rsid w:val="000644B9"/>
    <w:rsid w:val="0006458F"/>
    <w:rsid w:val="000645D9"/>
    <w:rsid w:val="0006460A"/>
    <w:rsid w:val="00064CBA"/>
    <w:rsid w:val="00064E0F"/>
    <w:rsid w:val="00064F1A"/>
    <w:rsid w:val="000656EC"/>
    <w:rsid w:val="0006599F"/>
    <w:rsid w:val="00065A34"/>
    <w:rsid w:val="00065A5F"/>
    <w:rsid w:val="0006613E"/>
    <w:rsid w:val="000663B6"/>
    <w:rsid w:val="000667AE"/>
    <w:rsid w:val="0006689F"/>
    <w:rsid w:val="00066D5B"/>
    <w:rsid w:val="00066F56"/>
    <w:rsid w:val="000672AC"/>
    <w:rsid w:val="000673E9"/>
    <w:rsid w:val="00067656"/>
    <w:rsid w:val="0006769D"/>
    <w:rsid w:val="0006784B"/>
    <w:rsid w:val="000679B0"/>
    <w:rsid w:val="00067C95"/>
    <w:rsid w:val="00070015"/>
    <w:rsid w:val="0007010C"/>
    <w:rsid w:val="00070617"/>
    <w:rsid w:val="00070A6B"/>
    <w:rsid w:val="00070AC1"/>
    <w:rsid w:val="00070CD5"/>
    <w:rsid w:val="00070D0D"/>
    <w:rsid w:val="0007103C"/>
    <w:rsid w:val="00071116"/>
    <w:rsid w:val="000715D1"/>
    <w:rsid w:val="00071777"/>
    <w:rsid w:val="0007177E"/>
    <w:rsid w:val="000718B1"/>
    <w:rsid w:val="00071A97"/>
    <w:rsid w:val="00071C61"/>
    <w:rsid w:val="00071EA5"/>
    <w:rsid w:val="00071FB2"/>
    <w:rsid w:val="0007203E"/>
    <w:rsid w:val="00072168"/>
    <w:rsid w:val="00072724"/>
    <w:rsid w:val="00072773"/>
    <w:rsid w:val="000727D0"/>
    <w:rsid w:val="000729DD"/>
    <w:rsid w:val="00072AE0"/>
    <w:rsid w:val="00072BC1"/>
    <w:rsid w:val="00072FEB"/>
    <w:rsid w:val="00073200"/>
    <w:rsid w:val="00073824"/>
    <w:rsid w:val="00073CB6"/>
    <w:rsid w:val="00073DD2"/>
    <w:rsid w:val="000741E3"/>
    <w:rsid w:val="000742DD"/>
    <w:rsid w:val="00074503"/>
    <w:rsid w:val="00074558"/>
    <w:rsid w:val="00074B18"/>
    <w:rsid w:val="00074DDE"/>
    <w:rsid w:val="000750AB"/>
    <w:rsid w:val="000750B5"/>
    <w:rsid w:val="00075973"/>
    <w:rsid w:val="00075D66"/>
    <w:rsid w:val="00075DBD"/>
    <w:rsid w:val="000760D3"/>
    <w:rsid w:val="00076286"/>
    <w:rsid w:val="000762CA"/>
    <w:rsid w:val="000763F0"/>
    <w:rsid w:val="0007653C"/>
    <w:rsid w:val="00076A0B"/>
    <w:rsid w:val="00076B6E"/>
    <w:rsid w:val="00077073"/>
    <w:rsid w:val="00077697"/>
    <w:rsid w:val="0007787E"/>
    <w:rsid w:val="000779D9"/>
    <w:rsid w:val="000779F0"/>
    <w:rsid w:val="00077C6A"/>
    <w:rsid w:val="00077C7F"/>
    <w:rsid w:val="00077F15"/>
    <w:rsid w:val="00077F19"/>
    <w:rsid w:val="00080489"/>
    <w:rsid w:val="000804A2"/>
    <w:rsid w:val="0008094E"/>
    <w:rsid w:val="00080C16"/>
    <w:rsid w:val="00080C99"/>
    <w:rsid w:val="00081628"/>
    <w:rsid w:val="000816F5"/>
    <w:rsid w:val="00081797"/>
    <w:rsid w:val="00081A9A"/>
    <w:rsid w:val="00081C7D"/>
    <w:rsid w:val="00081D12"/>
    <w:rsid w:val="00081D54"/>
    <w:rsid w:val="00081D84"/>
    <w:rsid w:val="00081EA7"/>
    <w:rsid w:val="00082329"/>
    <w:rsid w:val="000825A7"/>
    <w:rsid w:val="00082703"/>
    <w:rsid w:val="0008277E"/>
    <w:rsid w:val="00082BE3"/>
    <w:rsid w:val="00082BEE"/>
    <w:rsid w:val="00082C88"/>
    <w:rsid w:val="00082D10"/>
    <w:rsid w:val="00082D38"/>
    <w:rsid w:val="00082E24"/>
    <w:rsid w:val="00082EEF"/>
    <w:rsid w:val="000830AC"/>
    <w:rsid w:val="00083321"/>
    <w:rsid w:val="00083BB8"/>
    <w:rsid w:val="00083D1E"/>
    <w:rsid w:val="00083DED"/>
    <w:rsid w:val="00083E4A"/>
    <w:rsid w:val="00083FA5"/>
    <w:rsid w:val="000840FA"/>
    <w:rsid w:val="00084333"/>
    <w:rsid w:val="000844A1"/>
    <w:rsid w:val="00084611"/>
    <w:rsid w:val="00084719"/>
    <w:rsid w:val="0008476E"/>
    <w:rsid w:val="0008481C"/>
    <w:rsid w:val="00084EC8"/>
    <w:rsid w:val="00084ECE"/>
    <w:rsid w:val="000850F6"/>
    <w:rsid w:val="00085375"/>
    <w:rsid w:val="0008578D"/>
    <w:rsid w:val="000858B9"/>
    <w:rsid w:val="00085A96"/>
    <w:rsid w:val="00085BBA"/>
    <w:rsid w:val="00085D8F"/>
    <w:rsid w:val="00086039"/>
    <w:rsid w:val="00086265"/>
    <w:rsid w:val="0008628A"/>
    <w:rsid w:val="00086653"/>
    <w:rsid w:val="00086B12"/>
    <w:rsid w:val="000872BD"/>
    <w:rsid w:val="00087547"/>
    <w:rsid w:val="0008761D"/>
    <w:rsid w:val="00087BC1"/>
    <w:rsid w:val="00087C6B"/>
    <w:rsid w:val="00087CE2"/>
    <w:rsid w:val="00087E61"/>
    <w:rsid w:val="00087E75"/>
    <w:rsid w:val="0009049D"/>
    <w:rsid w:val="00090514"/>
    <w:rsid w:val="000905F9"/>
    <w:rsid w:val="00090AB7"/>
    <w:rsid w:val="00090C32"/>
    <w:rsid w:val="00090D2B"/>
    <w:rsid w:val="00090E8F"/>
    <w:rsid w:val="00091190"/>
    <w:rsid w:val="000911AD"/>
    <w:rsid w:val="0009154A"/>
    <w:rsid w:val="00091861"/>
    <w:rsid w:val="00091E21"/>
    <w:rsid w:val="00091F4E"/>
    <w:rsid w:val="0009216D"/>
    <w:rsid w:val="000921F0"/>
    <w:rsid w:val="00092242"/>
    <w:rsid w:val="00092614"/>
    <w:rsid w:val="000927FF"/>
    <w:rsid w:val="00092D43"/>
    <w:rsid w:val="00092DAC"/>
    <w:rsid w:val="00093130"/>
    <w:rsid w:val="000933A4"/>
    <w:rsid w:val="00093C8E"/>
    <w:rsid w:val="00093EC3"/>
    <w:rsid w:val="00093ECC"/>
    <w:rsid w:val="0009444A"/>
    <w:rsid w:val="0009465F"/>
    <w:rsid w:val="000947E0"/>
    <w:rsid w:val="0009487E"/>
    <w:rsid w:val="0009493F"/>
    <w:rsid w:val="00094F3B"/>
    <w:rsid w:val="00094FED"/>
    <w:rsid w:val="0009556F"/>
    <w:rsid w:val="00095B34"/>
    <w:rsid w:val="00095CC3"/>
    <w:rsid w:val="00095DAA"/>
    <w:rsid w:val="000965DA"/>
    <w:rsid w:val="00096D1E"/>
    <w:rsid w:val="00096ED9"/>
    <w:rsid w:val="00097007"/>
    <w:rsid w:val="0009720E"/>
    <w:rsid w:val="00097320"/>
    <w:rsid w:val="0009756A"/>
    <w:rsid w:val="0009766D"/>
    <w:rsid w:val="00097959"/>
    <w:rsid w:val="00097C4D"/>
    <w:rsid w:val="000A0027"/>
    <w:rsid w:val="000A02B4"/>
    <w:rsid w:val="000A0816"/>
    <w:rsid w:val="000A08BB"/>
    <w:rsid w:val="000A0B68"/>
    <w:rsid w:val="000A0DA0"/>
    <w:rsid w:val="000A0E3B"/>
    <w:rsid w:val="000A0E94"/>
    <w:rsid w:val="000A1016"/>
    <w:rsid w:val="000A10D7"/>
    <w:rsid w:val="000A161E"/>
    <w:rsid w:val="000A1E01"/>
    <w:rsid w:val="000A1F54"/>
    <w:rsid w:val="000A2135"/>
    <w:rsid w:val="000A2875"/>
    <w:rsid w:val="000A2EE2"/>
    <w:rsid w:val="000A3375"/>
    <w:rsid w:val="000A3425"/>
    <w:rsid w:val="000A34CE"/>
    <w:rsid w:val="000A35CE"/>
    <w:rsid w:val="000A36DC"/>
    <w:rsid w:val="000A3ABA"/>
    <w:rsid w:val="000A3D35"/>
    <w:rsid w:val="000A3F69"/>
    <w:rsid w:val="000A4091"/>
    <w:rsid w:val="000A4716"/>
    <w:rsid w:val="000A489E"/>
    <w:rsid w:val="000A49EA"/>
    <w:rsid w:val="000A4D62"/>
    <w:rsid w:val="000A4ED9"/>
    <w:rsid w:val="000A506E"/>
    <w:rsid w:val="000A52E8"/>
    <w:rsid w:val="000A53BC"/>
    <w:rsid w:val="000A5413"/>
    <w:rsid w:val="000A5769"/>
    <w:rsid w:val="000A585A"/>
    <w:rsid w:val="000A5971"/>
    <w:rsid w:val="000A5A20"/>
    <w:rsid w:val="000A5A80"/>
    <w:rsid w:val="000A606B"/>
    <w:rsid w:val="000A639B"/>
    <w:rsid w:val="000A6D9A"/>
    <w:rsid w:val="000A7045"/>
    <w:rsid w:val="000A70A6"/>
    <w:rsid w:val="000A7BE5"/>
    <w:rsid w:val="000B0148"/>
    <w:rsid w:val="000B0533"/>
    <w:rsid w:val="000B081D"/>
    <w:rsid w:val="000B096E"/>
    <w:rsid w:val="000B0993"/>
    <w:rsid w:val="000B0B51"/>
    <w:rsid w:val="000B0BE7"/>
    <w:rsid w:val="000B0C11"/>
    <w:rsid w:val="000B0C70"/>
    <w:rsid w:val="000B0F63"/>
    <w:rsid w:val="000B0FB6"/>
    <w:rsid w:val="000B0FEA"/>
    <w:rsid w:val="000B10BD"/>
    <w:rsid w:val="000B11BB"/>
    <w:rsid w:val="000B131D"/>
    <w:rsid w:val="000B143A"/>
    <w:rsid w:val="000B1FE0"/>
    <w:rsid w:val="000B20B7"/>
    <w:rsid w:val="000B26DD"/>
    <w:rsid w:val="000B286A"/>
    <w:rsid w:val="000B2980"/>
    <w:rsid w:val="000B2B6B"/>
    <w:rsid w:val="000B2FEB"/>
    <w:rsid w:val="000B3327"/>
    <w:rsid w:val="000B35FF"/>
    <w:rsid w:val="000B3902"/>
    <w:rsid w:val="000B39A6"/>
    <w:rsid w:val="000B39D1"/>
    <w:rsid w:val="000B3CD9"/>
    <w:rsid w:val="000B3D0E"/>
    <w:rsid w:val="000B42C4"/>
    <w:rsid w:val="000B4613"/>
    <w:rsid w:val="000B4656"/>
    <w:rsid w:val="000B467B"/>
    <w:rsid w:val="000B4992"/>
    <w:rsid w:val="000B4FD9"/>
    <w:rsid w:val="000B548F"/>
    <w:rsid w:val="000B549A"/>
    <w:rsid w:val="000B58AA"/>
    <w:rsid w:val="000B636C"/>
    <w:rsid w:val="000B63EF"/>
    <w:rsid w:val="000B69EF"/>
    <w:rsid w:val="000B6D87"/>
    <w:rsid w:val="000B70DD"/>
    <w:rsid w:val="000B7675"/>
    <w:rsid w:val="000B7809"/>
    <w:rsid w:val="000B7B18"/>
    <w:rsid w:val="000B7C75"/>
    <w:rsid w:val="000B7D2E"/>
    <w:rsid w:val="000B7D69"/>
    <w:rsid w:val="000C01D7"/>
    <w:rsid w:val="000C01DF"/>
    <w:rsid w:val="000C02D3"/>
    <w:rsid w:val="000C031E"/>
    <w:rsid w:val="000C04FC"/>
    <w:rsid w:val="000C0E3A"/>
    <w:rsid w:val="000C0F21"/>
    <w:rsid w:val="000C15FE"/>
    <w:rsid w:val="000C1AEE"/>
    <w:rsid w:val="000C1C96"/>
    <w:rsid w:val="000C1D29"/>
    <w:rsid w:val="000C1F4C"/>
    <w:rsid w:val="000C1FE4"/>
    <w:rsid w:val="000C2252"/>
    <w:rsid w:val="000C22A4"/>
    <w:rsid w:val="000C23BD"/>
    <w:rsid w:val="000C242F"/>
    <w:rsid w:val="000C2608"/>
    <w:rsid w:val="000C2633"/>
    <w:rsid w:val="000C2671"/>
    <w:rsid w:val="000C2ACA"/>
    <w:rsid w:val="000C2B26"/>
    <w:rsid w:val="000C3713"/>
    <w:rsid w:val="000C386C"/>
    <w:rsid w:val="000C39CB"/>
    <w:rsid w:val="000C428B"/>
    <w:rsid w:val="000C4AAE"/>
    <w:rsid w:val="000C4C55"/>
    <w:rsid w:val="000C4F85"/>
    <w:rsid w:val="000C5372"/>
    <w:rsid w:val="000C55B5"/>
    <w:rsid w:val="000C5734"/>
    <w:rsid w:val="000C5C6A"/>
    <w:rsid w:val="000C5F2B"/>
    <w:rsid w:val="000C6536"/>
    <w:rsid w:val="000C6BFE"/>
    <w:rsid w:val="000C6C45"/>
    <w:rsid w:val="000C6F61"/>
    <w:rsid w:val="000C7021"/>
    <w:rsid w:val="000C78F2"/>
    <w:rsid w:val="000C7977"/>
    <w:rsid w:val="000D007A"/>
    <w:rsid w:val="000D0177"/>
    <w:rsid w:val="000D0227"/>
    <w:rsid w:val="000D0314"/>
    <w:rsid w:val="000D0432"/>
    <w:rsid w:val="000D0433"/>
    <w:rsid w:val="000D08DD"/>
    <w:rsid w:val="000D097B"/>
    <w:rsid w:val="000D09C0"/>
    <w:rsid w:val="000D0A77"/>
    <w:rsid w:val="000D0E7C"/>
    <w:rsid w:val="000D0E8D"/>
    <w:rsid w:val="000D0F1C"/>
    <w:rsid w:val="000D1114"/>
    <w:rsid w:val="000D1310"/>
    <w:rsid w:val="000D19CE"/>
    <w:rsid w:val="000D1DA3"/>
    <w:rsid w:val="000D1FD5"/>
    <w:rsid w:val="000D20C0"/>
    <w:rsid w:val="000D220E"/>
    <w:rsid w:val="000D236D"/>
    <w:rsid w:val="000D244C"/>
    <w:rsid w:val="000D2769"/>
    <w:rsid w:val="000D282F"/>
    <w:rsid w:val="000D2840"/>
    <w:rsid w:val="000D2AE7"/>
    <w:rsid w:val="000D2CEC"/>
    <w:rsid w:val="000D2CFF"/>
    <w:rsid w:val="000D2F14"/>
    <w:rsid w:val="000D2F50"/>
    <w:rsid w:val="000D2FCF"/>
    <w:rsid w:val="000D31D5"/>
    <w:rsid w:val="000D3884"/>
    <w:rsid w:val="000D3E23"/>
    <w:rsid w:val="000D47A6"/>
    <w:rsid w:val="000D5387"/>
    <w:rsid w:val="000D55CC"/>
    <w:rsid w:val="000D6159"/>
    <w:rsid w:val="000D6462"/>
    <w:rsid w:val="000D651B"/>
    <w:rsid w:val="000D67C9"/>
    <w:rsid w:val="000D6A69"/>
    <w:rsid w:val="000D6D55"/>
    <w:rsid w:val="000D7214"/>
    <w:rsid w:val="000D75AF"/>
    <w:rsid w:val="000D7647"/>
    <w:rsid w:val="000D76A6"/>
    <w:rsid w:val="000D7B89"/>
    <w:rsid w:val="000D7BFE"/>
    <w:rsid w:val="000D7CEF"/>
    <w:rsid w:val="000E0110"/>
    <w:rsid w:val="000E0403"/>
    <w:rsid w:val="000E04CB"/>
    <w:rsid w:val="000E0689"/>
    <w:rsid w:val="000E114B"/>
    <w:rsid w:val="000E13CC"/>
    <w:rsid w:val="000E1607"/>
    <w:rsid w:val="000E161F"/>
    <w:rsid w:val="000E167C"/>
    <w:rsid w:val="000E1870"/>
    <w:rsid w:val="000E211E"/>
    <w:rsid w:val="000E24A6"/>
    <w:rsid w:val="000E25EF"/>
    <w:rsid w:val="000E260B"/>
    <w:rsid w:val="000E2A5B"/>
    <w:rsid w:val="000E2B02"/>
    <w:rsid w:val="000E2C71"/>
    <w:rsid w:val="000E2DFC"/>
    <w:rsid w:val="000E32D1"/>
    <w:rsid w:val="000E39FA"/>
    <w:rsid w:val="000E4283"/>
    <w:rsid w:val="000E4410"/>
    <w:rsid w:val="000E45F7"/>
    <w:rsid w:val="000E47AC"/>
    <w:rsid w:val="000E482D"/>
    <w:rsid w:val="000E48D8"/>
    <w:rsid w:val="000E4CF2"/>
    <w:rsid w:val="000E50F7"/>
    <w:rsid w:val="000E5174"/>
    <w:rsid w:val="000E5700"/>
    <w:rsid w:val="000E57C2"/>
    <w:rsid w:val="000E5F24"/>
    <w:rsid w:val="000E6003"/>
    <w:rsid w:val="000E67FE"/>
    <w:rsid w:val="000E6966"/>
    <w:rsid w:val="000E69EA"/>
    <w:rsid w:val="000E6C5F"/>
    <w:rsid w:val="000E6D96"/>
    <w:rsid w:val="000E6EE4"/>
    <w:rsid w:val="000E70AA"/>
    <w:rsid w:val="000E7139"/>
    <w:rsid w:val="000E716D"/>
    <w:rsid w:val="000E739E"/>
    <w:rsid w:val="000E7569"/>
    <w:rsid w:val="000E7A4C"/>
    <w:rsid w:val="000F04C7"/>
    <w:rsid w:val="000F0A8E"/>
    <w:rsid w:val="000F0B14"/>
    <w:rsid w:val="000F0DB9"/>
    <w:rsid w:val="000F0DC2"/>
    <w:rsid w:val="000F0E8C"/>
    <w:rsid w:val="000F113C"/>
    <w:rsid w:val="000F11A7"/>
    <w:rsid w:val="000F1497"/>
    <w:rsid w:val="000F1629"/>
    <w:rsid w:val="000F170F"/>
    <w:rsid w:val="000F1815"/>
    <w:rsid w:val="000F1911"/>
    <w:rsid w:val="000F19C3"/>
    <w:rsid w:val="000F1BF3"/>
    <w:rsid w:val="000F1C6F"/>
    <w:rsid w:val="000F218C"/>
    <w:rsid w:val="000F25FF"/>
    <w:rsid w:val="000F26D4"/>
    <w:rsid w:val="000F2DFC"/>
    <w:rsid w:val="000F2E30"/>
    <w:rsid w:val="000F2E48"/>
    <w:rsid w:val="000F373C"/>
    <w:rsid w:val="000F3915"/>
    <w:rsid w:val="000F3949"/>
    <w:rsid w:val="000F3AB3"/>
    <w:rsid w:val="000F3B26"/>
    <w:rsid w:val="000F3C91"/>
    <w:rsid w:val="000F3E66"/>
    <w:rsid w:val="000F4054"/>
    <w:rsid w:val="000F4819"/>
    <w:rsid w:val="000F4912"/>
    <w:rsid w:val="000F4C32"/>
    <w:rsid w:val="000F4DB7"/>
    <w:rsid w:val="000F4E89"/>
    <w:rsid w:val="000F508C"/>
    <w:rsid w:val="000F5276"/>
    <w:rsid w:val="000F53D5"/>
    <w:rsid w:val="000F5956"/>
    <w:rsid w:val="000F5962"/>
    <w:rsid w:val="000F5AA2"/>
    <w:rsid w:val="000F5C05"/>
    <w:rsid w:val="000F5DCB"/>
    <w:rsid w:val="000F5FAD"/>
    <w:rsid w:val="000F6085"/>
    <w:rsid w:val="000F610F"/>
    <w:rsid w:val="000F62A3"/>
    <w:rsid w:val="000F637C"/>
    <w:rsid w:val="000F67E5"/>
    <w:rsid w:val="000F68EC"/>
    <w:rsid w:val="000F7086"/>
    <w:rsid w:val="000F74DF"/>
    <w:rsid w:val="000F7515"/>
    <w:rsid w:val="000F75B3"/>
    <w:rsid w:val="000F791F"/>
    <w:rsid w:val="000F79E8"/>
    <w:rsid w:val="000F7B3D"/>
    <w:rsid w:val="000F7BD2"/>
    <w:rsid w:val="0010022F"/>
    <w:rsid w:val="00100236"/>
    <w:rsid w:val="00100856"/>
    <w:rsid w:val="00100864"/>
    <w:rsid w:val="00100A8C"/>
    <w:rsid w:val="00100BA6"/>
    <w:rsid w:val="00100BB1"/>
    <w:rsid w:val="00100FF6"/>
    <w:rsid w:val="00101061"/>
    <w:rsid w:val="001014EC"/>
    <w:rsid w:val="00101607"/>
    <w:rsid w:val="00101AD0"/>
    <w:rsid w:val="00101B78"/>
    <w:rsid w:val="00101CF0"/>
    <w:rsid w:val="00101D92"/>
    <w:rsid w:val="00101E75"/>
    <w:rsid w:val="00102322"/>
    <w:rsid w:val="001023CE"/>
    <w:rsid w:val="0010246F"/>
    <w:rsid w:val="00102661"/>
    <w:rsid w:val="001027B1"/>
    <w:rsid w:val="00102837"/>
    <w:rsid w:val="0010297D"/>
    <w:rsid w:val="00102CAD"/>
    <w:rsid w:val="00102DE0"/>
    <w:rsid w:val="001030CE"/>
    <w:rsid w:val="001031BF"/>
    <w:rsid w:val="00103873"/>
    <w:rsid w:val="001039D5"/>
    <w:rsid w:val="00103EE5"/>
    <w:rsid w:val="00103F9B"/>
    <w:rsid w:val="0010411A"/>
    <w:rsid w:val="00104A6E"/>
    <w:rsid w:val="00104CEF"/>
    <w:rsid w:val="00104DA2"/>
    <w:rsid w:val="001050D0"/>
    <w:rsid w:val="001055A3"/>
    <w:rsid w:val="0010598C"/>
    <w:rsid w:val="00105C43"/>
    <w:rsid w:val="00105DC1"/>
    <w:rsid w:val="00106E46"/>
    <w:rsid w:val="00106F13"/>
    <w:rsid w:val="00107050"/>
    <w:rsid w:val="0010719F"/>
    <w:rsid w:val="00107370"/>
    <w:rsid w:val="00107A2A"/>
    <w:rsid w:val="0011022F"/>
    <w:rsid w:val="001103D0"/>
    <w:rsid w:val="0011062F"/>
    <w:rsid w:val="00110C99"/>
    <w:rsid w:val="00110E47"/>
    <w:rsid w:val="00110EA8"/>
    <w:rsid w:val="0011139B"/>
    <w:rsid w:val="0011161C"/>
    <w:rsid w:val="00111D4A"/>
    <w:rsid w:val="00111EE0"/>
    <w:rsid w:val="00111F32"/>
    <w:rsid w:val="00112234"/>
    <w:rsid w:val="00112761"/>
    <w:rsid w:val="00112951"/>
    <w:rsid w:val="00112985"/>
    <w:rsid w:val="00112BCE"/>
    <w:rsid w:val="00112C3E"/>
    <w:rsid w:val="00112D76"/>
    <w:rsid w:val="00112DA9"/>
    <w:rsid w:val="00112DB1"/>
    <w:rsid w:val="00112EA8"/>
    <w:rsid w:val="0011334C"/>
    <w:rsid w:val="001133A3"/>
    <w:rsid w:val="001139FA"/>
    <w:rsid w:val="00113A96"/>
    <w:rsid w:val="00113B99"/>
    <w:rsid w:val="00113C36"/>
    <w:rsid w:val="00113CE1"/>
    <w:rsid w:val="00113E0F"/>
    <w:rsid w:val="00113F34"/>
    <w:rsid w:val="001141A6"/>
    <w:rsid w:val="001141DC"/>
    <w:rsid w:val="00114676"/>
    <w:rsid w:val="00114963"/>
    <w:rsid w:val="00114D28"/>
    <w:rsid w:val="0011501C"/>
    <w:rsid w:val="0011506B"/>
    <w:rsid w:val="00115244"/>
    <w:rsid w:val="001155BA"/>
    <w:rsid w:val="001157F2"/>
    <w:rsid w:val="00115961"/>
    <w:rsid w:val="00115D15"/>
    <w:rsid w:val="00116219"/>
    <w:rsid w:val="00116749"/>
    <w:rsid w:val="00116928"/>
    <w:rsid w:val="001169AC"/>
    <w:rsid w:val="00116A4B"/>
    <w:rsid w:val="00116F1A"/>
    <w:rsid w:val="001171EB"/>
    <w:rsid w:val="00117379"/>
    <w:rsid w:val="001175EC"/>
    <w:rsid w:val="00117C88"/>
    <w:rsid w:val="00117D59"/>
    <w:rsid w:val="001202EB"/>
    <w:rsid w:val="00120437"/>
    <w:rsid w:val="00120848"/>
    <w:rsid w:val="00120872"/>
    <w:rsid w:val="001211F0"/>
    <w:rsid w:val="001212CC"/>
    <w:rsid w:val="001213C6"/>
    <w:rsid w:val="0012156E"/>
    <w:rsid w:val="0012214A"/>
    <w:rsid w:val="00122A68"/>
    <w:rsid w:val="00122C42"/>
    <w:rsid w:val="00122C72"/>
    <w:rsid w:val="00122DC5"/>
    <w:rsid w:val="0012367A"/>
    <w:rsid w:val="001236F2"/>
    <w:rsid w:val="00123981"/>
    <w:rsid w:val="00123B26"/>
    <w:rsid w:val="00123BC0"/>
    <w:rsid w:val="00123F72"/>
    <w:rsid w:val="00123FA5"/>
    <w:rsid w:val="001240B6"/>
    <w:rsid w:val="001241BF"/>
    <w:rsid w:val="001242B4"/>
    <w:rsid w:val="001242F0"/>
    <w:rsid w:val="001245DB"/>
    <w:rsid w:val="00124710"/>
    <w:rsid w:val="00124756"/>
    <w:rsid w:val="0012477F"/>
    <w:rsid w:val="001249ED"/>
    <w:rsid w:val="00124B11"/>
    <w:rsid w:val="00124CE6"/>
    <w:rsid w:val="00124D2E"/>
    <w:rsid w:val="00124EF1"/>
    <w:rsid w:val="001253F7"/>
    <w:rsid w:val="0012584F"/>
    <w:rsid w:val="0012598E"/>
    <w:rsid w:val="00125BC0"/>
    <w:rsid w:val="00125DAE"/>
    <w:rsid w:val="00125E34"/>
    <w:rsid w:val="00126485"/>
    <w:rsid w:val="001264BC"/>
    <w:rsid w:val="0012658C"/>
    <w:rsid w:val="001265BD"/>
    <w:rsid w:val="00126770"/>
    <w:rsid w:val="00126D22"/>
    <w:rsid w:val="00126D46"/>
    <w:rsid w:val="00126F71"/>
    <w:rsid w:val="00127987"/>
    <w:rsid w:val="00127D8E"/>
    <w:rsid w:val="0013013C"/>
    <w:rsid w:val="0013059B"/>
    <w:rsid w:val="001309B0"/>
    <w:rsid w:val="00130D59"/>
    <w:rsid w:val="0013112A"/>
    <w:rsid w:val="00131271"/>
    <w:rsid w:val="00131338"/>
    <w:rsid w:val="001313FA"/>
    <w:rsid w:val="00131C12"/>
    <w:rsid w:val="00131CFD"/>
    <w:rsid w:val="00131DB0"/>
    <w:rsid w:val="00132438"/>
    <w:rsid w:val="001326C9"/>
    <w:rsid w:val="001328E9"/>
    <w:rsid w:val="00132A2F"/>
    <w:rsid w:val="00132C3C"/>
    <w:rsid w:val="0013303E"/>
    <w:rsid w:val="0013311B"/>
    <w:rsid w:val="0013394D"/>
    <w:rsid w:val="001340FA"/>
    <w:rsid w:val="001343BC"/>
    <w:rsid w:val="0013451D"/>
    <w:rsid w:val="00134879"/>
    <w:rsid w:val="00134E8A"/>
    <w:rsid w:val="00134EB0"/>
    <w:rsid w:val="0013520E"/>
    <w:rsid w:val="00135538"/>
    <w:rsid w:val="001356FA"/>
    <w:rsid w:val="00135AA5"/>
    <w:rsid w:val="00135F30"/>
    <w:rsid w:val="0013626D"/>
    <w:rsid w:val="001365CB"/>
    <w:rsid w:val="00136694"/>
    <w:rsid w:val="001372C0"/>
    <w:rsid w:val="0013763E"/>
    <w:rsid w:val="001376D7"/>
    <w:rsid w:val="00137CAE"/>
    <w:rsid w:val="00137DEC"/>
    <w:rsid w:val="00137E94"/>
    <w:rsid w:val="0014051C"/>
    <w:rsid w:val="0014070C"/>
    <w:rsid w:val="00140752"/>
    <w:rsid w:val="00140A5C"/>
    <w:rsid w:val="00140C07"/>
    <w:rsid w:val="0014105F"/>
    <w:rsid w:val="00141729"/>
    <w:rsid w:val="001418FD"/>
    <w:rsid w:val="00141A6B"/>
    <w:rsid w:val="00141C77"/>
    <w:rsid w:val="0014215A"/>
    <w:rsid w:val="00142577"/>
    <w:rsid w:val="0014259D"/>
    <w:rsid w:val="00142609"/>
    <w:rsid w:val="00142B29"/>
    <w:rsid w:val="00143267"/>
    <w:rsid w:val="001434C4"/>
    <w:rsid w:val="001435CE"/>
    <w:rsid w:val="001436AF"/>
    <w:rsid w:val="00143AD7"/>
    <w:rsid w:val="00143B0D"/>
    <w:rsid w:val="00143BF5"/>
    <w:rsid w:val="00143DB4"/>
    <w:rsid w:val="00143DE8"/>
    <w:rsid w:val="00144671"/>
    <w:rsid w:val="00144A3E"/>
    <w:rsid w:val="00144AB4"/>
    <w:rsid w:val="00144B72"/>
    <w:rsid w:val="00145077"/>
    <w:rsid w:val="0014552A"/>
    <w:rsid w:val="001459CD"/>
    <w:rsid w:val="00145C2C"/>
    <w:rsid w:val="00145E5D"/>
    <w:rsid w:val="00145F2E"/>
    <w:rsid w:val="0014618E"/>
    <w:rsid w:val="0014633A"/>
    <w:rsid w:val="0014685B"/>
    <w:rsid w:val="00146890"/>
    <w:rsid w:val="00146B98"/>
    <w:rsid w:val="00146C47"/>
    <w:rsid w:val="00147447"/>
    <w:rsid w:val="00147708"/>
    <w:rsid w:val="00147B9F"/>
    <w:rsid w:val="00147CBD"/>
    <w:rsid w:val="00147F35"/>
    <w:rsid w:val="001503DC"/>
    <w:rsid w:val="0015043B"/>
    <w:rsid w:val="00150C2C"/>
    <w:rsid w:val="00150E1A"/>
    <w:rsid w:val="00151521"/>
    <w:rsid w:val="00151C94"/>
    <w:rsid w:val="00151E78"/>
    <w:rsid w:val="00151FC9"/>
    <w:rsid w:val="001521F6"/>
    <w:rsid w:val="001524E6"/>
    <w:rsid w:val="00152528"/>
    <w:rsid w:val="00152597"/>
    <w:rsid w:val="00152C96"/>
    <w:rsid w:val="00152D26"/>
    <w:rsid w:val="00152EDC"/>
    <w:rsid w:val="00152F52"/>
    <w:rsid w:val="00153102"/>
    <w:rsid w:val="001534D7"/>
    <w:rsid w:val="0015363A"/>
    <w:rsid w:val="00153B06"/>
    <w:rsid w:val="00153B4F"/>
    <w:rsid w:val="00153D6E"/>
    <w:rsid w:val="00153EAA"/>
    <w:rsid w:val="00154385"/>
    <w:rsid w:val="001544DA"/>
    <w:rsid w:val="00154A0C"/>
    <w:rsid w:val="00154A67"/>
    <w:rsid w:val="0015508E"/>
    <w:rsid w:val="0015510B"/>
    <w:rsid w:val="001552E8"/>
    <w:rsid w:val="00155658"/>
    <w:rsid w:val="0015567F"/>
    <w:rsid w:val="001557ED"/>
    <w:rsid w:val="00155840"/>
    <w:rsid w:val="001559B3"/>
    <w:rsid w:val="00155AF7"/>
    <w:rsid w:val="00155E3A"/>
    <w:rsid w:val="0015671B"/>
    <w:rsid w:val="00156A41"/>
    <w:rsid w:val="001572E7"/>
    <w:rsid w:val="00157317"/>
    <w:rsid w:val="001574FB"/>
    <w:rsid w:val="001579A5"/>
    <w:rsid w:val="00157B47"/>
    <w:rsid w:val="00160132"/>
    <w:rsid w:val="001603F2"/>
    <w:rsid w:val="0016044E"/>
    <w:rsid w:val="0016076D"/>
    <w:rsid w:val="001609EE"/>
    <w:rsid w:val="00160BAA"/>
    <w:rsid w:val="00160D26"/>
    <w:rsid w:val="001610FD"/>
    <w:rsid w:val="001616DE"/>
    <w:rsid w:val="001616E2"/>
    <w:rsid w:val="001619BF"/>
    <w:rsid w:val="00161A77"/>
    <w:rsid w:val="00161F8D"/>
    <w:rsid w:val="0016231D"/>
    <w:rsid w:val="00162408"/>
    <w:rsid w:val="00162B85"/>
    <w:rsid w:val="00162BA7"/>
    <w:rsid w:val="00162C0A"/>
    <w:rsid w:val="00162C8D"/>
    <w:rsid w:val="00162E55"/>
    <w:rsid w:val="00162FCC"/>
    <w:rsid w:val="00163012"/>
    <w:rsid w:val="001633EB"/>
    <w:rsid w:val="00163652"/>
    <w:rsid w:val="00163F7A"/>
    <w:rsid w:val="00164290"/>
    <w:rsid w:val="00164404"/>
    <w:rsid w:val="0016450B"/>
    <w:rsid w:val="001645E7"/>
    <w:rsid w:val="00164826"/>
    <w:rsid w:val="001648F0"/>
    <w:rsid w:val="00164A6C"/>
    <w:rsid w:val="00164DDB"/>
    <w:rsid w:val="00164E62"/>
    <w:rsid w:val="00164EB9"/>
    <w:rsid w:val="00165114"/>
    <w:rsid w:val="00165325"/>
    <w:rsid w:val="001656F8"/>
    <w:rsid w:val="00165BBA"/>
    <w:rsid w:val="00165E89"/>
    <w:rsid w:val="001668E7"/>
    <w:rsid w:val="001669FC"/>
    <w:rsid w:val="00166C6C"/>
    <w:rsid w:val="00166D0D"/>
    <w:rsid w:val="00167251"/>
    <w:rsid w:val="00167300"/>
    <w:rsid w:val="001676C5"/>
    <w:rsid w:val="001677E0"/>
    <w:rsid w:val="00167860"/>
    <w:rsid w:val="001679DA"/>
    <w:rsid w:val="00167A5B"/>
    <w:rsid w:val="00167C2C"/>
    <w:rsid w:val="00167F36"/>
    <w:rsid w:val="00167FF3"/>
    <w:rsid w:val="001700E4"/>
    <w:rsid w:val="001705F3"/>
    <w:rsid w:val="0017075B"/>
    <w:rsid w:val="001707A2"/>
    <w:rsid w:val="00170990"/>
    <w:rsid w:val="001710B1"/>
    <w:rsid w:val="001710BC"/>
    <w:rsid w:val="001710D5"/>
    <w:rsid w:val="0017153C"/>
    <w:rsid w:val="00171796"/>
    <w:rsid w:val="001718D8"/>
    <w:rsid w:val="00171C0C"/>
    <w:rsid w:val="00171D7A"/>
    <w:rsid w:val="0017271F"/>
    <w:rsid w:val="0017345D"/>
    <w:rsid w:val="001734E2"/>
    <w:rsid w:val="001736D3"/>
    <w:rsid w:val="00173712"/>
    <w:rsid w:val="00173844"/>
    <w:rsid w:val="00173981"/>
    <w:rsid w:val="00173A7A"/>
    <w:rsid w:val="00173A92"/>
    <w:rsid w:val="00174039"/>
    <w:rsid w:val="00174045"/>
    <w:rsid w:val="001740C5"/>
    <w:rsid w:val="001740D1"/>
    <w:rsid w:val="00174327"/>
    <w:rsid w:val="00174344"/>
    <w:rsid w:val="00174CC2"/>
    <w:rsid w:val="00174FEF"/>
    <w:rsid w:val="001750FC"/>
    <w:rsid w:val="001751C8"/>
    <w:rsid w:val="00175210"/>
    <w:rsid w:val="001754E3"/>
    <w:rsid w:val="00175752"/>
    <w:rsid w:val="0017578A"/>
    <w:rsid w:val="0017591C"/>
    <w:rsid w:val="00175A11"/>
    <w:rsid w:val="00175ACF"/>
    <w:rsid w:val="00175CF0"/>
    <w:rsid w:val="00175DCF"/>
    <w:rsid w:val="00176016"/>
    <w:rsid w:val="00176337"/>
    <w:rsid w:val="00176461"/>
    <w:rsid w:val="0017650F"/>
    <w:rsid w:val="0017683B"/>
    <w:rsid w:val="0017693B"/>
    <w:rsid w:val="00176B68"/>
    <w:rsid w:val="00176B88"/>
    <w:rsid w:val="00176D8A"/>
    <w:rsid w:val="00176DF4"/>
    <w:rsid w:val="0017715F"/>
    <w:rsid w:val="0017735E"/>
    <w:rsid w:val="0017744E"/>
    <w:rsid w:val="001775FB"/>
    <w:rsid w:val="00177930"/>
    <w:rsid w:val="00177AC3"/>
    <w:rsid w:val="00180197"/>
    <w:rsid w:val="00180400"/>
    <w:rsid w:val="001804C6"/>
    <w:rsid w:val="001809F2"/>
    <w:rsid w:val="00180D43"/>
    <w:rsid w:val="00180F92"/>
    <w:rsid w:val="00180FC7"/>
    <w:rsid w:val="00181268"/>
    <w:rsid w:val="0018126E"/>
    <w:rsid w:val="00181376"/>
    <w:rsid w:val="0018140D"/>
    <w:rsid w:val="0018141E"/>
    <w:rsid w:val="00181925"/>
    <w:rsid w:val="00181F44"/>
    <w:rsid w:val="001822DC"/>
    <w:rsid w:val="00182C28"/>
    <w:rsid w:val="00182C35"/>
    <w:rsid w:val="001833E1"/>
    <w:rsid w:val="00183629"/>
    <w:rsid w:val="00183A62"/>
    <w:rsid w:val="00183C24"/>
    <w:rsid w:val="00184015"/>
    <w:rsid w:val="00184592"/>
    <w:rsid w:val="001845BD"/>
    <w:rsid w:val="001846EE"/>
    <w:rsid w:val="001849E9"/>
    <w:rsid w:val="00185945"/>
    <w:rsid w:val="00185A40"/>
    <w:rsid w:val="00185B09"/>
    <w:rsid w:val="00185B5B"/>
    <w:rsid w:val="00185C27"/>
    <w:rsid w:val="00185CD8"/>
    <w:rsid w:val="00185F50"/>
    <w:rsid w:val="00185FC3"/>
    <w:rsid w:val="00186177"/>
    <w:rsid w:val="0018621D"/>
    <w:rsid w:val="001866D1"/>
    <w:rsid w:val="00186794"/>
    <w:rsid w:val="001867E9"/>
    <w:rsid w:val="001869C1"/>
    <w:rsid w:val="001873C4"/>
    <w:rsid w:val="001874FF"/>
    <w:rsid w:val="0018753E"/>
    <w:rsid w:val="001877C7"/>
    <w:rsid w:val="00190080"/>
    <w:rsid w:val="0019080E"/>
    <w:rsid w:val="00190E16"/>
    <w:rsid w:val="00190EC4"/>
    <w:rsid w:val="001913CF"/>
    <w:rsid w:val="0019144F"/>
    <w:rsid w:val="00191775"/>
    <w:rsid w:val="001917F9"/>
    <w:rsid w:val="001918DC"/>
    <w:rsid w:val="0019194F"/>
    <w:rsid w:val="001921EE"/>
    <w:rsid w:val="001923B0"/>
    <w:rsid w:val="00192851"/>
    <w:rsid w:val="00192D32"/>
    <w:rsid w:val="00192D74"/>
    <w:rsid w:val="00192F05"/>
    <w:rsid w:val="001931E6"/>
    <w:rsid w:val="0019369B"/>
    <w:rsid w:val="00193F06"/>
    <w:rsid w:val="001941EF"/>
    <w:rsid w:val="00194AEE"/>
    <w:rsid w:val="00194BAA"/>
    <w:rsid w:val="00194D4A"/>
    <w:rsid w:val="0019514F"/>
    <w:rsid w:val="00195154"/>
    <w:rsid w:val="001954D5"/>
    <w:rsid w:val="0019597D"/>
    <w:rsid w:val="00195C95"/>
    <w:rsid w:val="00195D2A"/>
    <w:rsid w:val="0019603A"/>
    <w:rsid w:val="00196188"/>
    <w:rsid w:val="0019638E"/>
    <w:rsid w:val="001965F1"/>
    <w:rsid w:val="0019694D"/>
    <w:rsid w:val="001972D5"/>
    <w:rsid w:val="00197717"/>
    <w:rsid w:val="0019783E"/>
    <w:rsid w:val="0019785C"/>
    <w:rsid w:val="00197A4B"/>
    <w:rsid w:val="00197B9B"/>
    <w:rsid w:val="00197CF4"/>
    <w:rsid w:val="001A09E8"/>
    <w:rsid w:val="001A0A3C"/>
    <w:rsid w:val="001A0EA0"/>
    <w:rsid w:val="001A136F"/>
    <w:rsid w:val="001A141F"/>
    <w:rsid w:val="001A14BC"/>
    <w:rsid w:val="001A178B"/>
    <w:rsid w:val="001A1A39"/>
    <w:rsid w:val="001A1C9A"/>
    <w:rsid w:val="001A1CB9"/>
    <w:rsid w:val="001A1DAD"/>
    <w:rsid w:val="001A1E02"/>
    <w:rsid w:val="001A2124"/>
    <w:rsid w:val="001A23E2"/>
    <w:rsid w:val="001A2D93"/>
    <w:rsid w:val="001A310A"/>
    <w:rsid w:val="001A3185"/>
    <w:rsid w:val="001A31DF"/>
    <w:rsid w:val="001A3C90"/>
    <w:rsid w:val="001A3D42"/>
    <w:rsid w:val="001A3D47"/>
    <w:rsid w:val="001A3FB5"/>
    <w:rsid w:val="001A41AA"/>
    <w:rsid w:val="001A451B"/>
    <w:rsid w:val="001A4629"/>
    <w:rsid w:val="001A47AB"/>
    <w:rsid w:val="001A4BF1"/>
    <w:rsid w:val="001A5064"/>
    <w:rsid w:val="001A50A4"/>
    <w:rsid w:val="001A50F9"/>
    <w:rsid w:val="001A59BB"/>
    <w:rsid w:val="001A5C12"/>
    <w:rsid w:val="001A5DBF"/>
    <w:rsid w:val="001A6137"/>
    <w:rsid w:val="001A6166"/>
    <w:rsid w:val="001A69A6"/>
    <w:rsid w:val="001A6A31"/>
    <w:rsid w:val="001A6BC6"/>
    <w:rsid w:val="001A6C68"/>
    <w:rsid w:val="001A6FD1"/>
    <w:rsid w:val="001A7028"/>
    <w:rsid w:val="001A7196"/>
    <w:rsid w:val="001A781D"/>
    <w:rsid w:val="001B035F"/>
    <w:rsid w:val="001B0365"/>
    <w:rsid w:val="001B05E3"/>
    <w:rsid w:val="001B0B7B"/>
    <w:rsid w:val="001B0BB7"/>
    <w:rsid w:val="001B0BE2"/>
    <w:rsid w:val="001B0C39"/>
    <w:rsid w:val="001B12EA"/>
    <w:rsid w:val="001B157A"/>
    <w:rsid w:val="001B160B"/>
    <w:rsid w:val="001B16EA"/>
    <w:rsid w:val="001B175F"/>
    <w:rsid w:val="001B1863"/>
    <w:rsid w:val="001B196A"/>
    <w:rsid w:val="001B19CD"/>
    <w:rsid w:val="001B19D8"/>
    <w:rsid w:val="001B1A28"/>
    <w:rsid w:val="001B1E0A"/>
    <w:rsid w:val="001B21F8"/>
    <w:rsid w:val="001B2227"/>
    <w:rsid w:val="001B22F5"/>
    <w:rsid w:val="001B2465"/>
    <w:rsid w:val="001B2603"/>
    <w:rsid w:val="001B2623"/>
    <w:rsid w:val="001B2781"/>
    <w:rsid w:val="001B280E"/>
    <w:rsid w:val="001B2895"/>
    <w:rsid w:val="001B2920"/>
    <w:rsid w:val="001B2AE2"/>
    <w:rsid w:val="001B2B06"/>
    <w:rsid w:val="001B2F8F"/>
    <w:rsid w:val="001B302A"/>
    <w:rsid w:val="001B33C5"/>
    <w:rsid w:val="001B3707"/>
    <w:rsid w:val="001B3CBB"/>
    <w:rsid w:val="001B3E77"/>
    <w:rsid w:val="001B3F92"/>
    <w:rsid w:val="001B4142"/>
    <w:rsid w:val="001B41F4"/>
    <w:rsid w:val="001B425D"/>
    <w:rsid w:val="001B4376"/>
    <w:rsid w:val="001B45B8"/>
    <w:rsid w:val="001B463A"/>
    <w:rsid w:val="001B46FB"/>
    <w:rsid w:val="001B49F1"/>
    <w:rsid w:val="001B4B31"/>
    <w:rsid w:val="001B4C44"/>
    <w:rsid w:val="001B4E22"/>
    <w:rsid w:val="001B4ED3"/>
    <w:rsid w:val="001B519B"/>
    <w:rsid w:val="001B5753"/>
    <w:rsid w:val="001B58F2"/>
    <w:rsid w:val="001B5B8F"/>
    <w:rsid w:val="001B5DAF"/>
    <w:rsid w:val="001B60B4"/>
    <w:rsid w:val="001B6347"/>
    <w:rsid w:val="001B634F"/>
    <w:rsid w:val="001B66A8"/>
    <w:rsid w:val="001B6CCB"/>
    <w:rsid w:val="001B6D04"/>
    <w:rsid w:val="001B6F02"/>
    <w:rsid w:val="001B7211"/>
    <w:rsid w:val="001B7371"/>
    <w:rsid w:val="001B745F"/>
    <w:rsid w:val="001B78A6"/>
    <w:rsid w:val="001B7A1B"/>
    <w:rsid w:val="001B7BC4"/>
    <w:rsid w:val="001B7DC2"/>
    <w:rsid w:val="001C02FE"/>
    <w:rsid w:val="001C0744"/>
    <w:rsid w:val="001C0854"/>
    <w:rsid w:val="001C09FA"/>
    <w:rsid w:val="001C0C35"/>
    <w:rsid w:val="001C0ED5"/>
    <w:rsid w:val="001C10EC"/>
    <w:rsid w:val="001C1170"/>
    <w:rsid w:val="001C11A0"/>
    <w:rsid w:val="001C16C2"/>
    <w:rsid w:val="001C1749"/>
    <w:rsid w:val="001C1AA9"/>
    <w:rsid w:val="001C1C5B"/>
    <w:rsid w:val="001C20E4"/>
    <w:rsid w:val="001C220E"/>
    <w:rsid w:val="001C23FF"/>
    <w:rsid w:val="001C24DD"/>
    <w:rsid w:val="001C3031"/>
    <w:rsid w:val="001C32CD"/>
    <w:rsid w:val="001C3320"/>
    <w:rsid w:val="001C3402"/>
    <w:rsid w:val="001C34F0"/>
    <w:rsid w:val="001C36A5"/>
    <w:rsid w:val="001C3A6E"/>
    <w:rsid w:val="001C3AB3"/>
    <w:rsid w:val="001C3D09"/>
    <w:rsid w:val="001C3DD8"/>
    <w:rsid w:val="001C3FF0"/>
    <w:rsid w:val="001C3FF6"/>
    <w:rsid w:val="001C417D"/>
    <w:rsid w:val="001C45E3"/>
    <w:rsid w:val="001C4A43"/>
    <w:rsid w:val="001C4E27"/>
    <w:rsid w:val="001C518E"/>
    <w:rsid w:val="001C51C3"/>
    <w:rsid w:val="001C55C9"/>
    <w:rsid w:val="001C5BF8"/>
    <w:rsid w:val="001C6100"/>
    <w:rsid w:val="001C627D"/>
    <w:rsid w:val="001C6878"/>
    <w:rsid w:val="001C6BDF"/>
    <w:rsid w:val="001C6FD9"/>
    <w:rsid w:val="001C7348"/>
    <w:rsid w:val="001C7452"/>
    <w:rsid w:val="001C74A1"/>
    <w:rsid w:val="001C759B"/>
    <w:rsid w:val="001C7629"/>
    <w:rsid w:val="001C7844"/>
    <w:rsid w:val="001C7B11"/>
    <w:rsid w:val="001C7B6F"/>
    <w:rsid w:val="001C7E1A"/>
    <w:rsid w:val="001D01E1"/>
    <w:rsid w:val="001D035B"/>
    <w:rsid w:val="001D0584"/>
    <w:rsid w:val="001D0BEC"/>
    <w:rsid w:val="001D0D00"/>
    <w:rsid w:val="001D0DED"/>
    <w:rsid w:val="001D0F89"/>
    <w:rsid w:val="001D1048"/>
    <w:rsid w:val="001D1AA2"/>
    <w:rsid w:val="001D23C2"/>
    <w:rsid w:val="001D276F"/>
    <w:rsid w:val="001D2776"/>
    <w:rsid w:val="001D29A2"/>
    <w:rsid w:val="001D2D04"/>
    <w:rsid w:val="001D2DCC"/>
    <w:rsid w:val="001D3266"/>
    <w:rsid w:val="001D3518"/>
    <w:rsid w:val="001D3526"/>
    <w:rsid w:val="001D358D"/>
    <w:rsid w:val="001D3733"/>
    <w:rsid w:val="001D39D7"/>
    <w:rsid w:val="001D3BF9"/>
    <w:rsid w:val="001D3F8D"/>
    <w:rsid w:val="001D406C"/>
    <w:rsid w:val="001D4260"/>
    <w:rsid w:val="001D48C1"/>
    <w:rsid w:val="001D496F"/>
    <w:rsid w:val="001D4B18"/>
    <w:rsid w:val="001D4EBB"/>
    <w:rsid w:val="001D5095"/>
    <w:rsid w:val="001D5262"/>
    <w:rsid w:val="001D5424"/>
    <w:rsid w:val="001D54FE"/>
    <w:rsid w:val="001D55E6"/>
    <w:rsid w:val="001D57B3"/>
    <w:rsid w:val="001D5857"/>
    <w:rsid w:val="001D588D"/>
    <w:rsid w:val="001D58C4"/>
    <w:rsid w:val="001D5A89"/>
    <w:rsid w:val="001D5A97"/>
    <w:rsid w:val="001D5EBB"/>
    <w:rsid w:val="001D5FDA"/>
    <w:rsid w:val="001D6217"/>
    <w:rsid w:val="001D62DD"/>
    <w:rsid w:val="001D64AE"/>
    <w:rsid w:val="001D66E9"/>
    <w:rsid w:val="001D691E"/>
    <w:rsid w:val="001D6997"/>
    <w:rsid w:val="001D6BCB"/>
    <w:rsid w:val="001D6D26"/>
    <w:rsid w:val="001D6E08"/>
    <w:rsid w:val="001D7143"/>
    <w:rsid w:val="001D7177"/>
    <w:rsid w:val="001D76B2"/>
    <w:rsid w:val="001D77CD"/>
    <w:rsid w:val="001D7A1C"/>
    <w:rsid w:val="001D7FBB"/>
    <w:rsid w:val="001E003A"/>
    <w:rsid w:val="001E02B8"/>
    <w:rsid w:val="001E0488"/>
    <w:rsid w:val="001E06DB"/>
    <w:rsid w:val="001E08B2"/>
    <w:rsid w:val="001E0961"/>
    <w:rsid w:val="001E0CE0"/>
    <w:rsid w:val="001E0CF1"/>
    <w:rsid w:val="001E0F14"/>
    <w:rsid w:val="001E0F4E"/>
    <w:rsid w:val="001E161B"/>
    <w:rsid w:val="001E187E"/>
    <w:rsid w:val="001E1AA3"/>
    <w:rsid w:val="001E1C81"/>
    <w:rsid w:val="001E1DB6"/>
    <w:rsid w:val="001E1FE6"/>
    <w:rsid w:val="001E2582"/>
    <w:rsid w:val="001E27B7"/>
    <w:rsid w:val="001E2BDE"/>
    <w:rsid w:val="001E2C70"/>
    <w:rsid w:val="001E327D"/>
    <w:rsid w:val="001E3430"/>
    <w:rsid w:val="001E3CE1"/>
    <w:rsid w:val="001E3E8A"/>
    <w:rsid w:val="001E3E9C"/>
    <w:rsid w:val="001E421D"/>
    <w:rsid w:val="001E4338"/>
    <w:rsid w:val="001E449E"/>
    <w:rsid w:val="001E47DE"/>
    <w:rsid w:val="001E4C5D"/>
    <w:rsid w:val="001E4D18"/>
    <w:rsid w:val="001E5013"/>
    <w:rsid w:val="001E53BD"/>
    <w:rsid w:val="001E541F"/>
    <w:rsid w:val="001E5E97"/>
    <w:rsid w:val="001E6297"/>
    <w:rsid w:val="001E63C4"/>
    <w:rsid w:val="001E6541"/>
    <w:rsid w:val="001E68A4"/>
    <w:rsid w:val="001E765E"/>
    <w:rsid w:val="001E79F8"/>
    <w:rsid w:val="001E7CA7"/>
    <w:rsid w:val="001E7DB8"/>
    <w:rsid w:val="001E7E1C"/>
    <w:rsid w:val="001E7E9C"/>
    <w:rsid w:val="001F0272"/>
    <w:rsid w:val="001F028D"/>
    <w:rsid w:val="001F029E"/>
    <w:rsid w:val="001F03CF"/>
    <w:rsid w:val="001F0631"/>
    <w:rsid w:val="001F0919"/>
    <w:rsid w:val="001F09F1"/>
    <w:rsid w:val="001F0B5D"/>
    <w:rsid w:val="001F0D3D"/>
    <w:rsid w:val="001F116A"/>
    <w:rsid w:val="001F11FA"/>
    <w:rsid w:val="001F1212"/>
    <w:rsid w:val="001F1291"/>
    <w:rsid w:val="001F13C6"/>
    <w:rsid w:val="001F13F9"/>
    <w:rsid w:val="001F183A"/>
    <w:rsid w:val="001F190E"/>
    <w:rsid w:val="001F1924"/>
    <w:rsid w:val="001F1C51"/>
    <w:rsid w:val="001F1DC4"/>
    <w:rsid w:val="001F1DE1"/>
    <w:rsid w:val="001F1FB6"/>
    <w:rsid w:val="001F20A3"/>
    <w:rsid w:val="001F2446"/>
    <w:rsid w:val="001F2465"/>
    <w:rsid w:val="001F27B1"/>
    <w:rsid w:val="001F2817"/>
    <w:rsid w:val="001F2960"/>
    <w:rsid w:val="001F2ACA"/>
    <w:rsid w:val="001F2AD1"/>
    <w:rsid w:val="001F2DA3"/>
    <w:rsid w:val="001F2F6A"/>
    <w:rsid w:val="001F3386"/>
    <w:rsid w:val="001F33F2"/>
    <w:rsid w:val="001F3627"/>
    <w:rsid w:val="001F3880"/>
    <w:rsid w:val="001F3CEE"/>
    <w:rsid w:val="001F3FF4"/>
    <w:rsid w:val="001F48FB"/>
    <w:rsid w:val="001F4A45"/>
    <w:rsid w:val="001F4E5D"/>
    <w:rsid w:val="001F4E97"/>
    <w:rsid w:val="001F4F45"/>
    <w:rsid w:val="001F5220"/>
    <w:rsid w:val="001F5288"/>
    <w:rsid w:val="001F52BC"/>
    <w:rsid w:val="001F539C"/>
    <w:rsid w:val="001F5505"/>
    <w:rsid w:val="001F5838"/>
    <w:rsid w:val="001F5F84"/>
    <w:rsid w:val="001F6047"/>
    <w:rsid w:val="001F6263"/>
    <w:rsid w:val="001F6468"/>
    <w:rsid w:val="001F66CF"/>
    <w:rsid w:val="001F6AF1"/>
    <w:rsid w:val="001F776D"/>
    <w:rsid w:val="001F777D"/>
    <w:rsid w:val="001F7AC9"/>
    <w:rsid w:val="001F7FF5"/>
    <w:rsid w:val="0020039D"/>
    <w:rsid w:val="002006B5"/>
    <w:rsid w:val="002008B3"/>
    <w:rsid w:val="00200AAE"/>
    <w:rsid w:val="00200B69"/>
    <w:rsid w:val="00200C8B"/>
    <w:rsid w:val="00200C91"/>
    <w:rsid w:val="00201325"/>
    <w:rsid w:val="00201CD7"/>
    <w:rsid w:val="00201DAA"/>
    <w:rsid w:val="00201E56"/>
    <w:rsid w:val="0020205B"/>
    <w:rsid w:val="002020C9"/>
    <w:rsid w:val="00202375"/>
    <w:rsid w:val="002023B4"/>
    <w:rsid w:val="002026BE"/>
    <w:rsid w:val="002028C7"/>
    <w:rsid w:val="002029E9"/>
    <w:rsid w:val="00202A05"/>
    <w:rsid w:val="00202EA7"/>
    <w:rsid w:val="00202EBE"/>
    <w:rsid w:val="002030F5"/>
    <w:rsid w:val="00203358"/>
    <w:rsid w:val="00203394"/>
    <w:rsid w:val="002034BB"/>
    <w:rsid w:val="00203509"/>
    <w:rsid w:val="002036BF"/>
    <w:rsid w:val="002037C5"/>
    <w:rsid w:val="00203B04"/>
    <w:rsid w:val="00203DF0"/>
    <w:rsid w:val="00203FA3"/>
    <w:rsid w:val="00204294"/>
    <w:rsid w:val="002046C0"/>
    <w:rsid w:val="00204F1B"/>
    <w:rsid w:val="00205402"/>
    <w:rsid w:val="002054ED"/>
    <w:rsid w:val="0020553C"/>
    <w:rsid w:val="00205705"/>
    <w:rsid w:val="00205739"/>
    <w:rsid w:val="00205951"/>
    <w:rsid w:val="00205B36"/>
    <w:rsid w:val="00205CD8"/>
    <w:rsid w:val="00205F18"/>
    <w:rsid w:val="00205F2C"/>
    <w:rsid w:val="00205FBB"/>
    <w:rsid w:val="002060E8"/>
    <w:rsid w:val="002060E9"/>
    <w:rsid w:val="00206B0F"/>
    <w:rsid w:val="00206CB0"/>
    <w:rsid w:val="0020715A"/>
    <w:rsid w:val="00207230"/>
    <w:rsid w:val="002072E1"/>
    <w:rsid w:val="002074A5"/>
    <w:rsid w:val="002074D4"/>
    <w:rsid w:val="00207521"/>
    <w:rsid w:val="00207AD2"/>
    <w:rsid w:val="00207B1B"/>
    <w:rsid w:val="00207F95"/>
    <w:rsid w:val="00210206"/>
    <w:rsid w:val="002104A2"/>
    <w:rsid w:val="0021069F"/>
    <w:rsid w:val="0021097C"/>
    <w:rsid w:val="00210B51"/>
    <w:rsid w:val="00210D69"/>
    <w:rsid w:val="00210D6F"/>
    <w:rsid w:val="00211032"/>
    <w:rsid w:val="002110ED"/>
    <w:rsid w:val="0021149D"/>
    <w:rsid w:val="002115ED"/>
    <w:rsid w:val="0021165B"/>
    <w:rsid w:val="00211901"/>
    <w:rsid w:val="00211B27"/>
    <w:rsid w:val="00211EEA"/>
    <w:rsid w:val="00212516"/>
    <w:rsid w:val="00212522"/>
    <w:rsid w:val="00212844"/>
    <w:rsid w:val="00212B6F"/>
    <w:rsid w:val="00212C1E"/>
    <w:rsid w:val="00212CE6"/>
    <w:rsid w:val="0021312B"/>
    <w:rsid w:val="002132F9"/>
    <w:rsid w:val="002134AF"/>
    <w:rsid w:val="0021373A"/>
    <w:rsid w:val="00213D93"/>
    <w:rsid w:val="0021453D"/>
    <w:rsid w:val="002149B7"/>
    <w:rsid w:val="00214B21"/>
    <w:rsid w:val="00214D75"/>
    <w:rsid w:val="00214E76"/>
    <w:rsid w:val="002152E9"/>
    <w:rsid w:val="00215842"/>
    <w:rsid w:val="00215941"/>
    <w:rsid w:val="00215995"/>
    <w:rsid w:val="00216356"/>
    <w:rsid w:val="002164A1"/>
    <w:rsid w:val="002169C0"/>
    <w:rsid w:val="00216CA0"/>
    <w:rsid w:val="00216E16"/>
    <w:rsid w:val="0021718B"/>
    <w:rsid w:val="00217611"/>
    <w:rsid w:val="0021771B"/>
    <w:rsid w:val="002177AA"/>
    <w:rsid w:val="002177B0"/>
    <w:rsid w:val="00217C54"/>
    <w:rsid w:val="00217F22"/>
    <w:rsid w:val="002200C4"/>
    <w:rsid w:val="00220EC9"/>
    <w:rsid w:val="002215DD"/>
    <w:rsid w:val="00221731"/>
    <w:rsid w:val="00221FA7"/>
    <w:rsid w:val="00221FD9"/>
    <w:rsid w:val="002223C0"/>
    <w:rsid w:val="002224C5"/>
    <w:rsid w:val="002226CB"/>
    <w:rsid w:val="00222ACB"/>
    <w:rsid w:val="00222DA3"/>
    <w:rsid w:val="00222E89"/>
    <w:rsid w:val="00222F02"/>
    <w:rsid w:val="00223043"/>
    <w:rsid w:val="002232D1"/>
    <w:rsid w:val="002236EB"/>
    <w:rsid w:val="00223741"/>
    <w:rsid w:val="0022465E"/>
    <w:rsid w:val="00224830"/>
    <w:rsid w:val="00224927"/>
    <w:rsid w:val="00224E44"/>
    <w:rsid w:val="00224EAA"/>
    <w:rsid w:val="002251ED"/>
    <w:rsid w:val="002253A9"/>
    <w:rsid w:val="002254C3"/>
    <w:rsid w:val="002254CB"/>
    <w:rsid w:val="0022574F"/>
    <w:rsid w:val="00225812"/>
    <w:rsid w:val="00225BB8"/>
    <w:rsid w:val="00225E98"/>
    <w:rsid w:val="00225EAC"/>
    <w:rsid w:val="0022605C"/>
    <w:rsid w:val="00226418"/>
    <w:rsid w:val="00226632"/>
    <w:rsid w:val="00226689"/>
    <w:rsid w:val="002266FC"/>
    <w:rsid w:val="0022686D"/>
    <w:rsid w:val="0022691E"/>
    <w:rsid w:val="00226CA8"/>
    <w:rsid w:val="00226D6C"/>
    <w:rsid w:val="0022707F"/>
    <w:rsid w:val="002270B1"/>
    <w:rsid w:val="00227421"/>
    <w:rsid w:val="00227470"/>
    <w:rsid w:val="002277AC"/>
    <w:rsid w:val="0022792C"/>
    <w:rsid w:val="00227ECD"/>
    <w:rsid w:val="00227F0B"/>
    <w:rsid w:val="00227FF9"/>
    <w:rsid w:val="00230087"/>
    <w:rsid w:val="00230477"/>
    <w:rsid w:val="00230769"/>
    <w:rsid w:val="00230BBB"/>
    <w:rsid w:val="00230C63"/>
    <w:rsid w:val="00231246"/>
    <w:rsid w:val="002312DF"/>
    <w:rsid w:val="002318D8"/>
    <w:rsid w:val="00231A06"/>
    <w:rsid w:val="00231C85"/>
    <w:rsid w:val="00231CC6"/>
    <w:rsid w:val="0023246A"/>
    <w:rsid w:val="00232577"/>
    <w:rsid w:val="002326A1"/>
    <w:rsid w:val="00232B75"/>
    <w:rsid w:val="00232CB3"/>
    <w:rsid w:val="00232D04"/>
    <w:rsid w:val="002330DC"/>
    <w:rsid w:val="0023336F"/>
    <w:rsid w:val="00233450"/>
    <w:rsid w:val="0023352B"/>
    <w:rsid w:val="00233634"/>
    <w:rsid w:val="002341D9"/>
    <w:rsid w:val="00234487"/>
    <w:rsid w:val="00234717"/>
    <w:rsid w:val="00234768"/>
    <w:rsid w:val="002348FB"/>
    <w:rsid w:val="00234965"/>
    <w:rsid w:val="002351DD"/>
    <w:rsid w:val="00235267"/>
    <w:rsid w:val="0023527D"/>
    <w:rsid w:val="002354B3"/>
    <w:rsid w:val="00235961"/>
    <w:rsid w:val="00235963"/>
    <w:rsid w:val="00235A41"/>
    <w:rsid w:val="00235F75"/>
    <w:rsid w:val="0023641C"/>
    <w:rsid w:val="002368CB"/>
    <w:rsid w:val="002369B8"/>
    <w:rsid w:val="002369C9"/>
    <w:rsid w:val="00236C18"/>
    <w:rsid w:val="00236DB6"/>
    <w:rsid w:val="00236F7F"/>
    <w:rsid w:val="00237365"/>
    <w:rsid w:val="00237C08"/>
    <w:rsid w:val="00237D21"/>
    <w:rsid w:val="00237D97"/>
    <w:rsid w:val="00237E46"/>
    <w:rsid w:val="00241395"/>
    <w:rsid w:val="00241619"/>
    <w:rsid w:val="00241994"/>
    <w:rsid w:val="00241A6C"/>
    <w:rsid w:val="00241D60"/>
    <w:rsid w:val="00241EC6"/>
    <w:rsid w:val="00241FE5"/>
    <w:rsid w:val="00242600"/>
    <w:rsid w:val="0024281D"/>
    <w:rsid w:val="002428D2"/>
    <w:rsid w:val="002428E8"/>
    <w:rsid w:val="0024300B"/>
    <w:rsid w:val="0024341F"/>
    <w:rsid w:val="002441B4"/>
    <w:rsid w:val="00244357"/>
    <w:rsid w:val="0024482D"/>
    <w:rsid w:val="00244AB1"/>
    <w:rsid w:val="00244AD8"/>
    <w:rsid w:val="002453A3"/>
    <w:rsid w:val="002455A6"/>
    <w:rsid w:val="002456F4"/>
    <w:rsid w:val="002459DF"/>
    <w:rsid w:val="00245A07"/>
    <w:rsid w:val="00245BFA"/>
    <w:rsid w:val="0024600B"/>
    <w:rsid w:val="00246108"/>
    <w:rsid w:val="002466E5"/>
    <w:rsid w:val="00246B5A"/>
    <w:rsid w:val="002477AE"/>
    <w:rsid w:val="002478F8"/>
    <w:rsid w:val="00247942"/>
    <w:rsid w:val="00247AFC"/>
    <w:rsid w:val="00247DEA"/>
    <w:rsid w:val="0025053B"/>
    <w:rsid w:val="002506B7"/>
    <w:rsid w:val="00250799"/>
    <w:rsid w:val="00250818"/>
    <w:rsid w:val="002510DD"/>
    <w:rsid w:val="002511EF"/>
    <w:rsid w:val="002511F5"/>
    <w:rsid w:val="0025127F"/>
    <w:rsid w:val="002513A2"/>
    <w:rsid w:val="002517FA"/>
    <w:rsid w:val="00251948"/>
    <w:rsid w:val="00251CF6"/>
    <w:rsid w:val="00251E1F"/>
    <w:rsid w:val="002524DE"/>
    <w:rsid w:val="00252753"/>
    <w:rsid w:val="00252AE2"/>
    <w:rsid w:val="00252B01"/>
    <w:rsid w:val="002533B3"/>
    <w:rsid w:val="002537BB"/>
    <w:rsid w:val="00253BA9"/>
    <w:rsid w:val="00253F82"/>
    <w:rsid w:val="00254172"/>
    <w:rsid w:val="0025432F"/>
    <w:rsid w:val="0025443D"/>
    <w:rsid w:val="002544E9"/>
    <w:rsid w:val="00254599"/>
    <w:rsid w:val="0025474A"/>
    <w:rsid w:val="00254872"/>
    <w:rsid w:val="00254883"/>
    <w:rsid w:val="00254A8E"/>
    <w:rsid w:val="00254DB2"/>
    <w:rsid w:val="00254DF7"/>
    <w:rsid w:val="002551D1"/>
    <w:rsid w:val="00255DC9"/>
    <w:rsid w:val="00255EC5"/>
    <w:rsid w:val="0025608E"/>
    <w:rsid w:val="002560A1"/>
    <w:rsid w:val="00256334"/>
    <w:rsid w:val="00256398"/>
    <w:rsid w:val="002563FA"/>
    <w:rsid w:val="0025641A"/>
    <w:rsid w:val="0025668A"/>
    <w:rsid w:val="00257140"/>
    <w:rsid w:val="00257341"/>
    <w:rsid w:val="002577FF"/>
    <w:rsid w:val="00257822"/>
    <w:rsid w:val="00257C0E"/>
    <w:rsid w:val="00257C66"/>
    <w:rsid w:val="00257D50"/>
    <w:rsid w:val="00257DF5"/>
    <w:rsid w:val="00257ED2"/>
    <w:rsid w:val="002601FA"/>
    <w:rsid w:val="002607B3"/>
    <w:rsid w:val="002609DF"/>
    <w:rsid w:val="00260D83"/>
    <w:rsid w:val="00260D88"/>
    <w:rsid w:val="002612B6"/>
    <w:rsid w:val="00261509"/>
    <w:rsid w:val="002615AE"/>
    <w:rsid w:val="00261AF3"/>
    <w:rsid w:val="00262029"/>
    <w:rsid w:val="00262180"/>
    <w:rsid w:val="0026234A"/>
    <w:rsid w:val="00262468"/>
    <w:rsid w:val="002624E0"/>
    <w:rsid w:val="00262972"/>
    <w:rsid w:val="00262BF6"/>
    <w:rsid w:val="00262CBA"/>
    <w:rsid w:val="00263533"/>
    <w:rsid w:val="002635B6"/>
    <w:rsid w:val="0026363E"/>
    <w:rsid w:val="00263656"/>
    <w:rsid w:val="00263BE8"/>
    <w:rsid w:val="00263BEC"/>
    <w:rsid w:val="00264028"/>
    <w:rsid w:val="00264610"/>
    <w:rsid w:val="00264743"/>
    <w:rsid w:val="002649F3"/>
    <w:rsid w:val="00264C81"/>
    <w:rsid w:val="00264F12"/>
    <w:rsid w:val="00265113"/>
    <w:rsid w:val="00265257"/>
    <w:rsid w:val="002653BE"/>
    <w:rsid w:val="002658D4"/>
    <w:rsid w:val="00265A1D"/>
    <w:rsid w:val="00265C0E"/>
    <w:rsid w:val="002666B8"/>
    <w:rsid w:val="002669D2"/>
    <w:rsid w:val="002669E4"/>
    <w:rsid w:val="00266AEF"/>
    <w:rsid w:val="00266C51"/>
    <w:rsid w:val="00267355"/>
    <w:rsid w:val="002676D0"/>
    <w:rsid w:val="00267743"/>
    <w:rsid w:val="0026787B"/>
    <w:rsid w:val="00267D94"/>
    <w:rsid w:val="00267D9D"/>
    <w:rsid w:val="00270172"/>
    <w:rsid w:val="0027041C"/>
    <w:rsid w:val="00270656"/>
    <w:rsid w:val="00270BE9"/>
    <w:rsid w:val="00271215"/>
    <w:rsid w:val="002715A1"/>
    <w:rsid w:val="002715B1"/>
    <w:rsid w:val="00271DB1"/>
    <w:rsid w:val="00271FE3"/>
    <w:rsid w:val="0027200A"/>
    <w:rsid w:val="00272202"/>
    <w:rsid w:val="002726F8"/>
    <w:rsid w:val="00272722"/>
    <w:rsid w:val="00272724"/>
    <w:rsid w:val="00272E50"/>
    <w:rsid w:val="00272F94"/>
    <w:rsid w:val="00272FCC"/>
    <w:rsid w:val="00273041"/>
    <w:rsid w:val="00273062"/>
    <w:rsid w:val="00273682"/>
    <w:rsid w:val="00273A6E"/>
    <w:rsid w:val="00273AC5"/>
    <w:rsid w:val="00273CB7"/>
    <w:rsid w:val="002740AE"/>
    <w:rsid w:val="00274178"/>
    <w:rsid w:val="00274436"/>
    <w:rsid w:val="002744FA"/>
    <w:rsid w:val="00274621"/>
    <w:rsid w:val="0027474A"/>
    <w:rsid w:val="0027479C"/>
    <w:rsid w:val="0027493E"/>
    <w:rsid w:val="00274B84"/>
    <w:rsid w:val="00274BBC"/>
    <w:rsid w:val="00274C20"/>
    <w:rsid w:val="00274DB8"/>
    <w:rsid w:val="0027513F"/>
    <w:rsid w:val="00275166"/>
    <w:rsid w:val="0027544C"/>
    <w:rsid w:val="0027550B"/>
    <w:rsid w:val="00275670"/>
    <w:rsid w:val="00275E12"/>
    <w:rsid w:val="002763D5"/>
    <w:rsid w:val="002766DF"/>
    <w:rsid w:val="002767D2"/>
    <w:rsid w:val="00276B4D"/>
    <w:rsid w:val="00276FE8"/>
    <w:rsid w:val="00277076"/>
    <w:rsid w:val="00277083"/>
    <w:rsid w:val="00277201"/>
    <w:rsid w:val="002775FD"/>
    <w:rsid w:val="00277F1B"/>
    <w:rsid w:val="00280030"/>
    <w:rsid w:val="002806D9"/>
    <w:rsid w:val="002808E6"/>
    <w:rsid w:val="00280E1E"/>
    <w:rsid w:val="002810B3"/>
    <w:rsid w:val="002810E9"/>
    <w:rsid w:val="00281466"/>
    <w:rsid w:val="002814A4"/>
    <w:rsid w:val="00281500"/>
    <w:rsid w:val="00281975"/>
    <w:rsid w:val="00281B72"/>
    <w:rsid w:val="00281BF9"/>
    <w:rsid w:val="00281C5C"/>
    <w:rsid w:val="00281F6F"/>
    <w:rsid w:val="00282287"/>
    <w:rsid w:val="002829D7"/>
    <w:rsid w:val="00282AB1"/>
    <w:rsid w:val="00282DD4"/>
    <w:rsid w:val="00283100"/>
    <w:rsid w:val="002831A0"/>
    <w:rsid w:val="002833FD"/>
    <w:rsid w:val="002834B9"/>
    <w:rsid w:val="002835B7"/>
    <w:rsid w:val="0028370C"/>
    <w:rsid w:val="002839BF"/>
    <w:rsid w:val="00283D95"/>
    <w:rsid w:val="00283F48"/>
    <w:rsid w:val="002840A7"/>
    <w:rsid w:val="002841CB"/>
    <w:rsid w:val="00284402"/>
    <w:rsid w:val="002851F6"/>
    <w:rsid w:val="00285433"/>
    <w:rsid w:val="002856D6"/>
    <w:rsid w:val="00285890"/>
    <w:rsid w:val="00285A15"/>
    <w:rsid w:val="00285A3E"/>
    <w:rsid w:val="00285AF7"/>
    <w:rsid w:val="00285D41"/>
    <w:rsid w:val="00285F45"/>
    <w:rsid w:val="00285FAB"/>
    <w:rsid w:val="00285FF3"/>
    <w:rsid w:val="00286543"/>
    <w:rsid w:val="002868F8"/>
    <w:rsid w:val="00286C45"/>
    <w:rsid w:val="00286EC6"/>
    <w:rsid w:val="0028722F"/>
    <w:rsid w:val="0028724F"/>
    <w:rsid w:val="00287319"/>
    <w:rsid w:val="002875E5"/>
    <w:rsid w:val="00287798"/>
    <w:rsid w:val="0028788E"/>
    <w:rsid w:val="0028790D"/>
    <w:rsid w:val="00287B03"/>
    <w:rsid w:val="00287C59"/>
    <w:rsid w:val="00287DAA"/>
    <w:rsid w:val="002901A1"/>
    <w:rsid w:val="0029058E"/>
    <w:rsid w:val="00290889"/>
    <w:rsid w:val="002908F5"/>
    <w:rsid w:val="00290BE9"/>
    <w:rsid w:val="002910E2"/>
    <w:rsid w:val="00291611"/>
    <w:rsid w:val="00292054"/>
    <w:rsid w:val="002923BB"/>
    <w:rsid w:val="002923F1"/>
    <w:rsid w:val="00292586"/>
    <w:rsid w:val="00292779"/>
    <w:rsid w:val="00292DED"/>
    <w:rsid w:val="00292E5C"/>
    <w:rsid w:val="00292F99"/>
    <w:rsid w:val="00292FD4"/>
    <w:rsid w:val="00293108"/>
    <w:rsid w:val="002935DF"/>
    <w:rsid w:val="002936B8"/>
    <w:rsid w:val="002937B4"/>
    <w:rsid w:val="00293852"/>
    <w:rsid w:val="002938B7"/>
    <w:rsid w:val="00293C16"/>
    <w:rsid w:val="00293F4E"/>
    <w:rsid w:val="00293FAC"/>
    <w:rsid w:val="00294177"/>
    <w:rsid w:val="002942F9"/>
    <w:rsid w:val="0029497D"/>
    <w:rsid w:val="00294CFE"/>
    <w:rsid w:val="00294D6C"/>
    <w:rsid w:val="00294F58"/>
    <w:rsid w:val="00294F66"/>
    <w:rsid w:val="00294F86"/>
    <w:rsid w:val="0029513C"/>
    <w:rsid w:val="00295218"/>
    <w:rsid w:val="002952E4"/>
    <w:rsid w:val="00295561"/>
    <w:rsid w:val="00295B0F"/>
    <w:rsid w:val="00295C1B"/>
    <w:rsid w:val="00295C3B"/>
    <w:rsid w:val="00295DEA"/>
    <w:rsid w:val="00295FCD"/>
    <w:rsid w:val="002962EB"/>
    <w:rsid w:val="002964B4"/>
    <w:rsid w:val="002967C6"/>
    <w:rsid w:val="002967D1"/>
    <w:rsid w:val="00296BB7"/>
    <w:rsid w:val="00296DA5"/>
    <w:rsid w:val="00297138"/>
    <w:rsid w:val="002977FC"/>
    <w:rsid w:val="00297A37"/>
    <w:rsid w:val="00297CE8"/>
    <w:rsid w:val="002A0274"/>
    <w:rsid w:val="002A02EF"/>
    <w:rsid w:val="002A084A"/>
    <w:rsid w:val="002A09C9"/>
    <w:rsid w:val="002A0AE4"/>
    <w:rsid w:val="002A0C75"/>
    <w:rsid w:val="002A0F04"/>
    <w:rsid w:val="002A13D2"/>
    <w:rsid w:val="002A1965"/>
    <w:rsid w:val="002A1B4D"/>
    <w:rsid w:val="002A1BED"/>
    <w:rsid w:val="002A1C00"/>
    <w:rsid w:val="002A1E5C"/>
    <w:rsid w:val="002A1EAF"/>
    <w:rsid w:val="002A1F5C"/>
    <w:rsid w:val="002A1F5E"/>
    <w:rsid w:val="002A231A"/>
    <w:rsid w:val="002A25BB"/>
    <w:rsid w:val="002A2827"/>
    <w:rsid w:val="002A2995"/>
    <w:rsid w:val="002A2B0F"/>
    <w:rsid w:val="002A2BCF"/>
    <w:rsid w:val="002A2E88"/>
    <w:rsid w:val="002A2E8A"/>
    <w:rsid w:val="002A2F52"/>
    <w:rsid w:val="002A2FD3"/>
    <w:rsid w:val="002A3074"/>
    <w:rsid w:val="002A323A"/>
    <w:rsid w:val="002A3463"/>
    <w:rsid w:val="002A367A"/>
    <w:rsid w:val="002A367E"/>
    <w:rsid w:val="002A379D"/>
    <w:rsid w:val="002A38CD"/>
    <w:rsid w:val="002A3E86"/>
    <w:rsid w:val="002A3FEB"/>
    <w:rsid w:val="002A4059"/>
    <w:rsid w:val="002A4090"/>
    <w:rsid w:val="002A4180"/>
    <w:rsid w:val="002A4403"/>
    <w:rsid w:val="002A44DE"/>
    <w:rsid w:val="002A4C1F"/>
    <w:rsid w:val="002A5189"/>
    <w:rsid w:val="002A5316"/>
    <w:rsid w:val="002A5500"/>
    <w:rsid w:val="002A55C4"/>
    <w:rsid w:val="002A55D2"/>
    <w:rsid w:val="002A5D36"/>
    <w:rsid w:val="002A6055"/>
    <w:rsid w:val="002A653E"/>
    <w:rsid w:val="002A6696"/>
    <w:rsid w:val="002A67AD"/>
    <w:rsid w:val="002A67F0"/>
    <w:rsid w:val="002A6984"/>
    <w:rsid w:val="002A69C2"/>
    <w:rsid w:val="002A69C3"/>
    <w:rsid w:val="002A6FC6"/>
    <w:rsid w:val="002A7454"/>
    <w:rsid w:val="002A7571"/>
    <w:rsid w:val="002A793C"/>
    <w:rsid w:val="002A7BC6"/>
    <w:rsid w:val="002B014F"/>
    <w:rsid w:val="002B0234"/>
    <w:rsid w:val="002B045B"/>
    <w:rsid w:val="002B04F7"/>
    <w:rsid w:val="002B0803"/>
    <w:rsid w:val="002B08C7"/>
    <w:rsid w:val="002B0A03"/>
    <w:rsid w:val="002B0AAB"/>
    <w:rsid w:val="002B135A"/>
    <w:rsid w:val="002B13D6"/>
    <w:rsid w:val="002B1416"/>
    <w:rsid w:val="002B1775"/>
    <w:rsid w:val="002B19F1"/>
    <w:rsid w:val="002B1B84"/>
    <w:rsid w:val="002B1CF4"/>
    <w:rsid w:val="002B23D0"/>
    <w:rsid w:val="002B23FC"/>
    <w:rsid w:val="002B249A"/>
    <w:rsid w:val="002B2609"/>
    <w:rsid w:val="002B267F"/>
    <w:rsid w:val="002B2CFE"/>
    <w:rsid w:val="002B2F3C"/>
    <w:rsid w:val="002B3B0A"/>
    <w:rsid w:val="002B3F21"/>
    <w:rsid w:val="002B4439"/>
    <w:rsid w:val="002B4597"/>
    <w:rsid w:val="002B46A9"/>
    <w:rsid w:val="002B47A7"/>
    <w:rsid w:val="002B4912"/>
    <w:rsid w:val="002B492F"/>
    <w:rsid w:val="002B4B25"/>
    <w:rsid w:val="002B4C0D"/>
    <w:rsid w:val="002B4C27"/>
    <w:rsid w:val="002B4CD7"/>
    <w:rsid w:val="002B51C4"/>
    <w:rsid w:val="002B5415"/>
    <w:rsid w:val="002B54D2"/>
    <w:rsid w:val="002B5AF3"/>
    <w:rsid w:val="002B5E54"/>
    <w:rsid w:val="002B5EAC"/>
    <w:rsid w:val="002B625C"/>
    <w:rsid w:val="002B62FD"/>
    <w:rsid w:val="002B674D"/>
    <w:rsid w:val="002B67F1"/>
    <w:rsid w:val="002B6901"/>
    <w:rsid w:val="002B6AE7"/>
    <w:rsid w:val="002B6BA7"/>
    <w:rsid w:val="002B6D9B"/>
    <w:rsid w:val="002B6F25"/>
    <w:rsid w:val="002B731B"/>
    <w:rsid w:val="002B7684"/>
    <w:rsid w:val="002B7D59"/>
    <w:rsid w:val="002C00C7"/>
    <w:rsid w:val="002C00E5"/>
    <w:rsid w:val="002C038C"/>
    <w:rsid w:val="002C03AD"/>
    <w:rsid w:val="002C061D"/>
    <w:rsid w:val="002C0D33"/>
    <w:rsid w:val="002C0D71"/>
    <w:rsid w:val="002C0DE7"/>
    <w:rsid w:val="002C0E86"/>
    <w:rsid w:val="002C0E99"/>
    <w:rsid w:val="002C13A9"/>
    <w:rsid w:val="002C15AF"/>
    <w:rsid w:val="002C1D18"/>
    <w:rsid w:val="002C25F9"/>
    <w:rsid w:val="002C28EF"/>
    <w:rsid w:val="002C2A7E"/>
    <w:rsid w:val="002C2B69"/>
    <w:rsid w:val="002C2C27"/>
    <w:rsid w:val="002C2E64"/>
    <w:rsid w:val="002C3185"/>
    <w:rsid w:val="002C339A"/>
    <w:rsid w:val="002C3702"/>
    <w:rsid w:val="002C37C6"/>
    <w:rsid w:val="002C4093"/>
    <w:rsid w:val="002C431D"/>
    <w:rsid w:val="002C442C"/>
    <w:rsid w:val="002C4961"/>
    <w:rsid w:val="002C55AB"/>
    <w:rsid w:val="002C56F8"/>
    <w:rsid w:val="002C5A25"/>
    <w:rsid w:val="002C5B20"/>
    <w:rsid w:val="002C5B63"/>
    <w:rsid w:val="002C6019"/>
    <w:rsid w:val="002C634C"/>
    <w:rsid w:val="002C637F"/>
    <w:rsid w:val="002C68B0"/>
    <w:rsid w:val="002C68D2"/>
    <w:rsid w:val="002C69DE"/>
    <w:rsid w:val="002C6B34"/>
    <w:rsid w:val="002C6C6F"/>
    <w:rsid w:val="002C6EBF"/>
    <w:rsid w:val="002C6F79"/>
    <w:rsid w:val="002C7213"/>
    <w:rsid w:val="002C749A"/>
    <w:rsid w:val="002C77F2"/>
    <w:rsid w:val="002C7868"/>
    <w:rsid w:val="002C7ADD"/>
    <w:rsid w:val="002D0091"/>
    <w:rsid w:val="002D018F"/>
    <w:rsid w:val="002D0441"/>
    <w:rsid w:val="002D0572"/>
    <w:rsid w:val="002D067D"/>
    <w:rsid w:val="002D06C0"/>
    <w:rsid w:val="002D073F"/>
    <w:rsid w:val="002D074D"/>
    <w:rsid w:val="002D09D7"/>
    <w:rsid w:val="002D0A6D"/>
    <w:rsid w:val="002D0C7B"/>
    <w:rsid w:val="002D0CF1"/>
    <w:rsid w:val="002D117F"/>
    <w:rsid w:val="002D136C"/>
    <w:rsid w:val="002D18D1"/>
    <w:rsid w:val="002D18FB"/>
    <w:rsid w:val="002D1917"/>
    <w:rsid w:val="002D1A6A"/>
    <w:rsid w:val="002D1AAE"/>
    <w:rsid w:val="002D1D87"/>
    <w:rsid w:val="002D1E92"/>
    <w:rsid w:val="002D205F"/>
    <w:rsid w:val="002D2197"/>
    <w:rsid w:val="002D220C"/>
    <w:rsid w:val="002D23AD"/>
    <w:rsid w:val="002D2470"/>
    <w:rsid w:val="002D2829"/>
    <w:rsid w:val="002D2A89"/>
    <w:rsid w:val="002D2A92"/>
    <w:rsid w:val="002D2B29"/>
    <w:rsid w:val="002D2D3F"/>
    <w:rsid w:val="002D2E85"/>
    <w:rsid w:val="002D3048"/>
    <w:rsid w:val="002D372D"/>
    <w:rsid w:val="002D3769"/>
    <w:rsid w:val="002D3859"/>
    <w:rsid w:val="002D3894"/>
    <w:rsid w:val="002D3925"/>
    <w:rsid w:val="002D3B71"/>
    <w:rsid w:val="002D3CCF"/>
    <w:rsid w:val="002D3DA7"/>
    <w:rsid w:val="002D45A5"/>
    <w:rsid w:val="002D47A8"/>
    <w:rsid w:val="002D497B"/>
    <w:rsid w:val="002D49C2"/>
    <w:rsid w:val="002D4A27"/>
    <w:rsid w:val="002D4F1B"/>
    <w:rsid w:val="002D5349"/>
    <w:rsid w:val="002D535D"/>
    <w:rsid w:val="002D54B5"/>
    <w:rsid w:val="002D5509"/>
    <w:rsid w:val="002D56A6"/>
    <w:rsid w:val="002D59BC"/>
    <w:rsid w:val="002D5B31"/>
    <w:rsid w:val="002D5D17"/>
    <w:rsid w:val="002D5FC1"/>
    <w:rsid w:val="002D62F0"/>
    <w:rsid w:val="002D6696"/>
    <w:rsid w:val="002D6929"/>
    <w:rsid w:val="002D6F0B"/>
    <w:rsid w:val="002D751D"/>
    <w:rsid w:val="002D7AD6"/>
    <w:rsid w:val="002D7F65"/>
    <w:rsid w:val="002D7FB8"/>
    <w:rsid w:val="002E0422"/>
    <w:rsid w:val="002E0540"/>
    <w:rsid w:val="002E0991"/>
    <w:rsid w:val="002E0BBA"/>
    <w:rsid w:val="002E0E6B"/>
    <w:rsid w:val="002E15D4"/>
    <w:rsid w:val="002E18C2"/>
    <w:rsid w:val="002E1C66"/>
    <w:rsid w:val="002E1F03"/>
    <w:rsid w:val="002E2346"/>
    <w:rsid w:val="002E2386"/>
    <w:rsid w:val="002E24DF"/>
    <w:rsid w:val="002E2796"/>
    <w:rsid w:val="002E284C"/>
    <w:rsid w:val="002E2899"/>
    <w:rsid w:val="002E2B19"/>
    <w:rsid w:val="002E2DB6"/>
    <w:rsid w:val="002E3139"/>
    <w:rsid w:val="002E33F8"/>
    <w:rsid w:val="002E3818"/>
    <w:rsid w:val="002E383D"/>
    <w:rsid w:val="002E39E9"/>
    <w:rsid w:val="002E3AA8"/>
    <w:rsid w:val="002E3D88"/>
    <w:rsid w:val="002E3DCA"/>
    <w:rsid w:val="002E3E6D"/>
    <w:rsid w:val="002E47BA"/>
    <w:rsid w:val="002E4826"/>
    <w:rsid w:val="002E4867"/>
    <w:rsid w:val="002E4C67"/>
    <w:rsid w:val="002E4E24"/>
    <w:rsid w:val="002E4F0A"/>
    <w:rsid w:val="002E538A"/>
    <w:rsid w:val="002E542D"/>
    <w:rsid w:val="002E5583"/>
    <w:rsid w:val="002E5A0D"/>
    <w:rsid w:val="002E5CD3"/>
    <w:rsid w:val="002E5E68"/>
    <w:rsid w:val="002E608D"/>
    <w:rsid w:val="002E6169"/>
    <w:rsid w:val="002E6551"/>
    <w:rsid w:val="002E6B53"/>
    <w:rsid w:val="002E6BF7"/>
    <w:rsid w:val="002E6C37"/>
    <w:rsid w:val="002E6C54"/>
    <w:rsid w:val="002E6C6E"/>
    <w:rsid w:val="002E721F"/>
    <w:rsid w:val="002E742E"/>
    <w:rsid w:val="002E7521"/>
    <w:rsid w:val="002E7A9A"/>
    <w:rsid w:val="002E7D15"/>
    <w:rsid w:val="002E7D44"/>
    <w:rsid w:val="002E7DCA"/>
    <w:rsid w:val="002E7EB5"/>
    <w:rsid w:val="002E7ED9"/>
    <w:rsid w:val="002F00D9"/>
    <w:rsid w:val="002F00F8"/>
    <w:rsid w:val="002F0269"/>
    <w:rsid w:val="002F02BA"/>
    <w:rsid w:val="002F087F"/>
    <w:rsid w:val="002F0A9D"/>
    <w:rsid w:val="002F10AE"/>
    <w:rsid w:val="002F12AD"/>
    <w:rsid w:val="002F133F"/>
    <w:rsid w:val="002F1C45"/>
    <w:rsid w:val="002F21EE"/>
    <w:rsid w:val="002F2256"/>
    <w:rsid w:val="002F2266"/>
    <w:rsid w:val="002F23D2"/>
    <w:rsid w:val="002F2491"/>
    <w:rsid w:val="002F2864"/>
    <w:rsid w:val="002F2968"/>
    <w:rsid w:val="002F2A8A"/>
    <w:rsid w:val="002F2B7D"/>
    <w:rsid w:val="002F2CB5"/>
    <w:rsid w:val="002F2E1E"/>
    <w:rsid w:val="002F3183"/>
    <w:rsid w:val="002F368F"/>
    <w:rsid w:val="002F38D4"/>
    <w:rsid w:val="002F3B07"/>
    <w:rsid w:val="002F3BEF"/>
    <w:rsid w:val="002F3FD1"/>
    <w:rsid w:val="002F3FF7"/>
    <w:rsid w:val="002F401C"/>
    <w:rsid w:val="002F40BA"/>
    <w:rsid w:val="002F4537"/>
    <w:rsid w:val="002F4A03"/>
    <w:rsid w:val="002F4A1A"/>
    <w:rsid w:val="002F4CEC"/>
    <w:rsid w:val="002F54A7"/>
    <w:rsid w:val="002F5850"/>
    <w:rsid w:val="002F5AE2"/>
    <w:rsid w:val="002F5BC6"/>
    <w:rsid w:val="002F5EBE"/>
    <w:rsid w:val="002F64C2"/>
    <w:rsid w:val="002F689D"/>
    <w:rsid w:val="002F6A0E"/>
    <w:rsid w:val="002F6B26"/>
    <w:rsid w:val="002F70C1"/>
    <w:rsid w:val="002F7124"/>
    <w:rsid w:val="002F744A"/>
    <w:rsid w:val="002F75B7"/>
    <w:rsid w:val="002F76F8"/>
    <w:rsid w:val="002F7711"/>
    <w:rsid w:val="002F7849"/>
    <w:rsid w:val="002F7A04"/>
    <w:rsid w:val="002F7E92"/>
    <w:rsid w:val="00300195"/>
    <w:rsid w:val="00300323"/>
    <w:rsid w:val="00300439"/>
    <w:rsid w:val="00300534"/>
    <w:rsid w:val="003010C6"/>
    <w:rsid w:val="003011E9"/>
    <w:rsid w:val="00301D8B"/>
    <w:rsid w:val="00301EF9"/>
    <w:rsid w:val="00302408"/>
    <w:rsid w:val="00302429"/>
    <w:rsid w:val="00302480"/>
    <w:rsid w:val="003024B1"/>
    <w:rsid w:val="003025F0"/>
    <w:rsid w:val="0030264D"/>
    <w:rsid w:val="00302923"/>
    <w:rsid w:val="00302BA1"/>
    <w:rsid w:val="00302BBB"/>
    <w:rsid w:val="0030316C"/>
    <w:rsid w:val="003036F4"/>
    <w:rsid w:val="003037E6"/>
    <w:rsid w:val="003039D1"/>
    <w:rsid w:val="00303BAE"/>
    <w:rsid w:val="00303BCB"/>
    <w:rsid w:val="00303F9B"/>
    <w:rsid w:val="00304438"/>
    <w:rsid w:val="0030468D"/>
    <w:rsid w:val="00304B04"/>
    <w:rsid w:val="00304C72"/>
    <w:rsid w:val="003051B2"/>
    <w:rsid w:val="00305457"/>
    <w:rsid w:val="0030578F"/>
    <w:rsid w:val="00305800"/>
    <w:rsid w:val="00305EBC"/>
    <w:rsid w:val="00305F19"/>
    <w:rsid w:val="00306203"/>
    <w:rsid w:val="0030620F"/>
    <w:rsid w:val="00306391"/>
    <w:rsid w:val="003063E5"/>
    <w:rsid w:val="003064D2"/>
    <w:rsid w:val="003068BB"/>
    <w:rsid w:val="00306988"/>
    <w:rsid w:val="00306A16"/>
    <w:rsid w:val="00306A74"/>
    <w:rsid w:val="00306BA6"/>
    <w:rsid w:val="0030715F"/>
    <w:rsid w:val="00307209"/>
    <w:rsid w:val="0030736F"/>
    <w:rsid w:val="00307520"/>
    <w:rsid w:val="00307BCA"/>
    <w:rsid w:val="00307C15"/>
    <w:rsid w:val="00310646"/>
    <w:rsid w:val="00310753"/>
    <w:rsid w:val="003107A0"/>
    <w:rsid w:val="00310DB8"/>
    <w:rsid w:val="00310EE1"/>
    <w:rsid w:val="00310F69"/>
    <w:rsid w:val="003110AE"/>
    <w:rsid w:val="003110B7"/>
    <w:rsid w:val="0031151F"/>
    <w:rsid w:val="00311564"/>
    <w:rsid w:val="00311D5C"/>
    <w:rsid w:val="00311E0E"/>
    <w:rsid w:val="00311EEF"/>
    <w:rsid w:val="00312142"/>
    <w:rsid w:val="003125AB"/>
    <w:rsid w:val="003125D4"/>
    <w:rsid w:val="00312754"/>
    <w:rsid w:val="00312789"/>
    <w:rsid w:val="0031289E"/>
    <w:rsid w:val="003128F1"/>
    <w:rsid w:val="00312A43"/>
    <w:rsid w:val="00313106"/>
    <w:rsid w:val="0031317B"/>
    <w:rsid w:val="00313236"/>
    <w:rsid w:val="00313613"/>
    <w:rsid w:val="00313748"/>
    <w:rsid w:val="00313A9B"/>
    <w:rsid w:val="00313C11"/>
    <w:rsid w:val="00313E1D"/>
    <w:rsid w:val="003143E4"/>
    <w:rsid w:val="003144AE"/>
    <w:rsid w:val="0031463C"/>
    <w:rsid w:val="003146F1"/>
    <w:rsid w:val="00314927"/>
    <w:rsid w:val="00314D53"/>
    <w:rsid w:val="00314E44"/>
    <w:rsid w:val="00314E99"/>
    <w:rsid w:val="00314FC9"/>
    <w:rsid w:val="00315189"/>
    <w:rsid w:val="0031524E"/>
    <w:rsid w:val="003153E0"/>
    <w:rsid w:val="00315AF4"/>
    <w:rsid w:val="00315B22"/>
    <w:rsid w:val="00315B6A"/>
    <w:rsid w:val="00315CE4"/>
    <w:rsid w:val="00316121"/>
    <w:rsid w:val="0031691C"/>
    <w:rsid w:val="0031694F"/>
    <w:rsid w:val="003169DF"/>
    <w:rsid w:val="00316A31"/>
    <w:rsid w:val="00316C61"/>
    <w:rsid w:val="00316E70"/>
    <w:rsid w:val="00316E9E"/>
    <w:rsid w:val="00316EDF"/>
    <w:rsid w:val="00317232"/>
    <w:rsid w:val="0031725B"/>
    <w:rsid w:val="00317506"/>
    <w:rsid w:val="00317799"/>
    <w:rsid w:val="00317893"/>
    <w:rsid w:val="00317A47"/>
    <w:rsid w:val="00317B89"/>
    <w:rsid w:val="00317BBF"/>
    <w:rsid w:val="00317E21"/>
    <w:rsid w:val="0032002C"/>
    <w:rsid w:val="00320118"/>
    <w:rsid w:val="00320371"/>
    <w:rsid w:val="00320598"/>
    <w:rsid w:val="003207CC"/>
    <w:rsid w:val="0032104A"/>
    <w:rsid w:val="003214C9"/>
    <w:rsid w:val="003216FD"/>
    <w:rsid w:val="00321A6E"/>
    <w:rsid w:val="00321C7A"/>
    <w:rsid w:val="00322436"/>
    <w:rsid w:val="0032267A"/>
    <w:rsid w:val="003226F0"/>
    <w:rsid w:val="00322D6A"/>
    <w:rsid w:val="00322E1E"/>
    <w:rsid w:val="00323549"/>
    <w:rsid w:val="003237E3"/>
    <w:rsid w:val="00323D4D"/>
    <w:rsid w:val="00323D6E"/>
    <w:rsid w:val="00324240"/>
    <w:rsid w:val="0032434B"/>
    <w:rsid w:val="00324518"/>
    <w:rsid w:val="00324705"/>
    <w:rsid w:val="003249F8"/>
    <w:rsid w:val="00324DD2"/>
    <w:rsid w:val="00325227"/>
    <w:rsid w:val="003257B5"/>
    <w:rsid w:val="00325839"/>
    <w:rsid w:val="00325BB2"/>
    <w:rsid w:val="00325BC8"/>
    <w:rsid w:val="00326258"/>
    <w:rsid w:val="003265F1"/>
    <w:rsid w:val="00326888"/>
    <w:rsid w:val="00326B43"/>
    <w:rsid w:val="00326FDA"/>
    <w:rsid w:val="00327A79"/>
    <w:rsid w:val="00327C74"/>
    <w:rsid w:val="00327CFB"/>
    <w:rsid w:val="00327F47"/>
    <w:rsid w:val="00327F82"/>
    <w:rsid w:val="003300FF"/>
    <w:rsid w:val="003309D6"/>
    <w:rsid w:val="00330D90"/>
    <w:rsid w:val="00330F2A"/>
    <w:rsid w:val="00330F69"/>
    <w:rsid w:val="003311E6"/>
    <w:rsid w:val="003312C5"/>
    <w:rsid w:val="0033153D"/>
    <w:rsid w:val="003315F7"/>
    <w:rsid w:val="00331AA2"/>
    <w:rsid w:val="00331AA5"/>
    <w:rsid w:val="00331F04"/>
    <w:rsid w:val="00332D20"/>
    <w:rsid w:val="003330C3"/>
    <w:rsid w:val="00333203"/>
    <w:rsid w:val="003333EF"/>
    <w:rsid w:val="003334A7"/>
    <w:rsid w:val="00333A06"/>
    <w:rsid w:val="00333A6D"/>
    <w:rsid w:val="00333C64"/>
    <w:rsid w:val="00333D9F"/>
    <w:rsid w:val="00334027"/>
    <w:rsid w:val="003341E3"/>
    <w:rsid w:val="0033427D"/>
    <w:rsid w:val="00334395"/>
    <w:rsid w:val="003346A8"/>
    <w:rsid w:val="003346F7"/>
    <w:rsid w:val="00334745"/>
    <w:rsid w:val="00334A51"/>
    <w:rsid w:val="00334B07"/>
    <w:rsid w:val="00334B8C"/>
    <w:rsid w:val="00334C01"/>
    <w:rsid w:val="00334C05"/>
    <w:rsid w:val="00335061"/>
    <w:rsid w:val="003354A0"/>
    <w:rsid w:val="00335561"/>
    <w:rsid w:val="00335D5A"/>
    <w:rsid w:val="00335DB0"/>
    <w:rsid w:val="00335E84"/>
    <w:rsid w:val="00336111"/>
    <w:rsid w:val="00336124"/>
    <w:rsid w:val="003363CF"/>
    <w:rsid w:val="00336494"/>
    <w:rsid w:val="0033667B"/>
    <w:rsid w:val="00336978"/>
    <w:rsid w:val="00336D17"/>
    <w:rsid w:val="0033707B"/>
    <w:rsid w:val="00337E8B"/>
    <w:rsid w:val="00337F9E"/>
    <w:rsid w:val="00340008"/>
    <w:rsid w:val="0034002A"/>
    <w:rsid w:val="0034011D"/>
    <w:rsid w:val="00340371"/>
    <w:rsid w:val="003404A0"/>
    <w:rsid w:val="00340877"/>
    <w:rsid w:val="00340BF5"/>
    <w:rsid w:val="00340D7D"/>
    <w:rsid w:val="0034159A"/>
    <w:rsid w:val="0034170B"/>
    <w:rsid w:val="00341CDF"/>
    <w:rsid w:val="00341E3D"/>
    <w:rsid w:val="00342004"/>
    <w:rsid w:val="003420F1"/>
    <w:rsid w:val="00342334"/>
    <w:rsid w:val="00342459"/>
    <w:rsid w:val="00342C8E"/>
    <w:rsid w:val="003431B9"/>
    <w:rsid w:val="00343754"/>
    <w:rsid w:val="00343BC7"/>
    <w:rsid w:val="00344523"/>
    <w:rsid w:val="00344565"/>
    <w:rsid w:val="0034464B"/>
    <w:rsid w:val="003447CD"/>
    <w:rsid w:val="003448C4"/>
    <w:rsid w:val="003449A1"/>
    <w:rsid w:val="00344A5C"/>
    <w:rsid w:val="00344DD1"/>
    <w:rsid w:val="003451BE"/>
    <w:rsid w:val="0034564D"/>
    <w:rsid w:val="003459E8"/>
    <w:rsid w:val="00346AB8"/>
    <w:rsid w:val="00346ADE"/>
    <w:rsid w:val="00346C4A"/>
    <w:rsid w:val="00346E0B"/>
    <w:rsid w:val="00346EC4"/>
    <w:rsid w:val="00346EDE"/>
    <w:rsid w:val="0034711E"/>
    <w:rsid w:val="00347337"/>
    <w:rsid w:val="00347613"/>
    <w:rsid w:val="003479AB"/>
    <w:rsid w:val="00347BA9"/>
    <w:rsid w:val="00347D2B"/>
    <w:rsid w:val="00350116"/>
    <w:rsid w:val="00350396"/>
    <w:rsid w:val="003506C2"/>
    <w:rsid w:val="00350752"/>
    <w:rsid w:val="003507E8"/>
    <w:rsid w:val="00350C0C"/>
    <w:rsid w:val="00350DAB"/>
    <w:rsid w:val="00351C6B"/>
    <w:rsid w:val="00351CEB"/>
    <w:rsid w:val="00351D89"/>
    <w:rsid w:val="00351DFB"/>
    <w:rsid w:val="003523C4"/>
    <w:rsid w:val="0035246F"/>
    <w:rsid w:val="003528CE"/>
    <w:rsid w:val="00352916"/>
    <w:rsid w:val="00352AFF"/>
    <w:rsid w:val="00352B67"/>
    <w:rsid w:val="00352EAC"/>
    <w:rsid w:val="00352FEE"/>
    <w:rsid w:val="003531B3"/>
    <w:rsid w:val="0035342F"/>
    <w:rsid w:val="0035399F"/>
    <w:rsid w:val="00353B39"/>
    <w:rsid w:val="00353FD1"/>
    <w:rsid w:val="003541BE"/>
    <w:rsid w:val="0035458A"/>
    <w:rsid w:val="003548EA"/>
    <w:rsid w:val="003549A2"/>
    <w:rsid w:val="003549AF"/>
    <w:rsid w:val="00354A91"/>
    <w:rsid w:val="00354AEB"/>
    <w:rsid w:val="00354CDB"/>
    <w:rsid w:val="00354EE1"/>
    <w:rsid w:val="0035522A"/>
    <w:rsid w:val="0035524A"/>
    <w:rsid w:val="0035542F"/>
    <w:rsid w:val="00355465"/>
    <w:rsid w:val="00355472"/>
    <w:rsid w:val="00355825"/>
    <w:rsid w:val="00355951"/>
    <w:rsid w:val="00355BE4"/>
    <w:rsid w:val="00355F5A"/>
    <w:rsid w:val="00356076"/>
    <w:rsid w:val="00356092"/>
    <w:rsid w:val="0035611E"/>
    <w:rsid w:val="00356B40"/>
    <w:rsid w:val="00356B4A"/>
    <w:rsid w:val="00356C5E"/>
    <w:rsid w:val="00356E28"/>
    <w:rsid w:val="00356FAA"/>
    <w:rsid w:val="00357642"/>
    <w:rsid w:val="003576B6"/>
    <w:rsid w:val="00357A81"/>
    <w:rsid w:val="00357EAF"/>
    <w:rsid w:val="00357FD5"/>
    <w:rsid w:val="003600E3"/>
    <w:rsid w:val="003608E9"/>
    <w:rsid w:val="00360B50"/>
    <w:rsid w:val="00360BBF"/>
    <w:rsid w:val="003610AD"/>
    <w:rsid w:val="00361685"/>
    <w:rsid w:val="0036195A"/>
    <w:rsid w:val="00361E50"/>
    <w:rsid w:val="00361EEE"/>
    <w:rsid w:val="00361F9F"/>
    <w:rsid w:val="0036239C"/>
    <w:rsid w:val="003624BF"/>
    <w:rsid w:val="00362508"/>
    <w:rsid w:val="00362910"/>
    <w:rsid w:val="00362B6D"/>
    <w:rsid w:val="00362BEA"/>
    <w:rsid w:val="00362ED8"/>
    <w:rsid w:val="0036301C"/>
    <w:rsid w:val="0036386C"/>
    <w:rsid w:val="003638E7"/>
    <w:rsid w:val="00363AC0"/>
    <w:rsid w:val="00363F89"/>
    <w:rsid w:val="0036429A"/>
    <w:rsid w:val="00364385"/>
    <w:rsid w:val="0036451E"/>
    <w:rsid w:val="003646E9"/>
    <w:rsid w:val="00364E07"/>
    <w:rsid w:val="00365A39"/>
    <w:rsid w:val="00365BEE"/>
    <w:rsid w:val="00365D57"/>
    <w:rsid w:val="00365F81"/>
    <w:rsid w:val="00365FA5"/>
    <w:rsid w:val="003662EB"/>
    <w:rsid w:val="00366EAB"/>
    <w:rsid w:val="00367529"/>
    <w:rsid w:val="003678A6"/>
    <w:rsid w:val="00367A9A"/>
    <w:rsid w:val="00367E03"/>
    <w:rsid w:val="0037000D"/>
    <w:rsid w:val="00370173"/>
    <w:rsid w:val="0037085B"/>
    <w:rsid w:val="00370DDE"/>
    <w:rsid w:val="003710FB"/>
    <w:rsid w:val="00371296"/>
    <w:rsid w:val="00371B50"/>
    <w:rsid w:val="00371BC2"/>
    <w:rsid w:val="00371E39"/>
    <w:rsid w:val="00371F6C"/>
    <w:rsid w:val="00372092"/>
    <w:rsid w:val="00372153"/>
    <w:rsid w:val="0037237D"/>
    <w:rsid w:val="0037262E"/>
    <w:rsid w:val="0037273F"/>
    <w:rsid w:val="003728A5"/>
    <w:rsid w:val="00372A8C"/>
    <w:rsid w:val="00372AA1"/>
    <w:rsid w:val="003730EB"/>
    <w:rsid w:val="00373296"/>
    <w:rsid w:val="0037329A"/>
    <w:rsid w:val="0037339A"/>
    <w:rsid w:val="003734A2"/>
    <w:rsid w:val="003734F7"/>
    <w:rsid w:val="003735D3"/>
    <w:rsid w:val="003736B9"/>
    <w:rsid w:val="003739FE"/>
    <w:rsid w:val="0037430C"/>
    <w:rsid w:val="003749F2"/>
    <w:rsid w:val="00374A5E"/>
    <w:rsid w:val="00374BB5"/>
    <w:rsid w:val="00374D5B"/>
    <w:rsid w:val="003750F1"/>
    <w:rsid w:val="00375158"/>
    <w:rsid w:val="00375222"/>
    <w:rsid w:val="00375231"/>
    <w:rsid w:val="003755CA"/>
    <w:rsid w:val="00375849"/>
    <w:rsid w:val="0037590D"/>
    <w:rsid w:val="00375EF1"/>
    <w:rsid w:val="00375F20"/>
    <w:rsid w:val="00376014"/>
    <w:rsid w:val="0037614D"/>
    <w:rsid w:val="00376655"/>
    <w:rsid w:val="003766D6"/>
    <w:rsid w:val="00376AD8"/>
    <w:rsid w:val="00376E88"/>
    <w:rsid w:val="00377278"/>
    <w:rsid w:val="00377368"/>
    <w:rsid w:val="00377532"/>
    <w:rsid w:val="00377943"/>
    <w:rsid w:val="00377B1C"/>
    <w:rsid w:val="00377CBB"/>
    <w:rsid w:val="00377E14"/>
    <w:rsid w:val="00377E81"/>
    <w:rsid w:val="00380013"/>
    <w:rsid w:val="003803CF"/>
    <w:rsid w:val="003803DF"/>
    <w:rsid w:val="003805C3"/>
    <w:rsid w:val="0038078F"/>
    <w:rsid w:val="0038083B"/>
    <w:rsid w:val="00380AA5"/>
    <w:rsid w:val="0038117C"/>
    <w:rsid w:val="00381663"/>
    <w:rsid w:val="00381774"/>
    <w:rsid w:val="00381812"/>
    <w:rsid w:val="0038187C"/>
    <w:rsid w:val="0038192C"/>
    <w:rsid w:val="00381FFB"/>
    <w:rsid w:val="003820DF"/>
    <w:rsid w:val="003823AC"/>
    <w:rsid w:val="003825EA"/>
    <w:rsid w:val="00382620"/>
    <w:rsid w:val="0038277C"/>
    <w:rsid w:val="00382ADA"/>
    <w:rsid w:val="00382F5E"/>
    <w:rsid w:val="003836D8"/>
    <w:rsid w:val="00383708"/>
    <w:rsid w:val="00383822"/>
    <w:rsid w:val="00383C3F"/>
    <w:rsid w:val="00383C5B"/>
    <w:rsid w:val="003841F7"/>
    <w:rsid w:val="003845B8"/>
    <w:rsid w:val="00384DD2"/>
    <w:rsid w:val="00384DFC"/>
    <w:rsid w:val="00384ED2"/>
    <w:rsid w:val="00385041"/>
    <w:rsid w:val="003851AF"/>
    <w:rsid w:val="003861B6"/>
    <w:rsid w:val="003866F8"/>
    <w:rsid w:val="00386B97"/>
    <w:rsid w:val="00386FA2"/>
    <w:rsid w:val="00386FFC"/>
    <w:rsid w:val="003874A0"/>
    <w:rsid w:val="0038783D"/>
    <w:rsid w:val="00387B38"/>
    <w:rsid w:val="00387BE7"/>
    <w:rsid w:val="00387C61"/>
    <w:rsid w:val="00387CCD"/>
    <w:rsid w:val="00387D9F"/>
    <w:rsid w:val="00387DA9"/>
    <w:rsid w:val="00387E7C"/>
    <w:rsid w:val="0039071C"/>
    <w:rsid w:val="0039095B"/>
    <w:rsid w:val="00390AE4"/>
    <w:rsid w:val="00390B0D"/>
    <w:rsid w:val="00390DB7"/>
    <w:rsid w:val="00391314"/>
    <w:rsid w:val="00391A11"/>
    <w:rsid w:val="00392021"/>
    <w:rsid w:val="003924AA"/>
    <w:rsid w:val="0039293E"/>
    <w:rsid w:val="00392A8B"/>
    <w:rsid w:val="00392E22"/>
    <w:rsid w:val="00392F23"/>
    <w:rsid w:val="00393ABD"/>
    <w:rsid w:val="00393CCF"/>
    <w:rsid w:val="00393D98"/>
    <w:rsid w:val="00393E45"/>
    <w:rsid w:val="0039408A"/>
    <w:rsid w:val="00394260"/>
    <w:rsid w:val="0039429B"/>
    <w:rsid w:val="003943B8"/>
    <w:rsid w:val="00394642"/>
    <w:rsid w:val="00395009"/>
    <w:rsid w:val="003951D6"/>
    <w:rsid w:val="00395334"/>
    <w:rsid w:val="003953FD"/>
    <w:rsid w:val="00395A39"/>
    <w:rsid w:val="00395D3E"/>
    <w:rsid w:val="0039612E"/>
    <w:rsid w:val="003966CD"/>
    <w:rsid w:val="0039677B"/>
    <w:rsid w:val="003967EF"/>
    <w:rsid w:val="00396983"/>
    <w:rsid w:val="00396E9C"/>
    <w:rsid w:val="00396FC5"/>
    <w:rsid w:val="00397087"/>
    <w:rsid w:val="003976F7"/>
    <w:rsid w:val="003977F1"/>
    <w:rsid w:val="003978A6"/>
    <w:rsid w:val="00397AF1"/>
    <w:rsid w:val="00397EC3"/>
    <w:rsid w:val="003A01B4"/>
    <w:rsid w:val="003A0C2B"/>
    <w:rsid w:val="003A0DCF"/>
    <w:rsid w:val="003A0E44"/>
    <w:rsid w:val="003A118D"/>
    <w:rsid w:val="003A131D"/>
    <w:rsid w:val="003A13AF"/>
    <w:rsid w:val="003A1445"/>
    <w:rsid w:val="003A1466"/>
    <w:rsid w:val="003A14BB"/>
    <w:rsid w:val="003A14E7"/>
    <w:rsid w:val="003A17DC"/>
    <w:rsid w:val="003A1842"/>
    <w:rsid w:val="003A1902"/>
    <w:rsid w:val="003A1933"/>
    <w:rsid w:val="003A1CC4"/>
    <w:rsid w:val="003A1FC9"/>
    <w:rsid w:val="003A240D"/>
    <w:rsid w:val="003A2675"/>
    <w:rsid w:val="003A26CC"/>
    <w:rsid w:val="003A2718"/>
    <w:rsid w:val="003A2857"/>
    <w:rsid w:val="003A2AE1"/>
    <w:rsid w:val="003A2B46"/>
    <w:rsid w:val="003A3FA2"/>
    <w:rsid w:val="003A40C3"/>
    <w:rsid w:val="003A45D0"/>
    <w:rsid w:val="003A4984"/>
    <w:rsid w:val="003A4E05"/>
    <w:rsid w:val="003A4EC1"/>
    <w:rsid w:val="003A50F2"/>
    <w:rsid w:val="003A516C"/>
    <w:rsid w:val="003A5474"/>
    <w:rsid w:val="003A5475"/>
    <w:rsid w:val="003A567C"/>
    <w:rsid w:val="003A5684"/>
    <w:rsid w:val="003A5B93"/>
    <w:rsid w:val="003A5E0F"/>
    <w:rsid w:val="003A6248"/>
    <w:rsid w:val="003A62DC"/>
    <w:rsid w:val="003A62E0"/>
    <w:rsid w:val="003A63BF"/>
    <w:rsid w:val="003A697E"/>
    <w:rsid w:val="003A6B78"/>
    <w:rsid w:val="003A759D"/>
    <w:rsid w:val="003A7672"/>
    <w:rsid w:val="003A76CD"/>
    <w:rsid w:val="003A7E0A"/>
    <w:rsid w:val="003A7EC6"/>
    <w:rsid w:val="003B003E"/>
    <w:rsid w:val="003B004B"/>
    <w:rsid w:val="003B00C3"/>
    <w:rsid w:val="003B0747"/>
    <w:rsid w:val="003B09E4"/>
    <w:rsid w:val="003B0C78"/>
    <w:rsid w:val="003B0DE0"/>
    <w:rsid w:val="003B1117"/>
    <w:rsid w:val="003B1342"/>
    <w:rsid w:val="003B14E5"/>
    <w:rsid w:val="003B17F3"/>
    <w:rsid w:val="003B1AEE"/>
    <w:rsid w:val="003B1D04"/>
    <w:rsid w:val="003B1DC0"/>
    <w:rsid w:val="003B1DE5"/>
    <w:rsid w:val="003B2088"/>
    <w:rsid w:val="003B26B6"/>
    <w:rsid w:val="003B2B50"/>
    <w:rsid w:val="003B31B9"/>
    <w:rsid w:val="003B33F5"/>
    <w:rsid w:val="003B355F"/>
    <w:rsid w:val="003B37E5"/>
    <w:rsid w:val="003B39C2"/>
    <w:rsid w:val="003B3C85"/>
    <w:rsid w:val="003B453C"/>
    <w:rsid w:val="003B4777"/>
    <w:rsid w:val="003B48A9"/>
    <w:rsid w:val="003B4ACD"/>
    <w:rsid w:val="003B4B4E"/>
    <w:rsid w:val="003B4F4E"/>
    <w:rsid w:val="003B5304"/>
    <w:rsid w:val="003B5977"/>
    <w:rsid w:val="003B5BEC"/>
    <w:rsid w:val="003B5F06"/>
    <w:rsid w:val="003B61E7"/>
    <w:rsid w:val="003B6793"/>
    <w:rsid w:val="003B67E8"/>
    <w:rsid w:val="003B6F5C"/>
    <w:rsid w:val="003B70F3"/>
    <w:rsid w:val="003B713B"/>
    <w:rsid w:val="003B72E1"/>
    <w:rsid w:val="003B7417"/>
    <w:rsid w:val="003B7471"/>
    <w:rsid w:val="003B74BB"/>
    <w:rsid w:val="003B7897"/>
    <w:rsid w:val="003B7903"/>
    <w:rsid w:val="003B7977"/>
    <w:rsid w:val="003B7A3E"/>
    <w:rsid w:val="003B7B30"/>
    <w:rsid w:val="003B7EA1"/>
    <w:rsid w:val="003B7F43"/>
    <w:rsid w:val="003C0256"/>
    <w:rsid w:val="003C0867"/>
    <w:rsid w:val="003C08E5"/>
    <w:rsid w:val="003C0A25"/>
    <w:rsid w:val="003C0AAF"/>
    <w:rsid w:val="003C0F3B"/>
    <w:rsid w:val="003C12EC"/>
    <w:rsid w:val="003C1456"/>
    <w:rsid w:val="003C1565"/>
    <w:rsid w:val="003C18F9"/>
    <w:rsid w:val="003C1A9B"/>
    <w:rsid w:val="003C1B26"/>
    <w:rsid w:val="003C1C8E"/>
    <w:rsid w:val="003C1F92"/>
    <w:rsid w:val="003C2481"/>
    <w:rsid w:val="003C2515"/>
    <w:rsid w:val="003C25CC"/>
    <w:rsid w:val="003C262C"/>
    <w:rsid w:val="003C2E86"/>
    <w:rsid w:val="003C2F94"/>
    <w:rsid w:val="003C30CA"/>
    <w:rsid w:val="003C321B"/>
    <w:rsid w:val="003C324D"/>
    <w:rsid w:val="003C3605"/>
    <w:rsid w:val="003C374E"/>
    <w:rsid w:val="003C388E"/>
    <w:rsid w:val="003C3EF6"/>
    <w:rsid w:val="003C41B9"/>
    <w:rsid w:val="003C42F6"/>
    <w:rsid w:val="003C48EF"/>
    <w:rsid w:val="003C48F6"/>
    <w:rsid w:val="003C49C7"/>
    <w:rsid w:val="003C4B15"/>
    <w:rsid w:val="003C4CD7"/>
    <w:rsid w:val="003C4D3D"/>
    <w:rsid w:val="003C4F96"/>
    <w:rsid w:val="003C52BD"/>
    <w:rsid w:val="003C5836"/>
    <w:rsid w:val="003C6023"/>
    <w:rsid w:val="003C6242"/>
    <w:rsid w:val="003C62E9"/>
    <w:rsid w:val="003C64A3"/>
    <w:rsid w:val="003C6741"/>
    <w:rsid w:val="003C6A73"/>
    <w:rsid w:val="003C6B29"/>
    <w:rsid w:val="003C6D4F"/>
    <w:rsid w:val="003C704D"/>
    <w:rsid w:val="003C75A6"/>
    <w:rsid w:val="003C7748"/>
    <w:rsid w:val="003C79E9"/>
    <w:rsid w:val="003C7E4A"/>
    <w:rsid w:val="003D0187"/>
    <w:rsid w:val="003D0209"/>
    <w:rsid w:val="003D02F5"/>
    <w:rsid w:val="003D04BA"/>
    <w:rsid w:val="003D0931"/>
    <w:rsid w:val="003D0A73"/>
    <w:rsid w:val="003D0B75"/>
    <w:rsid w:val="003D0C82"/>
    <w:rsid w:val="003D1339"/>
    <w:rsid w:val="003D13AD"/>
    <w:rsid w:val="003D15DC"/>
    <w:rsid w:val="003D181F"/>
    <w:rsid w:val="003D1A32"/>
    <w:rsid w:val="003D1B02"/>
    <w:rsid w:val="003D217E"/>
    <w:rsid w:val="003D23A3"/>
    <w:rsid w:val="003D266C"/>
    <w:rsid w:val="003D2AD9"/>
    <w:rsid w:val="003D2B4D"/>
    <w:rsid w:val="003D309D"/>
    <w:rsid w:val="003D31A1"/>
    <w:rsid w:val="003D34D5"/>
    <w:rsid w:val="003D369C"/>
    <w:rsid w:val="003D36D6"/>
    <w:rsid w:val="003D3737"/>
    <w:rsid w:val="003D3B32"/>
    <w:rsid w:val="003D3F90"/>
    <w:rsid w:val="003D43E1"/>
    <w:rsid w:val="003D460B"/>
    <w:rsid w:val="003D49CA"/>
    <w:rsid w:val="003D4C53"/>
    <w:rsid w:val="003D4D8B"/>
    <w:rsid w:val="003D4F13"/>
    <w:rsid w:val="003D4F15"/>
    <w:rsid w:val="003D5176"/>
    <w:rsid w:val="003D529B"/>
    <w:rsid w:val="003D56C1"/>
    <w:rsid w:val="003D56C2"/>
    <w:rsid w:val="003D59A8"/>
    <w:rsid w:val="003D5C98"/>
    <w:rsid w:val="003D601D"/>
    <w:rsid w:val="003D61C4"/>
    <w:rsid w:val="003D6270"/>
    <w:rsid w:val="003D670A"/>
    <w:rsid w:val="003D6996"/>
    <w:rsid w:val="003D6BB9"/>
    <w:rsid w:val="003D6D14"/>
    <w:rsid w:val="003D6FE0"/>
    <w:rsid w:val="003D71EF"/>
    <w:rsid w:val="003D7250"/>
    <w:rsid w:val="003D7547"/>
    <w:rsid w:val="003D75E5"/>
    <w:rsid w:val="003D79AA"/>
    <w:rsid w:val="003D7D78"/>
    <w:rsid w:val="003D7D98"/>
    <w:rsid w:val="003E016F"/>
    <w:rsid w:val="003E05DD"/>
    <w:rsid w:val="003E0684"/>
    <w:rsid w:val="003E0974"/>
    <w:rsid w:val="003E0CFD"/>
    <w:rsid w:val="003E0D71"/>
    <w:rsid w:val="003E15D5"/>
    <w:rsid w:val="003E16ED"/>
    <w:rsid w:val="003E175C"/>
    <w:rsid w:val="003E194D"/>
    <w:rsid w:val="003E19FE"/>
    <w:rsid w:val="003E1AA8"/>
    <w:rsid w:val="003E209F"/>
    <w:rsid w:val="003E20FC"/>
    <w:rsid w:val="003E2537"/>
    <w:rsid w:val="003E2546"/>
    <w:rsid w:val="003E2826"/>
    <w:rsid w:val="003E2FDD"/>
    <w:rsid w:val="003E32D0"/>
    <w:rsid w:val="003E36E1"/>
    <w:rsid w:val="003E3779"/>
    <w:rsid w:val="003E3CAD"/>
    <w:rsid w:val="003E4326"/>
    <w:rsid w:val="003E4416"/>
    <w:rsid w:val="003E44DC"/>
    <w:rsid w:val="003E5056"/>
    <w:rsid w:val="003E57FB"/>
    <w:rsid w:val="003E5AF1"/>
    <w:rsid w:val="003E5C1F"/>
    <w:rsid w:val="003E626D"/>
    <w:rsid w:val="003E638E"/>
    <w:rsid w:val="003E644A"/>
    <w:rsid w:val="003E6549"/>
    <w:rsid w:val="003E67AB"/>
    <w:rsid w:val="003E6BBC"/>
    <w:rsid w:val="003E6C82"/>
    <w:rsid w:val="003E7093"/>
    <w:rsid w:val="003E74BD"/>
    <w:rsid w:val="003E74D4"/>
    <w:rsid w:val="003E755B"/>
    <w:rsid w:val="003E7632"/>
    <w:rsid w:val="003E79B9"/>
    <w:rsid w:val="003E7A18"/>
    <w:rsid w:val="003E7A64"/>
    <w:rsid w:val="003E7AA6"/>
    <w:rsid w:val="003E7B31"/>
    <w:rsid w:val="003E7D4E"/>
    <w:rsid w:val="003E7FFC"/>
    <w:rsid w:val="003F0368"/>
    <w:rsid w:val="003F0431"/>
    <w:rsid w:val="003F0553"/>
    <w:rsid w:val="003F071C"/>
    <w:rsid w:val="003F088D"/>
    <w:rsid w:val="003F0C85"/>
    <w:rsid w:val="003F0EBA"/>
    <w:rsid w:val="003F107A"/>
    <w:rsid w:val="003F121D"/>
    <w:rsid w:val="003F1683"/>
    <w:rsid w:val="003F173B"/>
    <w:rsid w:val="003F1A72"/>
    <w:rsid w:val="003F1A9F"/>
    <w:rsid w:val="003F1B6B"/>
    <w:rsid w:val="003F1D03"/>
    <w:rsid w:val="003F1DF0"/>
    <w:rsid w:val="003F2051"/>
    <w:rsid w:val="003F2286"/>
    <w:rsid w:val="003F28BC"/>
    <w:rsid w:val="003F2A6A"/>
    <w:rsid w:val="003F3189"/>
    <w:rsid w:val="003F3242"/>
    <w:rsid w:val="003F352C"/>
    <w:rsid w:val="003F3B3B"/>
    <w:rsid w:val="003F3CF1"/>
    <w:rsid w:val="003F3F67"/>
    <w:rsid w:val="003F428A"/>
    <w:rsid w:val="003F43D7"/>
    <w:rsid w:val="003F4474"/>
    <w:rsid w:val="003F46B0"/>
    <w:rsid w:val="003F4804"/>
    <w:rsid w:val="003F4FF6"/>
    <w:rsid w:val="003F5143"/>
    <w:rsid w:val="003F5755"/>
    <w:rsid w:val="003F6119"/>
    <w:rsid w:val="003F6325"/>
    <w:rsid w:val="003F63E6"/>
    <w:rsid w:val="003F6900"/>
    <w:rsid w:val="003F69BC"/>
    <w:rsid w:val="003F6A5E"/>
    <w:rsid w:val="003F6B1F"/>
    <w:rsid w:val="003F6B3B"/>
    <w:rsid w:val="003F6C38"/>
    <w:rsid w:val="003F6E5B"/>
    <w:rsid w:val="003F75C2"/>
    <w:rsid w:val="003F771F"/>
    <w:rsid w:val="003F77FA"/>
    <w:rsid w:val="003F79D2"/>
    <w:rsid w:val="003F7D51"/>
    <w:rsid w:val="003F7D58"/>
    <w:rsid w:val="0040006D"/>
    <w:rsid w:val="00400689"/>
    <w:rsid w:val="00400748"/>
    <w:rsid w:val="00400A93"/>
    <w:rsid w:val="00400C53"/>
    <w:rsid w:val="00400CB0"/>
    <w:rsid w:val="004014AF"/>
    <w:rsid w:val="00401810"/>
    <w:rsid w:val="00401862"/>
    <w:rsid w:val="00401A3E"/>
    <w:rsid w:val="00401F49"/>
    <w:rsid w:val="00402087"/>
    <w:rsid w:val="00402A53"/>
    <w:rsid w:val="00402F4E"/>
    <w:rsid w:val="00402F68"/>
    <w:rsid w:val="004031F6"/>
    <w:rsid w:val="00403478"/>
    <w:rsid w:val="004036CB"/>
    <w:rsid w:val="0040379D"/>
    <w:rsid w:val="004038AD"/>
    <w:rsid w:val="00403901"/>
    <w:rsid w:val="00403977"/>
    <w:rsid w:val="00403DB0"/>
    <w:rsid w:val="00403E17"/>
    <w:rsid w:val="00403FD3"/>
    <w:rsid w:val="004044D6"/>
    <w:rsid w:val="0040489B"/>
    <w:rsid w:val="00405284"/>
    <w:rsid w:val="004053B7"/>
    <w:rsid w:val="00405500"/>
    <w:rsid w:val="004055EC"/>
    <w:rsid w:val="00405B68"/>
    <w:rsid w:val="00405CF8"/>
    <w:rsid w:val="00406089"/>
    <w:rsid w:val="00406731"/>
    <w:rsid w:val="00406CFA"/>
    <w:rsid w:val="00406D3F"/>
    <w:rsid w:val="00406F76"/>
    <w:rsid w:val="00407030"/>
    <w:rsid w:val="00407360"/>
    <w:rsid w:val="00407389"/>
    <w:rsid w:val="004073CA"/>
    <w:rsid w:val="0040740D"/>
    <w:rsid w:val="004074A2"/>
    <w:rsid w:val="00407732"/>
    <w:rsid w:val="00407BB5"/>
    <w:rsid w:val="00407E89"/>
    <w:rsid w:val="00407F81"/>
    <w:rsid w:val="00410007"/>
    <w:rsid w:val="0041022C"/>
    <w:rsid w:val="004102AF"/>
    <w:rsid w:val="00410373"/>
    <w:rsid w:val="004103AC"/>
    <w:rsid w:val="0041058E"/>
    <w:rsid w:val="00410710"/>
    <w:rsid w:val="004109EE"/>
    <w:rsid w:val="00410FA5"/>
    <w:rsid w:val="0041181D"/>
    <w:rsid w:val="00411CFD"/>
    <w:rsid w:val="00411D81"/>
    <w:rsid w:val="00411E7E"/>
    <w:rsid w:val="00412175"/>
    <w:rsid w:val="0041235F"/>
    <w:rsid w:val="00412699"/>
    <w:rsid w:val="004126D2"/>
    <w:rsid w:val="00412B0F"/>
    <w:rsid w:val="00412EE0"/>
    <w:rsid w:val="00412FA2"/>
    <w:rsid w:val="0041312E"/>
    <w:rsid w:val="0041378D"/>
    <w:rsid w:val="00413BD3"/>
    <w:rsid w:val="00413DB5"/>
    <w:rsid w:val="00413E9E"/>
    <w:rsid w:val="00414214"/>
    <w:rsid w:val="004145DF"/>
    <w:rsid w:val="0041462A"/>
    <w:rsid w:val="004149FB"/>
    <w:rsid w:val="00414CC2"/>
    <w:rsid w:val="00414D88"/>
    <w:rsid w:val="00415099"/>
    <w:rsid w:val="004156A3"/>
    <w:rsid w:val="00415956"/>
    <w:rsid w:val="00415D84"/>
    <w:rsid w:val="00416167"/>
    <w:rsid w:val="00416182"/>
    <w:rsid w:val="00416310"/>
    <w:rsid w:val="00416434"/>
    <w:rsid w:val="00416A4B"/>
    <w:rsid w:val="00416C49"/>
    <w:rsid w:val="00416FC7"/>
    <w:rsid w:val="004171BB"/>
    <w:rsid w:val="00417236"/>
    <w:rsid w:val="004173AB"/>
    <w:rsid w:val="0041750E"/>
    <w:rsid w:val="0041765F"/>
    <w:rsid w:val="004177A7"/>
    <w:rsid w:val="004178F3"/>
    <w:rsid w:val="00417A5D"/>
    <w:rsid w:val="00417E24"/>
    <w:rsid w:val="00417EC8"/>
    <w:rsid w:val="004202D0"/>
    <w:rsid w:val="004203F5"/>
    <w:rsid w:val="00420E76"/>
    <w:rsid w:val="0042113B"/>
    <w:rsid w:val="004212CD"/>
    <w:rsid w:val="00421589"/>
    <w:rsid w:val="0042180C"/>
    <w:rsid w:val="00421C7B"/>
    <w:rsid w:val="00421C80"/>
    <w:rsid w:val="00421EF7"/>
    <w:rsid w:val="004220F2"/>
    <w:rsid w:val="00422155"/>
    <w:rsid w:val="004225C2"/>
    <w:rsid w:val="00422786"/>
    <w:rsid w:val="00422841"/>
    <w:rsid w:val="00422A73"/>
    <w:rsid w:val="004230E7"/>
    <w:rsid w:val="004233E8"/>
    <w:rsid w:val="0042344C"/>
    <w:rsid w:val="004236BE"/>
    <w:rsid w:val="00423A11"/>
    <w:rsid w:val="00423ABA"/>
    <w:rsid w:val="00423AEB"/>
    <w:rsid w:val="00423BF3"/>
    <w:rsid w:val="00423DB0"/>
    <w:rsid w:val="00424085"/>
    <w:rsid w:val="00424378"/>
    <w:rsid w:val="004243C0"/>
    <w:rsid w:val="00424506"/>
    <w:rsid w:val="00424589"/>
    <w:rsid w:val="00424A7F"/>
    <w:rsid w:val="00424AC4"/>
    <w:rsid w:val="00424B57"/>
    <w:rsid w:val="00424BFD"/>
    <w:rsid w:val="00425223"/>
    <w:rsid w:val="004254EC"/>
    <w:rsid w:val="0042554F"/>
    <w:rsid w:val="004261D8"/>
    <w:rsid w:val="00426600"/>
    <w:rsid w:val="0042661C"/>
    <w:rsid w:val="004269E9"/>
    <w:rsid w:val="00426A23"/>
    <w:rsid w:val="00426BAC"/>
    <w:rsid w:val="00426D35"/>
    <w:rsid w:val="00426D59"/>
    <w:rsid w:val="00426FD2"/>
    <w:rsid w:val="00426FD5"/>
    <w:rsid w:val="00427C35"/>
    <w:rsid w:val="00427C82"/>
    <w:rsid w:val="004305DA"/>
    <w:rsid w:val="00430634"/>
    <w:rsid w:val="004306E4"/>
    <w:rsid w:val="0043112B"/>
    <w:rsid w:val="004313CA"/>
    <w:rsid w:val="004313F8"/>
    <w:rsid w:val="00431405"/>
    <w:rsid w:val="0043151A"/>
    <w:rsid w:val="004319FD"/>
    <w:rsid w:val="004323E0"/>
    <w:rsid w:val="004326A2"/>
    <w:rsid w:val="0043275E"/>
    <w:rsid w:val="0043289D"/>
    <w:rsid w:val="00432A7E"/>
    <w:rsid w:val="00432AC8"/>
    <w:rsid w:val="00432DE0"/>
    <w:rsid w:val="0043311E"/>
    <w:rsid w:val="004334BB"/>
    <w:rsid w:val="0043392A"/>
    <w:rsid w:val="00433F62"/>
    <w:rsid w:val="004340E4"/>
    <w:rsid w:val="00434455"/>
    <w:rsid w:val="004345A1"/>
    <w:rsid w:val="00434730"/>
    <w:rsid w:val="0043483D"/>
    <w:rsid w:val="004348BA"/>
    <w:rsid w:val="0043492C"/>
    <w:rsid w:val="00434AE6"/>
    <w:rsid w:val="00434B2C"/>
    <w:rsid w:val="00434D4E"/>
    <w:rsid w:val="0043509E"/>
    <w:rsid w:val="00435286"/>
    <w:rsid w:val="004355B3"/>
    <w:rsid w:val="0043575F"/>
    <w:rsid w:val="004358DB"/>
    <w:rsid w:val="00435B4D"/>
    <w:rsid w:val="00435C77"/>
    <w:rsid w:val="00435CDA"/>
    <w:rsid w:val="00435F34"/>
    <w:rsid w:val="004360ED"/>
    <w:rsid w:val="00436134"/>
    <w:rsid w:val="00436192"/>
    <w:rsid w:val="00436361"/>
    <w:rsid w:val="004363BF"/>
    <w:rsid w:val="0043687E"/>
    <w:rsid w:val="0043688B"/>
    <w:rsid w:val="00436A64"/>
    <w:rsid w:val="00436ABC"/>
    <w:rsid w:val="00436CB7"/>
    <w:rsid w:val="00436D43"/>
    <w:rsid w:val="00436E03"/>
    <w:rsid w:val="004375CC"/>
    <w:rsid w:val="00437B4A"/>
    <w:rsid w:val="00437FCD"/>
    <w:rsid w:val="0044025A"/>
    <w:rsid w:val="004402C4"/>
    <w:rsid w:val="00440AAB"/>
    <w:rsid w:val="00440AD4"/>
    <w:rsid w:val="00440D16"/>
    <w:rsid w:val="00440E47"/>
    <w:rsid w:val="0044101E"/>
    <w:rsid w:val="0044104E"/>
    <w:rsid w:val="00441079"/>
    <w:rsid w:val="00441945"/>
    <w:rsid w:val="004419BF"/>
    <w:rsid w:val="004421B3"/>
    <w:rsid w:val="00442329"/>
    <w:rsid w:val="0044250F"/>
    <w:rsid w:val="004425F5"/>
    <w:rsid w:val="00442731"/>
    <w:rsid w:val="00442844"/>
    <w:rsid w:val="0044292C"/>
    <w:rsid w:val="00442D71"/>
    <w:rsid w:val="00442DD9"/>
    <w:rsid w:val="00442E0B"/>
    <w:rsid w:val="00442FB4"/>
    <w:rsid w:val="004430BE"/>
    <w:rsid w:val="004430E0"/>
    <w:rsid w:val="00443398"/>
    <w:rsid w:val="004437A4"/>
    <w:rsid w:val="004437D4"/>
    <w:rsid w:val="0044392B"/>
    <w:rsid w:val="00443C37"/>
    <w:rsid w:val="0044435D"/>
    <w:rsid w:val="00444593"/>
    <w:rsid w:val="0044459B"/>
    <w:rsid w:val="004447E3"/>
    <w:rsid w:val="0044483D"/>
    <w:rsid w:val="00444C28"/>
    <w:rsid w:val="00444E08"/>
    <w:rsid w:val="00444F4B"/>
    <w:rsid w:val="0044552C"/>
    <w:rsid w:val="0044561C"/>
    <w:rsid w:val="004459EF"/>
    <w:rsid w:val="00445A4B"/>
    <w:rsid w:val="00445B95"/>
    <w:rsid w:val="00445EE2"/>
    <w:rsid w:val="004460DF"/>
    <w:rsid w:val="0044629D"/>
    <w:rsid w:val="004462B6"/>
    <w:rsid w:val="0044655A"/>
    <w:rsid w:val="004465C5"/>
    <w:rsid w:val="00446682"/>
    <w:rsid w:val="004469A4"/>
    <w:rsid w:val="00446B99"/>
    <w:rsid w:val="00446D91"/>
    <w:rsid w:val="0044719A"/>
    <w:rsid w:val="004471D0"/>
    <w:rsid w:val="00447248"/>
    <w:rsid w:val="00447371"/>
    <w:rsid w:val="004478DF"/>
    <w:rsid w:val="0044795E"/>
    <w:rsid w:val="004479F1"/>
    <w:rsid w:val="00447D46"/>
    <w:rsid w:val="00447F18"/>
    <w:rsid w:val="004501B5"/>
    <w:rsid w:val="00450E48"/>
    <w:rsid w:val="00451280"/>
    <w:rsid w:val="004512E4"/>
    <w:rsid w:val="00451A49"/>
    <w:rsid w:val="00452158"/>
    <w:rsid w:val="0045254C"/>
    <w:rsid w:val="00452701"/>
    <w:rsid w:val="00452812"/>
    <w:rsid w:val="00452B66"/>
    <w:rsid w:val="00452FF2"/>
    <w:rsid w:val="00453957"/>
    <w:rsid w:val="00453C20"/>
    <w:rsid w:val="0045461D"/>
    <w:rsid w:val="004546B6"/>
    <w:rsid w:val="00454835"/>
    <w:rsid w:val="004550FB"/>
    <w:rsid w:val="004552D5"/>
    <w:rsid w:val="00455427"/>
    <w:rsid w:val="004554D4"/>
    <w:rsid w:val="0045553B"/>
    <w:rsid w:val="004555CF"/>
    <w:rsid w:val="004555E2"/>
    <w:rsid w:val="00455725"/>
    <w:rsid w:val="0045572E"/>
    <w:rsid w:val="0045579F"/>
    <w:rsid w:val="00455D06"/>
    <w:rsid w:val="00455E44"/>
    <w:rsid w:val="00456083"/>
    <w:rsid w:val="004562C7"/>
    <w:rsid w:val="00456316"/>
    <w:rsid w:val="004565F1"/>
    <w:rsid w:val="00456618"/>
    <w:rsid w:val="00456935"/>
    <w:rsid w:val="00456E2C"/>
    <w:rsid w:val="00457221"/>
    <w:rsid w:val="0045725D"/>
    <w:rsid w:val="004574BC"/>
    <w:rsid w:val="0045796A"/>
    <w:rsid w:val="00457A56"/>
    <w:rsid w:val="00460048"/>
    <w:rsid w:val="004606AE"/>
    <w:rsid w:val="00460923"/>
    <w:rsid w:val="00460E9F"/>
    <w:rsid w:val="00460F2F"/>
    <w:rsid w:val="004610BC"/>
    <w:rsid w:val="00461278"/>
    <w:rsid w:val="00461356"/>
    <w:rsid w:val="00461BD4"/>
    <w:rsid w:val="00461C8A"/>
    <w:rsid w:val="00462021"/>
    <w:rsid w:val="004620A3"/>
    <w:rsid w:val="0046284D"/>
    <w:rsid w:val="004628BF"/>
    <w:rsid w:val="00463011"/>
    <w:rsid w:val="00463063"/>
    <w:rsid w:val="004635E5"/>
    <w:rsid w:val="0046361B"/>
    <w:rsid w:val="00463745"/>
    <w:rsid w:val="004638FB"/>
    <w:rsid w:val="00463DA2"/>
    <w:rsid w:val="004640F9"/>
    <w:rsid w:val="004643F2"/>
    <w:rsid w:val="004644EF"/>
    <w:rsid w:val="00464BF2"/>
    <w:rsid w:val="00464D9E"/>
    <w:rsid w:val="00464F4F"/>
    <w:rsid w:val="00465065"/>
    <w:rsid w:val="00465726"/>
    <w:rsid w:val="004657F7"/>
    <w:rsid w:val="004658FB"/>
    <w:rsid w:val="004659A2"/>
    <w:rsid w:val="004659C9"/>
    <w:rsid w:val="004659FA"/>
    <w:rsid w:val="00465A54"/>
    <w:rsid w:val="00465D49"/>
    <w:rsid w:val="00465FCA"/>
    <w:rsid w:val="00465FE2"/>
    <w:rsid w:val="0046637A"/>
    <w:rsid w:val="0046670D"/>
    <w:rsid w:val="00466C76"/>
    <w:rsid w:val="0046750D"/>
    <w:rsid w:val="004679D4"/>
    <w:rsid w:val="004679F5"/>
    <w:rsid w:val="00467F10"/>
    <w:rsid w:val="00467F62"/>
    <w:rsid w:val="00470174"/>
    <w:rsid w:val="00470383"/>
    <w:rsid w:val="004705D4"/>
    <w:rsid w:val="004706D0"/>
    <w:rsid w:val="00470988"/>
    <w:rsid w:val="004709D4"/>
    <w:rsid w:val="00470E25"/>
    <w:rsid w:val="00470E38"/>
    <w:rsid w:val="00471085"/>
    <w:rsid w:val="0047124B"/>
    <w:rsid w:val="00471490"/>
    <w:rsid w:val="00471D28"/>
    <w:rsid w:val="004721CE"/>
    <w:rsid w:val="00472463"/>
    <w:rsid w:val="004725F9"/>
    <w:rsid w:val="004728BE"/>
    <w:rsid w:val="00472973"/>
    <w:rsid w:val="00472A9C"/>
    <w:rsid w:val="00472AAF"/>
    <w:rsid w:val="00472BD1"/>
    <w:rsid w:val="00472C58"/>
    <w:rsid w:val="00472E22"/>
    <w:rsid w:val="00472FBF"/>
    <w:rsid w:val="00473138"/>
    <w:rsid w:val="0047341E"/>
    <w:rsid w:val="004734F0"/>
    <w:rsid w:val="0047365D"/>
    <w:rsid w:val="00473943"/>
    <w:rsid w:val="00473B97"/>
    <w:rsid w:val="00473DB9"/>
    <w:rsid w:val="004741DD"/>
    <w:rsid w:val="004743DF"/>
    <w:rsid w:val="00474483"/>
    <w:rsid w:val="0047488A"/>
    <w:rsid w:val="00474A90"/>
    <w:rsid w:val="00475336"/>
    <w:rsid w:val="004753AB"/>
    <w:rsid w:val="004755E6"/>
    <w:rsid w:val="004756C3"/>
    <w:rsid w:val="00475A2F"/>
    <w:rsid w:val="00475C46"/>
    <w:rsid w:val="004760D5"/>
    <w:rsid w:val="00476735"/>
    <w:rsid w:val="0047677C"/>
    <w:rsid w:val="00476C1A"/>
    <w:rsid w:val="00477608"/>
    <w:rsid w:val="00477948"/>
    <w:rsid w:val="00477A71"/>
    <w:rsid w:val="00477AFE"/>
    <w:rsid w:val="0048013C"/>
    <w:rsid w:val="004806BD"/>
    <w:rsid w:val="00480A75"/>
    <w:rsid w:val="00480AB5"/>
    <w:rsid w:val="00480CAD"/>
    <w:rsid w:val="00480D9D"/>
    <w:rsid w:val="00480E0F"/>
    <w:rsid w:val="004816F9"/>
    <w:rsid w:val="00481832"/>
    <w:rsid w:val="004818BE"/>
    <w:rsid w:val="00481946"/>
    <w:rsid w:val="00481AE5"/>
    <w:rsid w:val="00481DEA"/>
    <w:rsid w:val="00482423"/>
    <w:rsid w:val="0048246C"/>
    <w:rsid w:val="00482560"/>
    <w:rsid w:val="00482766"/>
    <w:rsid w:val="0048279B"/>
    <w:rsid w:val="00482A82"/>
    <w:rsid w:val="00482DB0"/>
    <w:rsid w:val="00483121"/>
    <w:rsid w:val="00483648"/>
    <w:rsid w:val="0048376D"/>
    <w:rsid w:val="004838E0"/>
    <w:rsid w:val="00483C2D"/>
    <w:rsid w:val="0048404A"/>
    <w:rsid w:val="00484187"/>
    <w:rsid w:val="00484261"/>
    <w:rsid w:val="004849AA"/>
    <w:rsid w:val="00484A1B"/>
    <w:rsid w:val="00484A7A"/>
    <w:rsid w:val="00484FE8"/>
    <w:rsid w:val="0048509D"/>
    <w:rsid w:val="00485125"/>
    <w:rsid w:val="00485199"/>
    <w:rsid w:val="004852F5"/>
    <w:rsid w:val="0048578E"/>
    <w:rsid w:val="00485DCE"/>
    <w:rsid w:val="0048600E"/>
    <w:rsid w:val="00486030"/>
    <w:rsid w:val="00486592"/>
    <w:rsid w:val="004867EA"/>
    <w:rsid w:val="004868F8"/>
    <w:rsid w:val="00486F54"/>
    <w:rsid w:val="004872DE"/>
    <w:rsid w:val="0048756C"/>
    <w:rsid w:val="0048763F"/>
    <w:rsid w:val="0048775B"/>
    <w:rsid w:val="0048789A"/>
    <w:rsid w:val="004878EB"/>
    <w:rsid w:val="00487BA1"/>
    <w:rsid w:val="00487DCA"/>
    <w:rsid w:val="00487E24"/>
    <w:rsid w:val="00487E85"/>
    <w:rsid w:val="004900C5"/>
    <w:rsid w:val="004901CF"/>
    <w:rsid w:val="00490B3F"/>
    <w:rsid w:val="00490B42"/>
    <w:rsid w:val="00490F44"/>
    <w:rsid w:val="00491323"/>
    <w:rsid w:val="0049142C"/>
    <w:rsid w:val="00491651"/>
    <w:rsid w:val="00491CF8"/>
    <w:rsid w:val="00492048"/>
    <w:rsid w:val="0049237C"/>
    <w:rsid w:val="004927E2"/>
    <w:rsid w:val="00492859"/>
    <w:rsid w:val="004928E8"/>
    <w:rsid w:val="004928FA"/>
    <w:rsid w:val="00492D88"/>
    <w:rsid w:val="00492DFA"/>
    <w:rsid w:val="00492F6E"/>
    <w:rsid w:val="00493094"/>
    <w:rsid w:val="0049335A"/>
    <w:rsid w:val="004935D4"/>
    <w:rsid w:val="00493B8B"/>
    <w:rsid w:val="00493B9E"/>
    <w:rsid w:val="00493C0D"/>
    <w:rsid w:val="00494000"/>
    <w:rsid w:val="00494208"/>
    <w:rsid w:val="0049422B"/>
    <w:rsid w:val="0049422C"/>
    <w:rsid w:val="004942A7"/>
    <w:rsid w:val="00494319"/>
    <w:rsid w:val="00494501"/>
    <w:rsid w:val="004945D3"/>
    <w:rsid w:val="004948A6"/>
    <w:rsid w:val="00494B7B"/>
    <w:rsid w:val="0049509D"/>
    <w:rsid w:val="004952E3"/>
    <w:rsid w:val="0049546F"/>
    <w:rsid w:val="00495536"/>
    <w:rsid w:val="00495A4E"/>
    <w:rsid w:val="00495C2F"/>
    <w:rsid w:val="00495D1F"/>
    <w:rsid w:val="00495DC6"/>
    <w:rsid w:val="00495DCF"/>
    <w:rsid w:val="004960BB"/>
    <w:rsid w:val="0049643E"/>
    <w:rsid w:val="00496518"/>
    <w:rsid w:val="00496839"/>
    <w:rsid w:val="00496BCF"/>
    <w:rsid w:val="00496F1D"/>
    <w:rsid w:val="004970CA"/>
    <w:rsid w:val="004972B9"/>
    <w:rsid w:val="004979CE"/>
    <w:rsid w:val="00497F53"/>
    <w:rsid w:val="00497F91"/>
    <w:rsid w:val="004A0048"/>
    <w:rsid w:val="004A0091"/>
    <w:rsid w:val="004A032D"/>
    <w:rsid w:val="004A0333"/>
    <w:rsid w:val="004A06BA"/>
    <w:rsid w:val="004A07CA"/>
    <w:rsid w:val="004A0E13"/>
    <w:rsid w:val="004A1478"/>
    <w:rsid w:val="004A172B"/>
    <w:rsid w:val="004A1947"/>
    <w:rsid w:val="004A209E"/>
    <w:rsid w:val="004A23E8"/>
    <w:rsid w:val="004A2594"/>
    <w:rsid w:val="004A25C9"/>
    <w:rsid w:val="004A2854"/>
    <w:rsid w:val="004A2960"/>
    <w:rsid w:val="004A3154"/>
    <w:rsid w:val="004A3308"/>
    <w:rsid w:val="004A363D"/>
    <w:rsid w:val="004A3681"/>
    <w:rsid w:val="004A37E6"/>
    <w:rsid w:val="004A3AB6"/>
    <w:rsid w:val="004A3B0D"/>
    <w:rsid w:val="004A3F6D"/>
    <w:rsid w:val="004A44E2"/>
    <w:rsid w:val="004A4A24"/>
    <w:rsid w:val="004A5160"/>
    <w:rsid w:val="004A5251"/>
    <w:rsid w:val="004A529E"/>
    <w:rsid w:val="004A580C"/>
    <w:rsid w:val="004A58DE"/>
    <w:rsid w:val="004A5CA4"/>
    <w:rsid w:val="004A6028"/>
    <w:rsid w:val="004A65E4"/>
    <w:rsid w:val="004A6DC4"/>
    <w:rsid w:val="004A6DF1"/>
    <w:rsid w:val="004A6F2B"/>
    <w:rsid w:val="004A7102"/>
    <w:rsid w:val="004A7107"/>
    <w:rsid w:val="004A7115"/>
    <w:rsid w:val="004A7422"/>
    <w:rsid w:val="004A7460"/>
    <w:rsid w:val="004A78CE"/>
    <w:rsid w:val="004A7A26"/>
    <w:rsid w:val="004A7AF4"/>
    <w:rsid w:val="004A7CEC"/>
    <w:rsid w:val="004A7E4A"/>
    <w:rsid w:val="004B010F"/>
    <w:rsid w:val="004B0471"/>
    <w:rsid w:val="004B0C30"/>
    <w:rsid w:val="004B0F66"/>
    <w:rsid w:val="004B102F"/>
    <w:rsid w:val="004B11B2"/>
    <w:rsid w:val="004B1423"/>
    <w:rsid w:val="004B17B7"/>
    <w:rsid w:val="004B1B67"/>
    <w:rsid w:val="004B1D7C"/>
    <w:rsid w:val="004B1F64"/>
    <w:rsid w:val="004B1F76"/>
    <w:rsid w:val="004B2390"/>
    <w:rsid w:val="004B24B7"/>
    <w:rsid w:val="004B27F8"/>
    <w:rsid w:val="004B290E"/>
    <w:rsid w:val="004B292B"/>
    <w:rsid w:val="004B2C64"/>
    <w:rsid w:val="004B2DC9"/>
    <w:rsid w:val="004B30BA"/>
    <w:rsid w:val="004B3146"/>
    <w:rsid w:val="004B316E"/>
    <w:rsid w:val="004B3380"/>
    <w:rsid w:val="004B3933"/>
    <w:rsid w:val="004B3CC7"/>
    <w:rsid w:val="004B3CEF"/>
    <w:rsid w:val="004B3E88"/>
    <w:rsid w:val="004B3E8D"/>
    <w:rsid w:val="004B4420"/>
    <w:rsid w:val="004B44E9"/>
    <w:rsid w:val="004B496A"/>
    <w:rsid w:val="004B4CBF"/>
    <w:rsid w:val="004B4F40"/>
    <w:rsid w:val="004B52B2"/>
    <w:rsid w:val="004B5645"/>
    <w:rsid w:val="004B5DF8"/>
    <w:rsid w:val="004B5EE9"/>
    <w:rsid w:val="004B5F17"/>
    <w:rsid w:val="004B5FFA"/>
    <w:rsid w:val="004B64C5"/>
    <w:rsid w:val="004B6601"/>
    <w:rsid w:val="004B66CD"/>
    <w:rsid w:val="004B6E6C"/>
    <w:rsid w:val="004B6F4C"/>
    <w:rsid w:val="004B70A9"/>
    <w:rsid w:val="004B797F"/>
    <w:rsid w:val="004B7D92"/>
    <w:rsid w:val="004B7FC6"/>
    <w:rsid w:val="004C02B7"/>
    <w:rsid w:val="004C03DF"/>
    <w:rsid w:val="004C054B"/>
    <w:rsid w:val="004C0817"/>
    <w:rsid w:val="004C0B3B"/>
    <w:rsid w:val="004C0BD0"/>
    <w:rsid w:val="004C0FED"/>
    <w:rsid w:val="004C10AC"/>
    <w:rsid w:val="004C1677"/>
    <w:rsid w:val="004C1896"/>
    <w:rsid w:val="004C19CF"/>
    <w:rsid w:val="004C1AF0"/>
    <w:rsid w:val="004C1CA8"/>
    <w:rsid w:val="004C2086"/>
    <w:rsid w:val="004C20E1"/>
    <w:rsid w:val="004C21FF"/>
    <w:rsid w:val="004C238E"/>
    <w:rsid w:val="004C282D"/>
    <w:rsid w:val="004C2C22"/>
    <w:rsid w:val="004C2D7B"/>
    <w:rsid w:val="004C3451"/>
    <w:rsid w:val="004C34C6"/>
    <w:rsid w:val="004C363E"/>
    <w:rsid w:val="004C390D"/>
    <w:rsid w:val="004C3929"/>
    <w:rsid w:val="004C3A84"/>
    <w:rsid w:val="004C3C5F"/>
    <w:rsid w:val="004C3DDD"/>
    <w:rsid w:val="004C40AA"/>
    <w:rsid w:val="004C45F0"/>
    <w:rsid w:val="004C47CB"/>
    <w:rsid w:val="004C4895"/>
    <w:rsid w:val="004C490D"/>
    <w:rsid w:val="004C4932"/>
    <w:rsid w:val="004C4D9F"/>
    <w:rsid w:val="004C4DA9"/>
    <w:rsid w:val="004C4EE3"/>
    <w:rsid w:val="004C520C"/>
    <w:rsid w:val="004C5330"/>
    <w:rsid w:val="004C562C"/>
    <w:rsid w:val="004C5C47"/>
    <w:rsid w:val="004C5FD4"/>
    <w:rsid w:val="004C644D"/>
    <w:rsid w:val="004C647B"/>
    <w:rsid w:val="004C64ED"/>
    <w:rsid w:val="004C652F"/>
    <w:rsid w:val="004C6722"/>
    <w:rsid w:val="004C6D77"/>
    <w:rsid w:val="004C6D83"/>
    <w:rsid w:val="004C6EF7"/>
    <w:rsid w:val="004C7047"/>
    <w:rsid w:val="004C7393"/>
    <w:rsid w:val="004C78D6"/>
    <w:rsid w:val="004C7A0C"/>
    <w:rsid w:val="004C7A1D"/>
    <w:rsid w:val="004C7C82"/>
    <w:rsid w:val="004D01DE"/>
    <w:rsid w:val="004D05F7"/>
    <w:rsid w:val="004D08A8"/>
    <w:rsid w:val="004D0933"/>
    <w:rsid w:val="004D0E95"/>
    <w:rsid w:val="004D127A"/>
    <w:rsid w:val="004D19CC"/>
    <w:rsid w:val="004D1C88"/>
    <w:rsid w:val="004D1DFD"/>
    <w:rsid w:val="004D2159"/>
    <w:rsid w:val="004D247D"/>
    <w:rsid w:val="004D2630"/>
    <w:rsid w:val="004D270B"/>
    <w:rsid w:val="004D2B46"/>
    <w:rsid w:val="004D3127"/>
    <w:rsid w:val="004D3385"/>
    <w:rsid w:val="004D35A4"/>
    <w:rsid w:val="004D367A"/>
    <w:rsid w:val="004D3694"/>
    <w:rsid w:val="004D43D7"/>
    <w:rsid w:val="004D448A"/>
    <w:rsid w:val="004D4659"/>
    <w:rsid w:val="004D47CE"/>
    <w:rsid w:val="004D4B4A"/>
    <w:rsid w:val="004D5163"/>
    <w:rsid w:val="004D5272"/>
    <w:rsid w:val="004D5458"/>
    <w:rsid w:val="004D56C7"/>
    <w:rsid w:val="004D5813"/>
    <w:rsid w:val="004D61D6"/>
    <w:rsid w:val="004D65A4"/>
    <w:rsid w:val="004D66BA"/>
    <w:rsid w:val="004D6860"/>
    <w:rsid w:val="004D6A09"/>
    <w:rsid w:val="004D6CC7"/>
    <w:rsid w:val="004D70CB"/>
    <w:rsid w:val="004D70F9"/>
    <w:rsid w:val="004D7734"/>
    <w:rsid w:val="004D78A6"/>
    <w:rsid w:val="004D799D"/>
    <w:rsid w:val="004D79B3"/>
    <w:rsid w:val="004D7B3E"/>
    <w:rsid w:val="004D7DFC"/>
    <w:rsid w:val="004D7F0D"/>
    <w:rsid w:val="004D7FB3"/>
    <w:rsid w:val="004D7FE1"/>
    <w:rsid w:val="004E01B3"/>
    <w:rsid w:val="004E01C6"/>
    <w:rsid w:val="004E0467"/>
    <w:rsid w:val="004E0A87"/>
    <w:rsid w:val="004E0C3D"/>
    <w:rsid w:val="004E0D11"/>
    <w:rsid w:val="004E0E18"/>
    <w:rsid w:val="004E0E23"/>
    <w:rsid w:val="004E0F4D"/>
    <w:rsid w:val="004E104F"/>
    <w:rsid w:val="004E118C"/>
    <w:rsid w:val="004E11E0"/>
    <w:rsid w:val="004E160B"/>
    <w:rsid w:val="004E1AFF"/>
    <w:rsid w:val="004E1B05"/>
    <w:rsid w:val="004E1B3F"/>
    <w:rsid w:val="004E1CEC"/>
    <w:rsid w:val="004E1D41"/>
    <w:rsid w:val="004E20A0"/>
    <w:rsid w:val="004E2291"/>
    <w:rsid w:val="004E22BC"/>
    <w:rsid w:val="004E257B"/>
    <w:rsid w:val="004E2763"/>
    <w:rsid w:val="004E28ED"/>
    <w:rsid w:val="004E3439"/>
    <w:rsid w:val="004E3920"/>
    <w:rsid w:val="004E3923"/>
    <w:rsid w:val="004E3DA4"/>
    <w:rsid w:val="004E3ED6"/>
    <w:rsid w:val="004E405A"/>
    <w:rsid w:val="004E4327"/>
    <w:rsid w:val="004E46A7"/>
    <w:rsid w:val="004E4F5E"/>
    <w:rsid w:val="004E52A9"/>
    <w:rsid w:val="004E54F7"/>
    <w:rsid w:val="004E55E9"/>
    <w:rsid w:val="004E5BC1"/>
    <w:rsid w:val="004E5E3F"/>
    <w:rsid w:val="004E5F7B"/>
    <w:rsid w:val="004E6329"/>
    <w:rsid w:val="004E6B7D"/>
    <w:rsid w:val="004E6BFC"/>
    <w:rsid w:val="004E6E2A"/>
    <w:rsid w:val="004E6EE7"/>
    <w:rsid w:val="004E70E7"/>
    <w:rsid w:val="004E76DF"/>
    <w:rsid w:val="004E787F"/>
    <w:rsid w:val="004E7A46"/>
    <w:rsid w:val="004E7CD9"/>
    <w:rsid w:val="004F0118"/>
    <w:rsid w:val="004F06CE"/>
    <w:rsid w:val="004F06D5"/>
    <w:rsid w:val="004F08C0"/>
    <w:rsid w:val="004F0987"/>
    <w:rsid w:val="004F0DB5"/>
    <w:rsid w:val="004F0E13"/>
    <w:rsid w:val="004F0F89"/>
    <w:rsid w:val="004F1401"/>
    <w:rsid w:val="004F16B7"/>
    <w:rsid w:val="004F17E2"/>
    <w:rsid w:val="004F1813"/>
    <w:rsid w:val="004F1E51"/>
    <w:rsid w:val="004F24C8"/>
    <w:rsid w:val="004F263D"/>
    <w:rsid w:val="004F2673"/>
    <w:rsid w:val="004F28DC"/>
    <w:rsid w:val="004F29ED"/>
    <w:rsid w:val="004F2A99"/>
    <w:rsid w:val="004F3004"/>
    <w:rsid w:val="004F3150"/>
    <w:rsid w:val="004F3518"/>
    <w:rsid w:val="004F37C8"/>
    <w:rsid w:val="004F39E1"/>
    <w:rsid w:val="004F4CE8"/>
    <w:rsid w:val="004F5641"/>
    <w:rsid w:val="004F5D65"/>
    <w:rsid w:val="004F611C"/>
    <w:rsid w:val="004F6262"/>
    <w:rsid w:val="004F671A"/>
    <w:rsid w:val="004F685E"/>
    <w:rsid w:val="004F692A"/>
    <w:rsid w:val="004F6A8A"/>
    <w:rsid w:val="004F708F"/>
    <w:rsid w:val="004F72A2"/>
    <w:rsid w:val="004F732F"/>
    <w:rsid w:val="004F74E4"/>
    <w:rsid w:val="004F762A"/>
    <w:rsid w:val="004F770C"/>
    <w:rsid w:val="004F7714"/>
    <w:rsid w:val="004F7781"/>
    <w:rsid w:val="004F78AC"/>
    <w:rsid w:val="004F78EB"/>
    <w:rsid w:val="004F7FA7"/>
    <w:rsid w:val="0050016B"/>
    <w:rsid w:val="005005BC"/>
    <w:rsid w:val="00500822"/>
    <w:rsid w:val="00500858"/>
    <w:rsid w:val="00500884"/>
    <w:rsid w:val="005012AE"/>
    <w:rsid w:val="005013C9"/>
    <w:rsid w:val="005019A9"/>
    <w:rsid w:val="005019DA"/>
    <w:rsid w:val="00501BC4"/>
    <w:rsid w:val="00501BE1"/>
    <w:rsid w:val="00501E21"/>
    <w:rsid w:val="00501F97"/>
    <w:rsid w:val="00502323"/>
    <w:rsid w:val="0050244B"/>
    <w:rsid w:val="00502501"/>
    <w:rsid w:val="005026ED"/>
    <w:rsid w:val="00502771"/>
    <w:rsid w:val="00502ACD"/>
    <w:rsid w:val="00502D96"/>
    <w:rsid w:val="00502ECE"/>
    <w:rsid w:val="00502F0B"/>
    <w:rsid w:val="00503066"/>
    <w:rsid w:val="00503271"/>
    <w:rsid w:val="00503838"/>
    <w:rsid w:val="00503995"/>
    <w:rsid w:val="005039BD"/>
    <w:rsid w:val="00503A25"/>
    <w:rsid w:val="00503B9A"/>
    <w:rsid w:val="00503DE2"/>
    <w:rsid w:val="00503F09"/>
    <w:rsid w:val="005042D5"/>
    <w:rsid w:val="0050472C"/>
    <w:rsid w:val="00504891"/>
    <w:rsid w:val="00504A32"/>
    <w:rsid w:val="00504A96"/>
    <w:rsid w:val="00504CF1"/>
    <w:rsid w:val="0050552D"/>
    <w:rsid w:val="00505856"/>
    <w:rsid w:val="00506168"/>
    <w:rsid w:val="005061B8"/>
    <w:rsid w:val="005063AE"/>
    <w:rsid w:val="0050671E"/>
    <w:rsid w:val="00506C4A"/>
    <w:rsid w:val="00506C88"/>
    <w:rsid w:val="00506F07"/>
    <w:rsid w:val="00507048"/>
    <w:rsid w:val="00507107"/>
    <w:rsid w:val="0050713F"/>
    <w:rsid w:val="0050741C"/>
    <w:rsid w:val="005078CC"/>
    <w:rsid w:val="005079BB"/>
    <w:rsid w:val="00507D2A"/>
    <w:rsid w:val="0051087A"/>
    <w:rsid w:val="00510F75"/>
    <w:rsid w:val="0051103C"/>
    <w:rsid w:val="0051117A"/>
    <w:rsid w:val="0051127F"/>
    <w:rsid w:val="005114B3"/>
    <w:rsid w:val="005115D3"/>
    <w:rsid w:val="0051164D"/>
    <w:rsid w:val="00511996"/>
    <w:rsid w:val="005119F0"/>
    <w:rsid w:val="00511CD6"/>
    <w:rsid w:val="00511CE6"/>
    <w:rsid w:val="00511D40"/>
    <w:rsid w:val="00511FD2"/>
    <w:rsid w:val="00512050"/>
    <w:rsid w:val="005122FA"/>
    <w:rsid w:val="00512305"/>
    <w:rsid w:val="0051242F"/>
    <w:rsid w:val="00512AF1"/>
    <w:rsid w:val="00512F06"/>
    <w:rsid w:val="00513179"/>
    <w:rsid w:val="00513565"/>
    <w:rsid w:val="00513580"/>
    <w:rsid w:val="00513CEB"/>
    <w:rsid w:val="00513D08"/>
    <w:rsid w:val="00513EA2"/>
    <w:rsid w:val="00513FA6"/>
    <w:rsid w:val="00513FF3"/>
    <w:rsid w:val="00514366"/>
    <w:rsid w:val="005143C6"/>
    <w:rsid w:val="005146C8"/>
    <w:rsid w:val="0051477B"/>
    <w:rsid w:val="00514A1F"/>
    <w:rsid w:val="00514CF1"/>
    <w:rsid w:val="005158C2"/>
    <w:rsid w:val="005158C3"/>
    <w:rsid w:val="00515AAD"/>
    <w:rsid w:val="00515B11"/>
    <w:rsid w:val="0051602E"/>
    <w:rsid w:val="00516159"/>
    <w:rsid w:val="00516208"/>
    <w:rsid w:val="00516544"/>
    <w:rsid w:val="0051664F"/>
    <w:rsid w:val="00516797"/>
    <w:rsid w:val="005167A9"/>
    <w:rsid w:val="005168CC"/>
    <w:rsid w:val="00516A10"/>
    <w:rsid w:val="005170CD"/>
    <w:rsid w:val="00517826"/>
    <w:rsid w:val="00517CA8"/>
    <w:rsid w:val="00517CD5"/>
    <w:rsid w:val="00517F83"/>
    <w:rsid w:val="00520136"/>
    <w:rsid w:val="00520214"/>
    <w:rsid w:val="005202B9"/>
    <w:rsid w:val="005204AB"/>
    <w:rsid w:val="005205E7"/>
    <w:rsid w:val="00520836"/>
    <w:rsid w:val="00520934"/>
    <w:rsid w:val="00520BA7"/>
    <w:rsid w:val="00520EFA"/>
    <w:rsid w:val="00520FD3"/>
    <w:rsid w:val="00521619"/>
    <w:rsid w:val="005219DA"/>
    <w:rsid w:val="00521DE9"/>
    <w:rsid w:val="00522172"/>
    <w:rsid w:val="00522538"/>
    <w:rsid w:val="0052259B"/>
    <w:rsid w:val="0052266F"/>
    <w:rsid w:val="005227CB"/>
    <w:rsid w:val="005227EF"/>
    <w:rsid w:val="00522BE2"/>
    <w:rsid w:val="005231DF"/>
    <w:rsid w:val="0052328A"/>
    <w:rsid w:val="005232B9"/>
    <w:rsid w:val="005233C2"/>
    <w:rsid w:val="0052344D"/>
    <w:rsid w:val="0052346D"/>
    <w:rsid w:val="005236E5"/>
    <w:rsid w:val="005237B0"/>
    <w:rsid w:val="00523947"/>
    <w:rsid w:val="00523CDA"/>
    <w:rsid w:val="00523D34"/>
    <w:rsid w:val="00523F87"/>
    <w:rsid w:val="00524495"/>
    <w:rsid w:val="00524685"/>
    <w:rsid w:val="00524809"/>
    <w:rsid w:val="00524A02"/>
    <w:rsid w:val="00524DC2"/>
    <w:rsid w:val="00524EB3"/>
    <w:rsid w:val="00524EBD"/>
    <w:rsid w:val="00524F40"/>
    <w:rsid w:val="0052516F"/>
    <w:rsid w:val="00525300"/>
    <w:rsid w:val="0052536B"/>
    <w:rsid w:val="00525705"/>
    <w:rsid w:val="005257A8"/>
    <w:rsid w:val="00525817"/>
    <w:rsid w:val="00525A1A"/>
    <w:rsid w:val="00526070"/>
    <w:rsid w:val="0052628B"/>
    <w:rsid w:val="0052694C"/>
    <w:rsid w:val="005269E8"/>
    <w:rsid w:val="00526C0B"/>
    <w:rsid w:val="00526C8E"/>
    <w:rsid w:val="00526E85"/>
    <w:rsid w:val="0052730A"/>
    <w:rsid w:val="0052740E"/>
    <w:rsid w:val="00527513"/>
    <w:rsid w:val="00527692"/>
    <w:rsid w:val="005279DC"/>
    <w:rsid w:val="00527ACB"/>
    <w:rsid w:val="00527C73"/>
    <w:rsid w:val="00527E71"/>
    <w:rsid w:val="00527E7B"/>
    <w:rsid w:val="00527F56"/>
    <w:rsid w:val="005300D2"/>
    <w:rsid w:val="005301AF"/>
    <w:rsid w:val="005301E2"/>
    <w:rsid w:val="005308C8"/>
    <w:rsid w:val="00530AEB"/>
    <w:rsid w:val="00530B87"/>
    <w:rsid w:val="00530D65"/>
    <w:rsid w:val="00530E74"/>
    <w:rsid w:val="00531091"/>
    <w:rsid w:val="00531093"/>
    <w:rsid w:val="00531178"/>
    <w:rsid w:val="0053130D"/>
    <w:rsid w:val="00531561"/>
    <w:rsid w:val="00531B75"/>
    <w:rsid w:val="00531E82"/>
    <w:rsid w:val="0053211C"/>
    <w:rsid w:val="00532252"/>
    <w:rsid w:val="0053244F"/>
    <w:rsid w:val="00532726"/>
    <w:rsid w:val="00532A3E"/>
    <w:rsid w:val="00532C2E"/>
    <w:rsid w:val="00532C94"/>
    <w:rsid w:val="00532FC3"/>
    <w:rsid w:val="005333C1"/>
    <w:rsid w:val="005337F1"/>
    <w:rsid w:val="00533894"/>
    <w:rsid w:val="0053396C"/>
    <w:rsid w:val="00533C95"/>
    <w:rsid w:val="00533D9F"/>
    <w:rsid w:val="005348D5"/>
    <w:rsid w:val="00534EE5"/>
    <w:rsid w:val="005353D2"/>
    <w:rsid w:val="0053584E"/>
    <w:rsid w:val="00535A05"/>
    <w:rsid w:val="00535BB4"/>
    <w:rsid w:val="00535BCB"/>
    <w:rsid w:val="00535ED4"/>
    <w:rsid w:val="00535EF0"/>
    <w:rsid w:val="00536091"/>
    <w:rsid w:val="005360E3"/>
    <w:rsid w:val="00536412"/>
    <w:rsid w:val="00536653"/>
    <w:rsid w:val="0053710A"/>
    <w:rsid w:val="00537831"/>
    <w:rsid w:val="00537A07"/>
    <w:rsid w:val="00537A2B"/>
    <w:rsid w:val="00537A7D"/>
    <w:rsid w:val="00537DF2"/>
    <w:rsid w:val="005401EF"/>
    <w:rsid w:val="0054042E"/>
    <w:rsid w:val="0054055C"/>
    <w:rsid w:val="005405BE"/>
    <w:rsid w:val="005406EC"/>
    <w:rsid w:val="005407F3"/>
    <w:rsid w:val="005408F9"/>
    <w:rsid w:val="00540932"/>
    <w:rsid w:val="00540A6E"/>
    <w:rsid w:val="00540C8A"/>
    <w:rsid w:val="00540C9A"/>
    <w:rsid w:val="00540D19"/>
    <w:rsid w:val="00540EE2"/>
    <w:rsid w:val="00541784"/>
    <w:rsid w:val="005419CF"/>
    <w:rsid w:val="00541D69"/>
    <w:rsid w:val="00541E44"/>
    <w:rsid w:val="005424BF"/>
    <w:rsid w:val="00542794"/>
    <w:rsid w:val="00542A27"/>
    <w:rsid w:val="00542F9E"/>
    <w:rsid w:val="005431A3"/>
    <w:rsid w:val="00543396"/>
    <w:rsid w:val="00543911"/>
    <w:rsid w:val="005441A4"/>
    <w:rsid w:val="0054492E"/>
    <w:rsid w:val="0054500F"/>
    <w:rsid w:val="005452F6"/>
    <w:rsid w:val="00545434"/>
    <w:rsid w:val="0054565A"/>
    <w:rsid w:val="00545753"/>
    <w:rsid w:val="005459D6"/>
    <w:rsid w:val="00545C6A"/>
    <w:rsid w:val="00545E20"/>
    <w:rsid w:val="0054637F"/>
    <w:rsid w:val="00546592"/>
    <w:rsid w:val="005468B5"/>
    <w:rsid w:val="0054694A"/>
    <w:rsid w:val="00546B3C"/>
    <w:rsid w:val="00546DFF"/>
    <w:rsid w:val="00546E42"/>
    <w:rsid w:val="0054707F"/>
    <w:rsid w:val="005476D8"/>
    <w:rsid w:val="0055007D"/>
    <w:rsid w:val="0055044E"/>
    <w:rsid w:val="0055069B"/>
    <w:rsid w:val="005509D1"/>
    <w:rsid w:val="00550C75"/>
    <w:rsid w:val="00550C8E"/>
    <w:rsid w:val="00550CE9"/>
    <w:rsid w:val="00551034"/>
    <w:rsid w:val="0055110E"/>
    <w:rsid w:val="00551416"/>
    <w:rsid w:val="00551EF3"/>
    <w:rsid w:val="005521ED"/>
    <w:rsid w:val="005522B4"/>
    <w:rsid w:val="005527E7"/>
    <w:rsid w:val="00552AAA"/>
    <w:rsid w:val="005530B4"/>
    <w:rsid w:val="00553272"/>
    <w:rsid w:val="00553702"/>
    <w:rsid w:val="005538BB"/>
    <w:rsid w:val="00553A8B"/>
    <w:rsid w:val="00553AA3"/>
    <w:rsid w:val="00553E54"/>
    <w:rsid w:val="00554071"/>
    <w:rsid w:val="0055454F"/>
    <w:rsid w:val="005546DA"/>
    <w:rsid w:val="005548BE"/>
    <w:rsid w:val="005552A1"/>
    <w:rsid w:val="005553CF"/>
    <w:rsid w:val="00555408"/>
    <w:rsid w:val="00555697"/>
    <w:rsid w:val="0055570D"/>
    <w:rsid w:val="005557F1"/>
    <w:rsid w:val="005559B4"/>
    <w:rsid w:val="00555B4C"/>
    <w:rsid w:val="00555D54"/>
    <w:rsid w:val="005563C3"/>
    <w:rsid w:val="005563FD"/>
    <w:rsid w:val="00556B4A"/>
    <w:rsid w:val="00556BB7"/>
    <w:rsid w:val="00556C2B"/>
    <w:rsid w:val="00556C64"/>
    <w:rsid w:val="00556E1A"/>
    <w:rsid w:val="00556F84"/>
    <w:rsid w:val="0055721C"/>
    <w:rsid w:val="005572BF"/>
    <w:rsid w:val="005572C6"/>
    <w:rsid w:val="005575A1"/>
    <w:rsid w:val="005575A4"/>
    <w:rsid w:val="00557A17"/>
    <w:rsid w:val="00557DD1"/>
    <w:rsid w:val="00557FEC"/>
    <w:rsid w:val="00560051"/>
    <w:rsid w:val="0056042A"/>
    <w:rsid w:val="00560810"/>
    <w:rsid w:val="0056086D"/>
    <w:rsid w:val="00560A9A"/>
    <w:rsid w:val="00560F5D"/>
    <w:rsid w:val="00560F7A"/>
    <w:rsid w:val="005610AC"/>
    <w:rsid w:val="00561174"/>
    <w:rsid w:val="005616A6"/>
    <w:rsid w:val="00561A24"/>
    <w:rsid w:val="00561C8D"/>
    <w:rsid w:val="00561F99"/>
    <w:rsid w:val="0056201A"/>
    <w:rsid w:val="005623D7"/>
    <w:rsid w:val="005625C8"/>
    <w:rsid w:val="005628A0"/>
    <w:rsid w:val="005628CF"/>
    <w:rsid w:val="00562A25"/>
    <w:rsid w:val="00562C02"/>
    <w:rsid w:val="00563024"/>
    <w:rsid w:val="00563268"/>
    <w:rsid w:val="00563469"/>
    <w:rsid w:val="00563622"/>
    <w:rsid w:val="005637A7"/>
    <w:rsid w:val="00563BBF"/>
    <w:rsid w:val="00563C92"/>
    <w:rsid w:val="005642C8"/>
    <w:rsid w:val="00564549"/>
    <w:rsid w:val="00564B23"/>
    <w:rsid w:val="00564B5C"/>
    <w:rsid w:val="00564B97"/>
    <w:rsid w:val="005655CC"/>
    <w:rsid w:val="0056582F"/>
    <w:rsid w:val="00565C08"/>
    <w:rsid w:val="00565C24"/>
    <w:rsid w:val="00566114"/>
    <w:rsid w:val="00566155"/>
    <w:rsid w:val="00566354"/>
    <w:rsid w:val="0056676D"/>
    <w:rsid w:val="00566C67"/>
    <w:rsid w:val="00566C68"/>
    <w:rsid w:val="00566D95"/>
    <w:rsid w:val="00566F17"/>
    <w:rsid w:val="00567068"/>
    <w:rsid w:val="005671B2"/>
    <w:rsid w:val="005675B9"/>
    <w:rsid w:val="00567C7E"/>
    <w:rsid w:val="00567CEB"/>
    <w:rsid w:val="0057012B"/>
    <w:rsid w:val="00570667"/>
    <w:rsid w:val="00570696"/>
    <w:rsid w:val="005706B4"/>
    <w:rsid w:val="005708FB"/>
    <w:rsid w:val="00570E09"/>
    <w:rsid w:val="005712A6"/>
    <w:rsid w:val="00571318"/>
    <w:rsid w:val="00571387"/>
    <w:rsid w:val="005714A5"/>
    <w:rsid w:val="0057152C"/>
    <w:rsid w:val="005718A2"/>
    <w:rsid w:val="00571C80"/>
    <w:rsid w:val="00571D0E"/>
    <w:rsid w:val="00571F3F"/>
    <w:rsid w:val="00571FB0"/>
    <w:rsid w:val="00572091"/>
    <w:rsid w:val="005728A6"/>
    <w:rsid w:val="00572A49"/>
    <w:rsid w:val="005730E7"/>
    <w:rsid w:val="005731A7"/>
    <w:rsid w:val="0057323E"/>
    <w:rsid w:val="0057331C"/>
    <w:rsid w:val="005737BB"/>
    <w:rsid w:val="00573E0E"/>
    <w:rsid w:val="00573EAE"/>
    <w:rsid w:val="00573F85"/>
    <w:rsid w:val="00574111"/>
    <w:rsid w:val="00574251"/>
    <w:rsid w:val="005743D3"/>
    <w:rsid w:val="005744B2"/>
    <w:rsid w:val="005745E4"/>
    <w:rsid w:val="005746EE"/>
    <w:rsid w:val="005749BD"/>
    <w:rsid w:val="00574A13"/>
    <w:rsid w:val="00574D02"/>
    <w:rsid w:val="00575348"/>
    <w:rsid w:val="00575B6C"/>
    <w:rsid w:val="00575D1C"/>
    <w:rsid w:val="00575D3A"/>
    <w:rsid w:val="00575FD7"/>
    <w:rsid w:val="00576131"/>
    <w:rsid w:val="00576190"/>
    <w:rsid w:val="005764C7"/>
    <w:rsid w:val="00576976"/>
    <w:rsid w:val="005769DD"/>
    <w:rsid w:val="00576B49"/>
    <w:rsid w:val="00576B79"/>
    <w:rsid w:val="00576CCA"/>
    <w:rsid w:val="00576D2B"/>
    <w:rsid w:val="00577707"/>
    <w:rsid w:val="00577828"/>
    <w:rsid w:val="0058004D"/>
    <w:rsid w:val="00580111"/>
    <w:rsid w:val="0058082E"/>
    <w:rsid w:val="00580A4B"/>
    <w:rsid w:val="00580BF4"/>
    <w:rsid w:val="00580EA4"/>
    <w:rsid w:val="00580F26"/>
    <w:rsid w:val="00580F90"/>
    <w:rsid w:val="00581670"/>
    <w:rsid w:val="005817E8"/>
    <w:rsid w:val="00581A86"/>
    <w:rsid w:val="00581B6C"/>
    <w:rsid w:val="00582EF0"/>
    <w:rsid w:val="005836AD"/>
    <w:rsid w:val="005837FA"/>
    <w:rsid w:val="005839AB"/>
    <w:rsid w:val="005839DF"/>
    <w:rsid w:val="00583DC2"/>
    <w:rsid w:val="005840F1"/>
    <w:rsid w:val="00584212"/>
    <w:rsid w:val="00584291"/>
    <w:rsid w:val="005842F3"/>
    <w:rsid w:val="00584603"/>
    <w:rsid w:val="00584B36"/>
    <w:rsid w:val="005852EE"/>
    <w:rsid w:val="005852FD"/>
    <w:rsid w:val="005853F5"/>
    <w:rsid w:val="00585D1C"/>
    <w:rsid w:val="00585DE4"/>
    <w:rsid w:val="00586133"/>
    <w:rsid w:val="00586648"/>
    <w:rsid w:val="00586F52"/>
    <w:rsid w:val="00587154"/>
    <w:rsid w:val="0058780A"/>
    <w:rsid w:val="0058780B"/>
    <w:rsid w:val="005907CE"/>
    <w:rsid w:val="00590C23"/>
    <w:rsid w:val="00590EA8"/>
    <w:rsid w:val="0059136B"/>
    <w:rsid w:val="00591416"/>
    <w:rsid w:val="00591C45"/>
    <w:rsid w:val="00591C4B"/>
    <w:rsid w:val="00591E38"/>
    <w:rsid w:val="00591FC5"/>
    <w:rsid w:val="00592066"/>
    <w:rsid w:val="00592547"/>
    <w:rsid w:val="00592BFF"/>
    <w:rsid w:val="005931DD"/>
    <w:rsid w:val="0059331D"/>
    <w:rsid w:val="00593AEE"/>
    <w:rsid w:val="00593BDC"/>
    <w:rsid w:val="00593ED3"/>
    <w:rsid w:val="00593EEB"/>
    <w:rsid w:val="00593F27"/>
    <w:rsid w:val="00594302"/>
    <w:rsid w:val="00594438"/>
    <w:rsid w:val="00594500"/>
    <w:rsid w:val="00594600"/>
    <w:rsid w:val="00594B58"/>
    <w:rsid w:val="00594C6C"/>
    <w:rsid w:val="00594C81"/>
    <w:rsid w:val="00594E06"/>
    <w:rsid w:val="00595205"/>
    <w:rsid w:val="00595454"/>
    <w:rsid w:val="00595475"/>
    <w:rsid w:val="00595BEA"/>
    <w:rsid w:val="00595DAD"/>
    <w:rsid w:val="00596281"/>
    <w:rsid w:val="00596392"/>
    <w:rsid w:val="005963BA"/>
    <w:rsid w:val="0059645D"/>
    <w:rsid w:val="0059660F"/>
    <w:rsid w:val="0059689C"/>
    <w:rsid w:val="005968B9"/>
    <w:rsid w:val="00596968"/>
    <w:rsid w:val="005969C9"/>
    <w:rsid w:val="00596C57"/>
    <w:rsid w:val="00596D26"/>
    <w:rsid w:val="00596E1F"/>
    <w:rsid w:val="00596FF9"/>
    <w:rsid w:val="00597300"/>
    <w:rsid w:val="00597496"/>
    <w:rsid w:val="00597A11"/>
    <w:rsid w:val="00597AF1"/>
    <w:rsid w:val="00597F17"/>
    <w:rsid w:val="005A0745"/>
    <w:rsid w:val="005A0859"/>
    <w:rsid w:val="005A0B62"/>
    <w:rsid w:val="005A0DE3"/>
    <w:rsid w:val="005A0E95"/>
    <w:rsid w:val="005A0F43"/>
    <w:rsid w:val="005A1508"/>
    <w:rsid w:val="005A15A5"/>
    <w:rsid w:val="005A16BF"/>
    <w:rsid w:val="005A1A10"/>
    <w:rsid w:val="005A1BF6"/>
    <w:rsid w:val="005A1EE7"/>
    <w:rsid w:val="005A23C8"/>
    <w:rsid w:val="005A2450"/>
    <w:rsid w:val="005A2472"/>
    <w:rsid w:val="005A25D0"/>
    <w:rsid w:val="005A2612"/>
    <w:rsid w:val="005A276F"/>
    <w:rsid w:val="005A2796"/>
    <w:rsid w:val="005A2897"/>
    <w:rsid w:val="005A2F26"/>
    <w:rsid w:val="005A3014"/>
    <w:rsid w:val="005A314B"/>
    <w:rsid w:val="005A33B3"/>
    <w:rsid w:val="005A3C83"/>
    <w:rsid w:val="005A3DFB"/>
    <w:rsid w:val="005A3EB2"/>
    <w:rsid w:val="005A3ED8"/>
    <w:rsid w:val="005A429F"/>
    <w:rsid w:val="005A42B8"/>
    <w:rsid w:val="005A4488"/>
    <w:rsid w:val="005A4A92"/>
    <w:rsid w:val="005A4C41"/>
    <w:rsid w:val="005A4DD8"/>
    <w:rsid w:val="005A53FD"/>
    <w:rsid w:val="005A5415"/>
    <w:rsid w:val="005A5564"/>
    <w:rsid w:val="005A55C2"/>
    <w:rsid w:val="005A573C"/>
    <w:rsid w:val="005A5865"/>
    <w:rsid w:val="005A58F7"/>
    <w:rsid w:val="005A5A29"/>
    <w:rsid w:val="005A64B7"/>
    <w:rsid w:val="005A65E3"/>
    <w:rsid w:val="005A6992"/>
    <w:rsid w:val="005A6DE4"/>
    <w:rsid w:val="005A7147"/>
    <w:rsid w:val="005A7183"/>
    <w:rsid w:val="005A79CC"/>
    <w:rsid w:val="005A7CC2"/>
    <w:rsid w:val="005B0865"/>
    <w:rsid w:val="005B1404"/>
    <w:rsid w:val="005B15E2"/>
    <w:rsid w:val="005B184A"/>
    <w:rsid w:val="005B1AC4"/>
    <w:rsid w:val="005B207A"/>
    <w:rsid w:val="005B20E3"/>
    <w:rsid w:val="005B21E5"/>
    <w:rsid w:val="005B240E"/>
    <w:rsid w:val="005B2516"/>
    <w:rsid w:val="005B29F9"/>
    <w:rsid w:val="005B2C66"/>
    <w:rsid w:val="005B3030"/>
    <w:rsid w:val="005B331F"/>
    <w:rsid w:val="005B35B0"/>
    <w:rsid w:val="005B3682"/>
    <w:rsid w:val="005B3812"/>
    <w:rsid w:val="005B40FD"/>
    <w:rsid w:val="005B424A"/>
    <w:rsid w:val="005B4291"/>
    <w:rsid w:val="005B4437"/>
    <w:rsid w:val="005B489E"/>
    <w:rsid w:val="005B4A4C"/>
    <w:rsid w:val="005B4FBF"/>
    <w:rsid w:val="005B5060"/>
    <w:rsid w:val="005B543F"/>
    <w:rsid w:val="005B57C9"/>
    <w:rsid w:val="005B57E0"/>
    <w:rsid w:val="005B5B99"/>
    <w:rsid w:val="005B5D29"/>
    <w:rsid w:val="005B5F55"/>
    <w:rsid w:val="005B6146"/>
    <w:rsid w:val="005B61D8"/>
    <w:rsid w:val="005B66F1"/>
    <w:rsid w:val="005B692A"/>
    <w:rsid w:val="005B6B35"/>
    <w:rsid w:val="005B6C95"/>
    <w:rsid w:val="005B6D6E"/>
    <w:rsid w:val="005B7136"/>
    <w:rsid w:val="005B7353"/>
    <w:rsid w:val="005B743C"/>
    <w:rsid w:val="005B77B2"/>
    <w:rsid w:val="005B77EF"/>
    <w:rsid w:val="005B7800"/>
    <w:rsid w:val="005B795A"/>
    <w:rsid w:val="005B7B67"/>
    <w:rsid w:val="005B7EF0"/>
    <w:rsid w:val="005B7FE5"/>
    <w:rsid w:val="005C0145"/>
    <w:rsid w:val="005C0682"/>
    <w:rsid w:val="005C069E"/>
    <w:rsid w:val="005C06F2"/>
    <w:rsid w:val="005C071E"/>
    <w:rsid w:val="005C09EE"/>
    <w:rsid w:val="005C0F9B"/>
    <w:rsid w:val="005C0FFF"/>
    <w:rsid w:val="005C177E"/>
    <w:rsid w:val="005C1BCB"/>
    <w:rsid w:val="005C1FD3"/>
    <w:rsid w:val="005C1FFC"/>
    <w:rsid w:val="005C2154"/>
    <w:rsid w:val="005C2575"/>
    <w:rsid w:val="005C279C"/>
    <w:rsid w:val="005C297C"/>
    <w:rsid w:val="005C2B88"/>
    <w:rsid w:val="005C2C15"/>
    <w:rsid w:val="005C2C49"/>
    <w:rsid w:val="005C375C"/>
    <w:rsid w:val="005C3AD3"/>
    <w:rsid w:val="005C3B83"/>
    <w:rsid w:val="005C3CE1"/>
    <w:rsid w:val="005C40D5"/>
    <w:rsid w:val="005C428D"/>
    <w:rsid w:val="005C42BA"/>
    <w:rsid w:val="005C478D"/>
    <w:rsid w:val="005C4835"/>
    <w:rsid w:val="005C48FA"/>
    <w:rsid w:val="005C4DB3"/>
    <w:rsid w:val="005C50C5"/>
    <w:rsid w:val="005C51F3"/>
    <w:rsid w:val="005C5376"/>
    <w:rsid w:val="005C53DB"/>
    <w:rsid w:val="005C6130"/>
    <w:rsid w:val="005C633A"/>
    <w:rsid w:val="005C672C"/>
    <w:rsid w:val="005C6747"/>
    <w:rsid w:val="005C68D7"/>
    <w:rsid w:val="005C75B9"/>
    <w:rsid w:val="005C76FA"/>
    <w:rsid w:val="005C7A24"/>
    <w:rsid w:val="005C7B81"/>
    <w:rsid w:val="005C7C23"/>
    <w:rsid w:val="005C7C77"/>
    <w:rsid w:val="005C7C85"/>
    <w:rsid w:val="005C7D20"/>
    <w:rsid w:val="005C7D5C"/>
    <w:rsid w:val="005D03CD"/>
    <w:rsid w:val="005D04F4"/>
    <w:rsid w:val="005D0750"/>
    <w:rsid w:val="005D0AA0"/>
    <w:rsid w:val="005D0B04"/>
    <w:rsid w:val="005D1450"/>
    <w:rsid w:val="005D1498"/>
    <w:rsid w:val="005D1637"/>
    <w:rsid w:val="005D1816"/>
    <w:rsid w:val="005D1F39"/>
    <w:rsid w:val="005D20D9"/>
    <w:rsid w:val="005D24C8"/>
    <w:rsid w:val="005D2613"/>
    <w:rsid w:val="005D29AD"/>
    <w:rsid w:val="005D2E4D"/>
    <w:rsid w:val="005D2E95"/>
    <w:rsid w:val="005D2F06"/>
    <w:rsid w:val="005D33A4"/>
    <w:rsid w:val="005D382A"/>
    <w:rsid w:val="005D3844"/>
    <w:rsid w:val="005D38E7"/>
    <w:rsid w:val="005D39B4"/>
    <w:rsid w:val="005D3AB8"/>
    <w:rsid w:val="005D412B"/>
    <w:rsid w:val="005D42F1"/>
    <w:rsid w:val="005D43BC"/>
    <w:rsid w:val="005D4576"/>
    <w:rsid w:val="005D4BFD"/>
    <w:rsid w:val="005D4DB2"/>
    <w:rsid w:val="005D4FD9"/>
    <w:rsid w:val="005D525D"/>
    <w:rsid w:val="005D58AA"/>
    <w:rsid w:val="005D598D"/>
    <w:rsid w:val="005D5992"/>
    <w:rsid w:val="005D5AC8"/>
    <w:rsid w:val="005D5CB6"/>
    <w:rsid w:val="005D600C"/>
    <w:rsid w:val="005D6168"/>
    <w:rsid w:val="005D6405"/>
    <w:rsid w:val="005D68C8"/>
    <w:rsid w:val="005D6917"/>
    <w:rsid w:val="005D69BF"/>
    <w:rsid w:val="005D779F"/>
    <w:rsid w:val="005D7C46"/>
    <w:rsid w:val="005D7CB0"/>
    <w:rsid w:val="005D7EA3"/>
    <w:rsid w:val="005E01D0"/>
    <w:rsid w:val="005E06E3"/>
    <w:rsid w:val="005E070D"/>
    <w:rsid w:val="005E0DB4"/>
    <w:rsid w:val="005E0F00"/>
    <w:rsid w:val="005E106E"/>
    <w:rsid w:val="005E1179"/>
    <w:rsid w:val="005E11F0"/>
    <w:rsid w:val="005E12AC"/>
    <w:rsid w:val="005E132D"/>
    <w:rsid w:val="005E13E5"/>
    <w:rsid w:val="005E13F0"/>
    <w:rsid w:val="005E152F"/>
    <w:rsid w:val="005E15B7"/>
    <w:rsid w:val="005E19A3"/>
    <w:rsid w:val="005E1AD1"/>
    <w:rsid w:val="005E1F29"/>
    <w:rsid w:val="005E2003"/>
    <w:rsid w:val="005E2349"/>
    <w:rsid w:val="005E28EE"/>
    <w:rsid w:val="005E2AE3"/>
    <w:rsid w:val="005E2B71"/>
    <w:rsid w:val="005E2BFB"/>
    <w:rsid w:val="005E2F2D"/>
    <w:rsid w:val="005E3131"/>
    <w:rsid w:val="005E370E"/>
    <w:rsid w:val="005E392D"/>
    <w:rsid w:val="005E3B0C"/>
    <w:rsid w:val="005E438C"/>
    <w:rsid w:val="005E4504"/>
    <w:rsid w:val="005E483D"/>
    <w:rsid w:val="005E4BC2"/>
    <w:rsid w:val="005E4E05"/>
    <w:rsid w:val="005E5123"/>
    <w:rsid w:val="005E53A0"/>
    <w:rsid w:val="005E5649"/>
    <w:rsid w:val="005E574D"/>
    <w:rsid w:val="005E5847"/>
    <w:rsid w:val="005E5951"/>
    <w:rsid w:val="005E59C9"/>
    <w:rsid w:val="005E5F4B"/>
    <w:rsid w:val="005E6026"/>
    <w:rsid w:val="005E6108"/>
    <w:rsid w:val="005E6140"/>
    <w:rsid w:val="005E6475"/>
    <w:rsid w:val="005E6919"/>
    <w:rsid w:val="005E6BAC"/>
    <w:rsid w:val="005E71DF"/>
    <w:rsid w:val="005E7435"/>
    <w:rsid w:val="005E75F0"/>
    <w:rsid w:val="005E7A19"/>
    <w:rsid w:val="005E7AA5"/>
    <w:rsid w:val="005E7B63"/>
    <w:rsid w:val="005E7B7E"/>
    <w:rsid w:val="005E7C56"/>
    <w:rsid w:val="005F0249"/>
    <w:rsid w:val="005F02CC"/>
    <w:rsid w:val="005F059F"/>
    <w:rsid w:val="005F0892"/>
    <w:rsid w:val="005F0A30"/>
    <w:rsid w:val="005F0B31"/>
    <w:rsid w:val="005F0CA4"/>
    <w:rsid w:val="005F1269"/>
    <w:rsid w:val="005F1394"/>
    <w:rsid w:val="005F14FE"/>
    <w:rsid w:val="005F17D1"/>
    <w:rsid w:val="005F19EA"/>
    <w:rsid w:val="005F1AFA"/>
    <w:rsid w:val="005F1BF3"/>
    <w:rsid w:val="005F1D4F"/>
    <w:rsid w:val="005F1E3F"/>
    <w:rsid w:val="005F1F09"/>
    <w:rsid w:val="005F2002"/>
    <w:rsid w:val="005F2243"/>
    <w:rsid w:val="005F2395"/>
    <w:rsid w:val="005F2962"/>
    <w:rsid w:val="005F2A57"/>
    <w:rsid w:val="005F2B65"/>
    <w:rsid w:val="005F2F25"/>
    <w:rsid w:val="005F3C41"/>
    <w:rsid w:val="005F3E34"/>
    <w:rsid w:val="005F409E"/>
    <w:rsid w:val="005F45AE"/>
    <w:rsid w:val="005F4E2D"/>
    <w:rsid w:val="005F509C"/>
    <w:rsid w:val="005F5A99"/>
    <w:rsid w:val="005F5CB1"/>
    <w:rsid w:val="005F5E31"/>
    <w:rsid w:val="005F6E1A"/>
    <w:rsid w:val="005F6F0E"/>
    <w:rsid w:val="005F7A08"/>
    <w:rsid w:val="005F7AD8"/>
    <w:rsid w:val="006004C1"/>
    <w:rsid w:val="006004E6"/>
    <w:rsid w:val="006006F3"/>
    <w:rsid w:val="006006FE"/>
    <w:rsid w:val="00600CA4"/>
    <w:rsid w:val="00600CDB"/>
    <w:rsid w:val="00600D1C"/>
    <w:rsid w:val="0060148A"/>
    <w:rsid w:val="006015DF"/>
    <w:rsid w:val="0060177E"/>
    <w:rsid w:val="006018CD"/>
    <w:rsid w:val="00601B61"/>
    <w:rsid w:val="006024A0"/>
    <w:rsid w:val="00602743"/>
    <w:rsid w:val="00602758"/>
    <w:rsid w:val="00602ABC"/>
    <w:rsid w:val="00602BAD"/>
    <w:rsid w:val="00603132"/>
    <w:rsid w:val="0060343F"/>
    <w:rsid w:val="006036B3"/>
    <w:rsid w:val="006038FA"/>
    <w:rsid w:val="00603A27"/>
    <w:rsid w:val="00603E63"/>
    <w:rsid w:val="006042C4"/>
    <w:rsid w:val="00604361"/>
    <w:rsid w:val="006045FD"/>
    <w:rsid w:val="006046B6"/>
    <w:rsid w:val="00604CCE"/>
    <w:rsid w:val="0060514D"/>
    <w:rsid w:val="006053A8"/>
    <w:rsid w:val="0060556D"/>
    <w:rsid w:val="006057BA"/>
    <w:rsid w:val="0060590B"/>
    <w:rsid w:val="006059F9"/>
    <w:rsid w:val="006059FB"/>
    <w:rsid w:val="00605C22"/>
    <w:rsid w:val="00605DB2"/>
    <w:rsid w:val="00605E04"/>
    <w:rsid w:val="00606109"/>
    <w:rsid w:val="00606165"/>
    <w:rsid w:val="00606466"/>
    <w:rsid w:val="0060684E"/>
    <w:rsid w:val="00606A40"/>
    <w:rsid w:val="00606A80"/>
    <w:rsid w:val="006071F7"/>
    <w:rsid w:val="0060720B"/>
    <w:rsid w:val="0060743A"/>
    <w:rsid w:val="00607DC2"/>
    <w:rsid w:val="00607E56"/>
    <w:rsid w:val="00607F20"/>
    <w:rsid w:val="00610121"/>
    <w:rsid w:val="00610185"/>
    <w:rsid w:val="00610A49"/>
    <w:rsid w:val="00610BB3"/>
    <w:rsid w:val="00610F84"/>
    <w:rsid w:val="0061193C"/>
    <w:rsid w:val="0061195B"/>
    <w:rsid w:val="00611A96"/>
    <w:rsid w:val="00611AE3"/>
    <w:rsid w:val="00611DBD"/>
    <w:rsid w:val="00611EA6"/>
    <w:rsid w:val="00611F92"/>
    <w:rsid w:val="00612190"/>
    <w:rsid w:val="006123D0"/>
    <w:rsid w:val="0061241D"/>
    <w:rsid w:val="00612599"/>
    <w:rsid w:val="00612930"/>
    <w:rsid w:val="00612A78"/>
    <w:rsid w:val="00612C61"/>
    <w:rsid w:val="00612F1C"/>
    <w:rsid w:val="006130BC"/>
    <w:rsid w:val="006133ED"/>
    <w:rsid w:val="00613BEF"/>
    <w:rsid w:val="00613DD9"/>
    <w:rsid w:val="00613F32"/>
    <w:rsid w:val="006141B2"/>
    <w:rsid w:val="00614232"/>
    <w:rsid w:val="00614A45"/>
    <w:rsid w:val="00614C46"/>
    <w:rsid w:val="00614CC5"/>
    <w:rsid w:val="00615099"/>
    <w:rsid w:val="00615193"/>
    <w:rsid w:val="0061524D"/>
    <w:rsid w:val="00615372"/>
    <w:rsid w:val="0061581C"/>
    <w:rsid w:val="00615FD3"/>
    <w:rsid w:val="00616489"/>
    <w:rsid w:val="006167ED"/>
    <w:rsid w:val="00616997"/>
    <w:rsid w:val="006169EC"/>
    <w:rsid w:val="00616A94"/>
    <w:rsid w:val="00616CFF"/>
    <w:rsid w:val="006174CA"/>
    <w:rsid w:val="006177A7"/>
    <w:rsid w:val="00617D61"/>
    <w:rsid w:val="00617F03"/>
    <w:rsid w:val="0062008D"/>
    <w:rsid w:val="006200CB"/>
    <w:rsid w:val="00620251"/>
    <w:rsid w:val="006203CC"/>
    <w:rsid w:val="00620732"/>
    <w:rsid w:val="00620A91"/>
    <w:rsid w:val="00620AFF"/>
    <w:rsid w:val="0062108C"/>
    <w:rsid w:val="006210F3"/>
    <w:rsid w:val="006214A3"/>
    <w:rsid w:val="006216C2"/>
    <w:rsid w:val="006216D1"/>
    <w:rsid w:val="00621989"/>
    <w:rsid w:val="00621B66"/>
    <w:rsid w:val="00621BBE"/>
    <w:rsid w:val="006220A3"/>
    <w:rsid w:val="00622256"/>
    <w:rsid w:val="0062275D"/>
    <w:rsid w:val="00622C53"/>
    <w:rsid w:val="00622E93"/>
    <w:rsid w:val="0062333E"/>
    <w:rsid w:val="006233FA"/>
    <w:rsid w:val="00623630"/>
    <w:rsid w:val="0062384E"/>
    <w:rsid w:val="00623A55"/>
    <w:rsid w:val="00623D76"/>
    <w:rsid w:val="00623F1B"/>
    <w:rsid w:val="006240FE"/>
    <w:rsid w:val="0062464D"/>
    <w:rsid w:val="00624746"/>
    <w:rsid w:val="00624AB0"/>
    <w:rsid w:val="00624D74"/>
    <w:rsid w:val="00624F5A"/>
    <w:rsid w:val="00624F7B"/>
    <w:rsid w:val="006253B8"/>
    <w:rsid w:val="006253CD"/>
    <w:rsid w:val="006253F4"/>
    <w:rsid w:val="0062548A"/>
    <w:rsid w:val="0062554D"/>
    <w:rsid w:val="006255F2"/>
    <w:rsid w:val="00625618"/>
    <w:rsid w:val="00625B42"/>
    <w:rsid w:val="00625F2B"/>
    <w:rsid w:val="006263C8"/>
    <w:rsid w:val="00626518"/>
    <w:rsid w:val="00626792"/>
    <w:rsid w:val="00626DE2"/>
    <w:rsid w:val="00626F8E"/>
    <w:rsid w:val="00627797"/>
    <w:rsid w:val="00627849"/>
    <w:rsid w:val="00627D8E"/>
    <w:rsid w:val="00627E8E"/>
    <w:rsid w:val="00627EFB"/>
    <w:rsid w:val="00627FE0"/>
    <w:rsid w:val="00630553"/>
    <w:rsid w:val="00630597"/>
    <w:rsid w:val="00630C3F"/>
    <w:rsid w:val="00630C66"/>
    <w:rsid w:val="00630E7E"/>
    <w:rsid w:val="006314BD"/>
    <w:rsid w:val="00631513"/>
    <w:rsid w:val="006319C1"/>
    <w:rsid w:val="00631A50"/>
    <w:rsid w:val="00631A94"/>
    <w:rsid w:val="0063255B"/>
    <w:rsid w:val="006327D9"/>
    <w:rsid w:val="00632EB5"/>
    <w:rsid w:val="00632F6B"/>
    <w:rsid w:val="0063320A"/>
    <w:rsid w:val="00633679"/>
    <w:rsid w:val="006337E6"/>
    <w:rsid w:val="00633941"/>
    <w:rsid w:val="00633DE6"/>
    <w:rsid w:val="00634495"/>
    <w:rsid w:val="006347AE"/>
    <w:rsid w:val="00634EA0"/>
    <w:rsid w:val="00634EEB"/>
    <w:rsid w:val="00635554"/>
    <w:rsid w:val="00635862"/>
    <w:rsid w:val="00635C3F"/>
    <w:rsid w:val="0063616F"/>
    <w:rsid w:val="00636174"/>
    <w:rsid w:val="00636785"/>
    <w:rsid w:val="006367B7"/>
    <w:rsid w:val="00636983"/>
    <w:rsid w:val="00636DF2"/>
    <w:rsid w:val="00636E6C"/>
    <w:rsid w:val="00637017"/>
    <w:rsid w:val="00637170"/>
    <w:rsid w:val="00637184"/>
    <w:rsid w:val="0063725B"/>
    <w:rsid w:val="00637381"/>
    <w:rsid w:val="00637644"/>
    <w:rsid w:val="00637682"/>
    <w:rsid w:val="00637979"/>
    <w:rsid w:val="00637DFE"/>
    <w:rsid w:val="00637FA4"/>
    <w:rsid w:val="00640024"/>
    <w:rsid w:val="00640119"/>
    <w:rsid w:val="00640687"/>
    <w:rsid w:val="00640899"/>
    <w:rsid w:val="00640F9D"/>
    <w:rsid w:val="006411FB"/>
    <w:rsid w:val="00641765"/>
    <w:rsid w:val="00641C3E"/>
    <w:rsid w:val="00641F56"/>
    <w:rsid w:val="00642229"/>
    <w:rsid w:val="00642619"/>
    <w:rsid w:val="006427C6"/>
    <w:rsid w:val="00642878"/>
    <w:rsid w:val="00642AE6"/>
    <w:rsid w:val="00642BC4"/>
    <w:rsid w:val="00642BD0"/>
    <w:rsid w:val="00642D04"/>
    <w:rsid w:val="00643A91"/>
    <w:rsid w:val="00643D59"/>
    <w:rsid w:val="00643E1C"/>
    <w:rsid w:val="00644476"/>
    <w:rsid w:val="00644C28"/>
    <w:rsid w:val="00644F1B"/>
    <w:rsid w:val="006450D2"/>
    <w:rsid w:val="0064565B"/>
    <w:rsid w:val="0064580F"/>
    <w:rsid w:val="00645CFC"/>
    <w:rsid w:val="00645E8E"/>
    <w:rsid w:val="00646127"/>
    <w:rsid w:val="006462D2"/>
    <w:rsid w:val="006468A3"/>
    <w:rsid w:val="00646B5D"/>
    <w:rsid w:val="00646E3E"/>
    <w:rsid w:val="00646EB3"/>
    <w:rsid w:val="00646F7B"/>
    <w:rsid w:val="00647048"/>
    <w:rsid w:val="006472A4"/>
    <w:rsid w:val="00647360"/>
    <w:rsid w:val="00647687"/>
    <w:rsid w:val="00647955"/>
    <w:rsid w:val="00647A81"/>
    <w:rsid w:val="00650267"/>
    <w:rsid w:val="0065067C"/>
    <w:rsid w:val="0065075A"/>
    <w:rsid w:val="0065077E"/>
    <w:rsid w:val="00650927"/>
    <w:rsid w:val="00650CB4"/>
    <w:rsid w:val="00650D6C"/>
    <w:rsid w:val="00650E09"/>
    <w:rsid w:val="00650E29"/>
    <w:rsid w:val="00650F0E"/>
    <w:rsid w:val="006512D8"/>
    <w:rsid w:val="00651379"/>
    <w:rsid w:val="00651689"/>
    <w:rsid w:val="00651864"/>
    <w:rsid w:val="00651CDC"/>
    <w:rsid w:val="00651E73"/>
    <w:rsid w:val="00651FCA"/>
    <w:rsid w:val="006527C4"/>
    <w:rsid w:val="006527D6"/>
    <w:rsid w:val="00652CEA"/>
    <w:rsid w:val="0065335E"/>
    <w:rsid w:val="00653A60"/>
    <w:rsid w:val="00653B7E"/>
    <w:rsid w:val="00653C7B"/>
    <w:rsid w:val="00653E36"/>
    <w:rsid w:val="0065432A"/>
    <w:rsid w:val="00654395"/>
    <w:rsid w:val="0065444F"/>
    <w:rsid w:val="00654AA6"/>
    <w:rsid w:val="00654D89"/>
    <w:rsid w:val="00655104"/>
    <w:rsid w:val="0065518C"/>
    <w:rsid w:val="006551EE"/>
    <w:rsid w:val="00655242"/>
    <w:rsid w:val="00655805"/>
    <w:rsid w:val="00655A4C"/>
    <w:rsid w:val="00655BC0"/>
    <w:rsid w:val="006564E7"/>
    <w:rsid w:val="00656A8B"/>
    <w:rsid w:val="00656C0D"/>
    <w:rsid w:val="00656F8D"/>
    <w:rsid w:val="00656FD8"/>
    <w:rsid w:val="0065704B"/>
    <w:rsid w:val="00657342"/>
    <w:rsid w:val="00657A2C"/>
    <w:rsid w:val="00657A81"/>
    <w:rsid w:val="00657ACB"/>
    <w:rsid w:val="00657B06"/>
    <w:rsid w:val="006606D2"/>
    <w:rsid w:val="006607CE"/>
    <w:rsid w:val="00660831"/>
    <w:rsid w:val="00660B14"/>
    <w:rsid w:val="00660DB5"/>
    <w:rsid w:val="00660EA6"/>
    <w:rsid w:val="00660ECF"/>
    <w:rsid w:val="00661157"/>
    <w:rsid w:val="006612FF"/>
    <w:rsid w:val="00661626"/>
    <w:rsid w:val="006616E3"/>
    <w:rsid w:val="006617B0"/>
    <w:rsid w:val="006617DB"/>
    <w:rsid w:val="00661F7A"/>
    <w:rsid w:val="00662042"/>
    <w:rsid w:val="0066289A"/>
    <w:rsid w:val="00662D77"/>
    <w:rsid w:val="00662F72"/>
    <w:rsid w:val="00662FFA"/>
    <w:rsid w:val="006633A8"/>
    <w:rsid w:val="00663D07"/>
    <w:rsid w:val="0066416A"/>
    <w:rsid w:val="006645E0"/>
    <w:rsid w:val="0066474B"/>
    <w:rsid w:val="00664A50"/>
    <w:rsid w:val="00664C02"/>
    <w:rsid w:val="00664F34"/>
    <w:rsid w:val="00664FA3"/>
    <w:rsid w:val="0066524F"/>
    <w:rsid w:val="00665365"/>
    <w:rsid w:val="0066536F"/>
    <w:rsid w:val="0066576E"/>
    <w:rsid w:val="0066578B"/>
    <w:rsid w:val="0066584F"/>
    <w:rsid w:val="0066599D"/>
    <w:rsid w:val="00665CE5"/>
    <w:rsid w:val="006664C2"/>
    <w:rsid w:val="00666B2A"/>
    <w:rsid w:val="00666EEC"/>
    <w:rsid w:val="006673B0"/>
    <w:rsid w:val="00667532"/>
    <w:rsid w:val="006678BA"/>
    <w:rsid w:val="00667A0F"/>
    <w:rsid w:val="00667C17"/>
    <w:rsid w:val="00667E0C"/>
    <w:rsid w:val="00667F10"/>
    <w:rsid w:val="00670146"/>
    <w:rsid w:val="0067067E"/>
    <w:rsid w:val="0067081C"/>
    <w:rsid w:val="0067086E"/>
    <w:rsid w:val="00670E76"/>
    <w:rsid w:val="00670FF0"/>
    <w:rsid w:val="00671018"/>
    <w:rsid w:val="0067119E"/>
    <w:rsid w:val="006711AD"/>
    <w:rsid w:val="006713A7"/>
    <w:rsid w:val="0067189C"/>
    <w:rsid w:val="006719CF"/>
    <w:rsid w:val="006719D8"/>
    <w:rsid w:val="00671C56"/>
    <w:rsid w:val="00671F09"/>
    <w:rsid w:val="00671F58"/>
    <w:rsid w:val="00671F7E"/>
    <w:rsid w:val="00672776"/>
    <w:rsid w:val="006727BD"/>
    <w:rsid w:val="00672B7B"/>
    <w:rsid w:val="00672D03"/>
    <w:rsid w:val="00672E83"/>
    <w:rsid w:val="00672F11"/>
    <w:rsid w:val="006733EF"/>
    <w:rsid w:val="00673667"/>
    <w:rsid w:val="00673BC4"/>
    <w:rsid w:val="006743A6"/>
    <w:rsid w:val="00674822"/>
    <w:rsid w:val="00674B5E"/>
    <w:rsid w:val="00674C05"/>
    <w:rsid w:val="00674F3D"/>
    <w:rsid w:val="0067504E"/>
    <w:rsid w:val="006751CD"/>
    <w:rsid w:val="00675A1A"/>
    <w:rsid w:val="00675D55"/>
    <w:rsid w:val="00675E07"/>
    <w:rsid w:val="00676033"/>
    <w:rsid w:val="00676166"/>
    <w:rsid w:val="0067651A"/>
    <w:rsid w:val="00676653"/>
    <w:rsid w:val="006766C3"/>
    <w:rsid w:val="006766E8"/>
    <w:rsid w:val="00676790"/>
    <w:rsid w:val="0067693A"/>
    <w:rsid w:val="006769B2"/>
    <w:rsid w:val="00676AED"/>
    <w:rsid w:val="00676ED6"/>
    <w:rsid w:val="00677256"/>
    <w:rsid w:val="00677451"/>
    <w:rsid w:val="00677491"/>
    <w:rsid w:val="0067786E"/>
    <w:rsid w:val="00677966"/>
    <w:rsid w:val="00677F60"/>
    <w:rsid w:val="006801E9"/>
    <w:rsid w:val="00680271"/>
    <w:rsid w:val="00680294"/>
    <w:rsid w:val="006802E0"/>
    <w:rsid w:val="0068056F"/>
    <w:rsid w:val="00680800"/>
    <w:rsid w:val="0068095F"/>
    <w:rsid w:val="00680AD7"/>
    <w:rsid w:val="00681369"/>
    <w:rsid w:val="006813C9"/>
    <w:rsid w:val="006816D8"/>
    <w:rsid w:val="0068176E"/>
    <w:rsid w:val="006817BD"/>
    <w:rsid w:val="006819C2"/>
    <w:rsid w:val="00681E66"/>
    <w:rsid w:val="00682192"/>
    <w:rsid w:val="0068229C"/>
    <w:rsid w:val="006822C3"/>
    <w:rsid w:val="00682A17"/>
    <w:rsid w:val="00683620"/>
    <w:rsid w:val="0068373E"/>
    <w:rsid w:val="00684452"/>
    <w:rsid w:val="00684F53"/>
    <w:rsid w:val="00684FDB"/>
    <w:rsid w:val="006851CC"/>
    <w:rsid w:val="00685218"/>
    <w:rsid w:val="0068521D"/>
    <w:rsid w:val="006856B9"/>
    <w:rsid w:val="006857C9"/>
    <w:rsid w:val="00685E18"/>
    <w:rsid w:val="00686165"/>
    <w:rsid w:val="006862E7"/>
    <w:rsid w:val="00686325"/>
    <w:rsid w:val="006867EA"/>
    <w:rsid w:val="006869F3"/>
    <w:rsid w:val="00686A44"/>
    <w:rsid w:val="00686B1C"/>
    <w:rsid w:val="00686BB6"/>
    <w:rsid w:val="00686CDE"/>
    <w:rsid w:val="006871DE"/>
    <w:rsid w:val="0068787D"/>
    <w:rsid w:val="006879A6"/>
    <w:rsid w:val="0069025F"/>
    <w:rsid w:val="00690283"/>
    <w:rsid w:val="006905AF"/>
    <w:rsid w:val="00690694"/>
    <w:rsid w:val="00690740"/>
    <w:rsid w:val="00690A0B"/>
    <w:rsid w:val="00690A62"/>
    <w:rsid w:val="00690EFE"/>
    <w:rsid w:val="00690F6C"/>
    <w:rsid w:val="0069114A"/>
    <w:rsid w:val="0069174C"/>
    <w:rsid w:val="00691C17"/>
    <w:rsid w:val="00691D47"/>
    <w:rsid w:val="00691F67"/>
    <w:rsid w:val="00692043"/>
    <w:rsid w:val="00692082"/>
    <w:rsid w:val="0069225E"/>
    <w:rsid w:val="006922D7"/>
    <w:rsid w:val="00692560"/>
    <w:rsid w:val="006929E8"/>
    <w:rsid w:val="00692A30"/>
    <w:rsid w:val="00692A49"/>
    <w:rsid w:val="00692BD2"/>
    <w:rsid w:val="00692E00"/>
    <w:rsid w:val="00692E38"/>
    <w:rsid w:val="00692ECA"/>
    <w:rsid w:val="00693109"/>
    <w:rsid w:val="0069399C"/>
    <w:rsid w:val="00694406"/>
    <w:rsid w:val="0069456A"/>
    <w:rsid w:val="00694BD5"/>
    <w:rsid w:val="00694FB8"/>
    <w:rsid w:val="0069546C"/>
    <w:rsid w:val="00695475"/>
    <w:rsid w:val="00695B6B"/>
    <w:rsid w:val="00695C71"/>
    <w:rsid w:val="00695E88"/>
    <w:rsid w:val="006965F9"/>
    <w:rsid w:val="00696BC6"/>
    <w:rsid w:val="00696DD6"/>
    <w:rsid w:val="00696DFB"/>
    <w:rsid w:val="006971EE"/>
    <w:rsid w:val="00697204"/>
    <w:rsid w:val="006972E6"/>
    <w:rsid w:val="00697561"/>
    <w:rsid w:val="00697754"/>
    <w:rsid w:val="006977C4"/>
    <w:rsid w:val="006978B6"/>
    <w:rsid w:val="00697B76"/>
    <w:rsid w:val="00697CC4"/>
    <w:rsid w:val="00697E0D"/>
    <w:rsid w:val="006A03A9"/>
    <w:rsid w:val="006A04A1"/>
    <w:rsid w:val="006A05B3"/>
    <w:rsid w:val="006A09F4"/>
    <w:rsid w:val="006A1299"/>
    <w:rsid w:val="006A13B5"/>
    <w:rsid w:val="006A13B6"/>
    <w:rsid w:val="006A14CE"/>
    <w:rsid w:val="006A1504"/>
    <w:rsid w:val="006A19F8"/>
    <w:rsid w:val="006A1BAE"/>
    <w:rsid w:val="006A1D1E"/>
    <w:rsid w:val="006A1F5B"/>
    <w:rsid w:val="006A1FD7"/>
    <w:rsid w:val="006A2082"/>
    <w:rsid w:val="006A2168"/>
    <w:rsid w:val="006A2752"/>
    <w:rsid w:val="006A2A64"/>
    <w:rsid w:val="006A2D85"/>
    <w:rsid w:val="006A3068"/>
    <w:rsid w:val="006A30DB"/>
    <w:rsid w:val="006A3108"/>
    <w:rsid w:val="006A3530"/>
    <w:rsid w:val="006A377F"/>
    <w:rsid w:val="006A3853"/>
    <w:rsid w:val="006A3B4C"/>
    <w:rsid w:val="006A3CA9"/>
    <w:rsid w:val="006A3F59"/>
    <w:rsid w:val="006A489A"/>
    <w:rsid w:val="006A511E"/>
    <w:rsid w:val="006A53B2"/>
    <w:rsid w:val="006A5660"/>
    <w:rsid w:val="006A5E40"/>
    <w:rsid w:val="006A62F2"/>
    <w:rsid w:val="006A68FF"/>
    <w:rsid w:val="006A69F6"/>
    <w:rsid w:val="006A6EF2"/>
    <w:rsid w:val="006A708E"/>
    <w:rsid w:val="006A72C6"/>
    <w:rsid w:val="006A7456"/>
    <w:rsid w:val="006A79F0"/>
    <w:rsid w:val="006A7BC3"/>
    <w:rsid w:val="006A7E40"/>
    <w:rsid w:val="006B0047"/>
    <w:rsid w:val="006B028A"/>
    <w:rsid w:val="006B02D4"/>
    <w:rsid w:val="006B03AA"/>
    <w:rsid w:val="006B03D0"/>
    <w:rsid w:val="006B04C9"/>
    <w:rsid w:val="006B0734"/>
    <w:rsid w:val="006B0C3F"/>
    <w:rsid w:val="006B0D7B"/>
    <w:rsid w:val="006B0DD1"/>
    <w:rsid w:val="006B0F52"/>
    <w:rsid w:val="006B1281"/>
    <w:rsid w:val="006B136A"/>
    <w:rsid w:val="006B13B0"/>
    <w:rsid w:val="006B13E1"/>
    <w:rsid w:val="006B16CC"/>
    <w:rsid w:val="006B1787"/>
    <w:rsid w:val="006B187A"/>
    <w:rsid w:val="006B1881"/>
    <w:rsid w:val="006B1956"/>
    <w:rsid w:val="006B1A3E"/>
    <w:rsid w:val="006B1ADD"/>
    <w:rsid w:val="006B1D1D"/>
    <w:rsid w:val="006B258C"/>
    <w:rsid w:val="006B2D2C"/>
    <w:rsid w:val="006B3277"/>
    <w:rsid w:val="006B336B"/>
    <w:rsid w:val="006B354E"/>
    <w:rsid w:val="006B3C62"/>
    <w:rsid w:val="006B3CD5"/>
    <w:rsid w:val="006B3D0F"/>
    <w:rsid w:val="006B3E87"/>
    <w:rsid w:val="006B40D0"/>
    <w:rsid w:val="006B4396"/>
    <w:rsid w:val="006B44E4"/>
    <w:rsid w:val="006B4629"/>
    <w:rsid w:val="006B4C32"/>
    <w:rsid w:val="006B4E78"/>
    <w:rsid w:val="006B5162"/>
    <w:rsid w:val="006B517F"/>
    <w:rsid w:val="006B56B9"/>
    <w:rsid w:val="006B57B7"/>
    <w:rsid w:val="006B5A68"/>
    <w:rsid w:val="006B5D5A"/>
    <w:rsid w:val="006B5EBE"/>
    <w:rsid w:val="006B62B8"/>
    <w:rsid w:val="006B62FE"/>
    <w:rsid w:val="006B6338"/>
    <w:rsid w:val="006B6903"/>
    <w:rsid w:val="006B6933"/>
    <w:rsid w:val="006B6DDA"/>
    <w:rsid w:val="006B6E2B"/>
    <w:rsid w:val="006B73C2"/>
    <w:rsid w:val="006B73D4"/>
    <w:rsid w:val="006B75CE"/>
    <w:rsid w:val="006B763B"/>
    <w:rsid w:val="006B78CB"/>
    <w:rsid w:val="006B7B6C"/>
    <w:rsid w:val="006B7C8E"/>
    <w:rsid w:val="006C0036"/>
    <w:rsid w:val="006C014A"/>
    <w:rsid w:val="006C0238"/>
    <w:rsid w:val="006C093C"/>
    <w:rsid w:val="006C1132"/>
    <w:rsid w:val="006C1157"/>
    <w:rsid w:val="006C11D1"/>
    <w:rsid w:val="006C12A1"/>
    <w:rsid w:val="006C1442"/>
    <w:rsid w:val="006C167D"/>
    <w:rsid w:val="006C1741"/>
    <w:rsid w:val="006C1D19"/>
    <w:rsid w:val="006C1DA1"/>
    <w:rsid w:val="006C1E50"/>
    <w:rsid w:val="006C2135"/>
    <w:rsid w:val="006C223D"/>
    <w:rsid w:val="006C22E2"/>
    <w:rsid w:val="006C233B"/>
    <w:rsid w:val="006C240C"/>
    <w:rsid w:val="006C275F"/>
    <w:rsid w:val="006C28E6"/>
    <w:rsid w:val="006C2AB6"/>
    <w:rsid w:val="006C2D7A"/>
    <w:rsid w:val="006C3566"/>
    <w:rsid w:val="006C3742"/>
    <w:rsid w:val="006C386E"/>
    <w:rsid w:val="006C3D2E"/>
    <w:rsid w:val="006C3E27"/>
    <w:rsid w:val="006C3E97"/>
    <w:rsid w:val="006C4000"/>
    <w:rsid w:val="006C40C9"/>
    <w:rsid w:val="006C41A6"/>
    <w:rsid w:val="006C4301"/>
    <w:rsid w:val="006C4836"/>
    <w:rsid w:val="006C483F"/>
    <w:rsid w:val="006C4FAA"/>
    <w:rsid w:val="006C522D"/>
    <w:rsid w:val="006C5275"/>
    <w:rsid w:val="006C5543"/>
    <w:rsid w:val="006C56DC"/>
    <w:rsid w:val="006C5744"/>
    <w:rsid w:val="006C5B05"/>
    <w:rsid w:val="006C5E96"/>
    <w:rsid w:val="006C61C0"/>
    <w:rsid w:val="006C65F8"/>
    <w:rsid w:val="006C67EF"/>
    <w:rsid w:val="006C6CE3"/>
    <w:rsid w:val="006C6F28"/>
    <w:rsid w:val="006C73FC"/>
    <w:rsid w:val="006C757E"/>
    <w:rsid w:val="006C760F"/>
    <w:rsid w:val="006C76FC"/>
    <w:rsid w:val="006C7A22"/>
    <w:rsid w:val="006D0562"/>
    <w:rsid w:val="006D05B9"/>
    <w:rsid w:val="006D0618"/>
    <w:rsid w:val="006D06E8"/>
    <w:rsid w:val="006D06EB"/>
    <w:rsid w:val="006D0861"/>
    <w:rsid w:val="006D088A"/>
    <w:rsid w:val="006D0997"/>
    <w:rsid w:val="006D0E4D"/>
    <w:rsid w:val="006D1050"/>
    <w:rsid w:val="006D105D"/>
    <w:rsid w:val="006D1156"/>
    <w:rsid w:val="006D11F1"/>
    <w:rsid w:val="006D1324"/>
    <w:rsid w:val="006D1A3D"/>
    <w:rsid w:val="006D1A7C"/>
    <w:rsid w:val="006D1C10"/>
    <w:rsid w:val="006D2167"/>
    <w:rsid w:val="006D25F8"/>
    <w:rsid w:val="006D2C12"/>
    <w:rsid w:val="006D2E8C"/>
    <w:rsid w:val="006D34D1"/>
    <w:rsid w:val="006D3549"/>
    <w:rsid w:val="006D363B"/>
    <w:rsid w:val="006D37D6"/>
    <w:rsid w:val="006D387E"/>
    <w:rsid w:val="006D3B61"/>
    <w:rsid w:val="006D3D37"/>
    <w:rsid w:val="006D3FCD"/>
    <w:rsid w:val="006D427F"/>
    <w:rsid w:val="006D45BA"/>
    <w:rsid w:val="006D47FF"/>
    <w:rsid w:val="006D4DDA"/>
    <w:rsid w:val="006D4F93"/>
    <w:rsid w:val="006D54B2"/>
    <w:rsid w:val="006D559B"/>
    <w:rsid w:val="006D59F8"/>
    <w:rsid w:val="006D5CCC"/>
    <w:rsid w:val="006D5E4D"/>
    <w:rsid w:val="006D5FDD"/>
    <w:rsid w:val="006D66CE"/>
    <w:rsid w:val="006D68CB"/>
    <w:rsid w:val="006D6966"/>
    <w:rsid w:val="006D6A74"/>
    <w:rsid w:val="006D6C0D"/>
    <w:rsid w:val="006D7377"/>
    <w:rsid w:val="006D757B"/>
    <w:rsid w:val="006D75B1"/>
    <w:rsid w:val="006D76AB"/>
    <w:rsid w:val="006D779A"/>
    <w:rsid w:val="006D79C7"/>
    <w:rsid w:val="006D7CD9"/>
    <w:rsid w:val="006D7E0A"/>
    <w:rsid w:val="006D7E45"/>
    <w:rsid w:val="006D7E55"/>
    <w:rsid w:val="006E00CF"/>
    <w:rsid w:val="006E0365"/>
    <w:rsid w:val="006E062B"/>
    <w:rsid w:val="006E0719"/>
    <w:rsid w:val="006E0853"/>
    <w:rsid w:val="006E08DB"/>
    <w:rsid w:val="006E0D4F"/>
    <w:rsid w:val="006E0F24"/>
    <w:rsid w:val="006E0FE8"/>
    <w:rsid w:val="006E1128"/>
    <w:rsid w:val="006E1598"/>
    <w:rsid w:val="006E166E"/>
    <w:rsid w:val="006E21F0"/>
    <w:rsid w:val="006E25BB"/>
    <w:rsid w:val="006E2822"/>
    <w:rsid w:val="006E2E21"/>
    <w:rsid w:val="006E30CD"/>
    <w:rsid w:val="006E323B"/>
    <w:rsid w:val="006E3470"/>
    <w:rsid w:val="006E38F8"/>
    <w:rsid w:val="006E3AC1"/>
    <w:rsid w:val="006E3E95"/>
    <w:rsid w:val="006E3FC8"/>
    <w:rsid w:val="006E42B1"/>
    <w:rsid w:val="006E43D8"/>
    <w:rsid w:val="006E4501"/>
    <w:rsid w:val="006E45C8"/>
    <w:rsid w:val="006E476F"/>
    <w:rsid w:val="006E4787"/>
    <w:rsid w:val="006E4C69"/>
    <w:rsid w:val="006E4D80"/>
    <w:rsid w:val="006E4F87"/>
    <w:rsid w:val="006E509A"/>
    <w:rsid w:val="006E513B"/>
    <w:rsid w:val="006E517F"/>
    <w:rsid w:val="006E54B5"/>
    <w:rsid w:val="006E56E5"/>
    <w:rsid w:val="006E5EC3"/>
    <w:rsid w:val="006E5EF6"/>
    <w:rsid w:val="006E5FCF"/>
    <w:rsid w:val="006E604D"/>
    <w:rsid w:val="006E6605"/>
    <w:rsid w:val="006E660D"/>
    <w:rsid w:val="006E67E1"/>
    <w:rsid w:val="006E68F9"/>
    <w:rsid w:val="006E6ADF"/>
    <w:rsid w:val="006E6AEB"/>
    <w:rsid w:val="006E7118"/>
    <w:rsid w:val="006E7523"/>
    <w:rsid w:val="006E75F8"/>
    <w:rsid w:val="006E760C"/>
    <w:rsid w:val="006E7655"/>
    <w:rsid w:val="006E7E86"/>
    <w:rsid w:val="006E7FC0"/>
    <w:rsid w:val="006F02F7"/>
    <w:rsid w:val="006F09F7"/>
    <w:rsid w:val="006F0AA9"/>
    <w:rsid w:val="006F0AC4"/>
    <w:rsid w:val="006F0B7C"/>
    <w:rsid w:val="006F0D14"/>
    <w:rsid w:val="006F0D45"/>
    <w:rsid w:val="006F0F64"/>
    <w:rsid w:val="006F11B8"/>
    <w:rsid w:val="006F12DD"/>
    <w:rsid w:val="006F15FB"/>
    <w:rsid w:val="006F1708"/>
    <w:rsid w:val="006F1B32"/>
    <w:rsid w:val="006F1E1D"/>
    <w:rsid w:val="006F1E92"/>
    <w:rsid w:val="006F1F7D"/>
    <w:rsid w:val="006F1FDC"/>
    <w:rsid w:val="006F236F"/>
    <w:rsid w:val="006F254E"/>
    <w:rsid w:val="006F2ABD"/>
    <w:rsid w:val="006F3455"/>
    <w:rsid w:val="006F34B1"/>
    <w:rsid w:val="006F378C"/>
    <w:rsid w:val="006F3837"/>
    <w:rsid w:val="006F3B01"/>
    <w:rsid w:val="006F3CF9"/>
    <w:rsid w:val="006F469C"/>
    <w:rsid w:val="006F46BB"/>
    <w:rsid w:val="006F47CA"/>
    <w:rsid w:val="006F49D8"/>
    <w:rsid w:val="006F4A64"/>
    <w:rsid w:val="006F4A89"/>
    <w:rsid w:val="006F4AA4"/>
    <w:rsid w:val="006F4F33"/>
    <w:rsid w:val="006F4F98"/>
    <w:rsid w:val="006F5245"/>
    <w:rsid w:val="006F550E"/>
    <w:rsid w:val="006F569A"/>
    <w:rsid w:val="006F5986"/>
    <w:rsid w:val="006F5A43"/>
    <w:rsid w:val="006F5A67"/>
    <w:rsid w:val="006F65D6"/>
    <w:rsid w:val="006F67D8"/>
    <w:rsid w:val="006F70DC"/>
    <w:rsid w:val="006F75E1"/>
    <w:rsid w:val="006F7725"/>
    <w:rsid w:val="006F7A05"/>
    <w:rsid w:val="006F7F64"/>
    <w:rsid w:val="006F7FCE"/>
    <w:rsid w:val="007002CA"/>
    <w:rsid w:val="0070081C"/>
    <w:rsid w:val="007009FB"/>
    <w:rsid w:val="00700B5B"/>
    <w:rsid w:val="00700B67"/>
    <w:rsid w:val="00700E23"/>
    <w:rsid w:val="00700EB8"/>
    <w:rsid w:val="00701204"/>
    <w:rsid w:val="007019D2"/>
    <w:rsid w:val="00701B75"/>
    <w:rsid w:val="00701CA1"/>
    <w:rsid w:val="00701DF6"/>
    <w:rsid w:val="0070249F"/>
    <w:rsid w:val="00702B9C"/>
    <w:rsid w:val="00702E74"/>
    <w:rsid w:val="007035F2"/>
    <w:rsid w:val="00703747"/>
    <w:rsid w:val="00703845"/>
    <w:rsid w:val="00703BB4"/>
    <w:rsid w:val="00703EFC"/>
    <w:rsid w:val="00704206"/>
    <w:rsid w:val="00704230"/>
    <w:rsid w:val="00704493"/>
    <w:rsid w:val="00704634"/>
    <w:rsid w:val="007050AB"/>
    <w:rsid w:val="00705182"/>
    <w:rsid w:val="00705214"/>
    <w:rsid w:val="0070528B"/>
    <w:rsid w:val="00705457"/>
    <w:rsid w:val="00705683"/>
    <w:rsid w:val="0070579B"/>
    <w:rsid w:val="007059BF"/>
    <w:rsid w:val="00705BBF"/>
    <w:rsid w:val="00706021"/>
    <w:rsid w:val="0070610E"/>
    <w:rsid w:val="00706160"/>
    <w:rsid w:val="007062C3"/>
    <w:rsid w:val="007062E3"/>
    <w:rsid w:val="00706531"/>
    <w:rsid w:val="00706729"/>
    <w:rsid w:val="007067AA"/>
    <w:rsid w:val="00706C7D"/>
    <w:rsid w:val="00707467"/>
    <w:rsid w:val="0070781E"/>
    <w:rsid w:val="007078C0"/>
    <w:rsid w:val="0071025D"/>
    <w:rsid w:val="0071034E"/>
    <w:rsid w:val="007105FC"/>
    <w:rsid w:val="00710776"/>
    <w:rsid w:val="00710ED5"/>
    <w:rsid w:val="00711267"/>
    <w:rsid w:val="00711425"/>
    <w:rsid w:val="00711774"/>
    <w:rsid w:val="00711BBB"/>
    <w:rsid w:val="0071225D"/>
    <w:rsid w:val="007125C6"/>
    <w:rsid w:val="007127A5"/>
    <w:rsid w:val="00712918"/>
    <w:rsid w:val="00712C4F"/>
    <w:rsid w:val="00712C70"/>
    <w:rsid w:val="0071304B"/>
    <w:rsid w:val="007131D7"/>
    <w:rsid w:val="00713293"/>
    <w:rsid w:val="007137D0"/>
    <w:rsid w:val="007138BF"/>
    <w:rsid w:val="00713968"/>
    <w:rsid w:val="00713A8B"/>
    <w:rsid w:val="00713B84"/>
    <w:rsid w:val="00713FA2"/>
    <w:rsid w:val="00714337"/>
    <w:rsid w:val="007144B2"/>
    <w:rsid w:val="007146F2"/>
    <w:rsid w:val="0071470C"/>
    <w:rsid w:val="007148C1"/>
    <w:rsid w:val="00714B1C"/>
    <w:rsid w:val="00714D68"/>
    <w:rsid w:val="00715319"/>
    <w:rsid w:val="0071533B"/>
    <w:rsid w:val="00715493"/>
    <w:rsid w:val="007155FA"/>
    <w:rsid w:val="00715723"/>
    <w:rsid w:val="00715CC1"/>
    <w:rsid w:val="00715E6C"/>
    <w:rsid w:val="007162C2"/>
    <w:rsid w:val="00716574"/>
    <w:rsid w:val="007166F8"/>
    <w:rsid w:val="00716A15"/>
    <w:rsid w:val="00717054"/>
    <w:rsid w:val="007170A9"/>
    <w:rsid w:val="00717177"/>
    <w:rsid w:val="00717364"/>
    <w:rsid w:val="00717488"/>
    <w:rsid w:val="007175DB"/>
    <w:rsid w:val="00717DF4"/>
    <w:rsid w:val="007205E1"/>
    <w:rsid w:val="00720BEA"/>
    <w:rsid w:val="00720D1D"/>
    <w:rsid w:val="00720DE5"/>
    <w:rsid w:val="0072116F"/>
    <w:rsid w:val="007213BC"/>
    <w:rsid w:val="0072142D"/>
    <w:rsid w:val="007215A4"/>
    <w:rsid w:val="0072168C"/>
    <w:rsid w:val="00721748"/>
    <w:rsid w:val="00721768"/>
    <w:rsid w:val="0072185B"/>
    <w:rsid w:val="00721A0A"/>
    <w:rsid w:val="00721C7D"/>
    <w:rsid w:val="00721E51"/>
    <w:rsid w:val="007226AC"/>
    <w:rsid w:val="00722798"/>
    <w:rsid w:val="00722A05"/>
    <w:rsid w:val="00723148"/>
    <w:rsid w:val="007231DD"/>
    <w:rsid w:val="00723322"/>
    <w:rsid w:val="00723514"/>
    <w:rsid w:val="00723772"/>
    <w:rsid w:val="00723ABC"/>
    <w:rsid w:val="007240A1"/>
    <w:rsid w:val="00724252"/>
    <w:rsid w:val="0072469E"/>
    <w:rsid w:val="007249F4"/>
    <w:rsid w:val="007253DE"/>
    <w:rsid w:val="007254DD"/>
    <w:rsid w:val="007254E7"/>
    <w:rsid w:val="00725684"/>
    <w:rsid w:val="00725B1E"/>
    <w:rsid w:val="00725EED"/>
    <w:rsid w:val="00725FAA"/>
    <w:rsid w:val="0072650D"/>
    <w:rsid w:val="0072656C"/>
    <w:rsid w:val="0072696C"/>
    <w:rsid w:val="00727029"/>
    <w:rsid w:val="007270B1"/>
    <w:rsid w:val="007270C0"/>
    <w:rsid w:val="0072767E"/>
    <w:rsid w:val="00727A9A"/>
    <w:rsid w:val="00727C10"/>
    <w:rsid w:val="00727E81"/>
    <w:rsid w:val="0073026D"/>
    <w:rsid w:val="007302B8"/>
    <w:rsid w:val="0073067D"/>
    <w:rsid w:val="00731153"/>
    <w:rsid w:val="007312C3"/>
    <w:rsid w:val="0073131E"/>
    <w:rsid w:val="0073154F"/>
    <w:rsid w:val="00731788"/>
    <w:rsid w:val="00731DB8"/>
    <w:rsid w:val="00731DEC"/>
    <w:rsid w:val="00732397"/>
    <w:rsid w:val="007324B2"/>
    <w:rsid w:val="007324D5"/>
    <w:rsid w:val="007325D8"/>
    <w:rsid w:val="007327DC"/>
    <w:rsid w:val="00732A8D"/>
    <w:rsid w:val="00732D2E"/>
    <w:rsid w:val="00732DF8"/>
    <w:rsid w:val="00733A61"/>
    <w:rsid w:val="00733BCE"/>
    <w:rsid w:val="00733F2F"/>
    <w:rsid w:val="007344A9"/>
    <w:rsid w:val="00734AD4"/>
    <w:rsid w:val="00734AE6"/>
    <w:rsid w:val="00734F79"/>
    <w:rsid w:val="0073525D"/>
    <w:rsid w:val="007353E1"/>
    <w:rsid w:val="0073548B"/>
    <w:rsid w:val="00735650"/>
    <w:rsid w:val="00735710"/>
    <w:rsid w:val="00735932"/>
    <w:rsid w:val="00735AE2"/>
    <w:rsid w:val="00735D43"/>
    <w:rsid w:val="00736261"/>
    <w:rsid w:val="007364CF"/>
    <w:rsid w:val="00736512"/>
    <w:rsid w:val="007367CE"/>
    <w:rsid w:val="00736877"/>
    <w:rsid w:val="00736DD6"/>
    <w:rsid w:val="00737151"/>
    <w:rsid w:val="007375BD"/>
    <w:rsid w:val="00737793"/>
    <w:rsid w:val="007378C8"/>
    <w:rsid w:val="00737B1F"/>
    <w:rsid w:val="00737D26"/>
    <w:rsid w:val="00737E31"/>
    <w:rsid w:val="007401B5"/>
    <w:rsid w:val="0074095E"/>
    <w:rsid w:val="00740CF0"/>
    <w:rsid w:val="00740CFF"/>
    <w:rsid w:val="00740E90"/>
    <w:rsid w:val="00740F90"/>
    <w:rsid w:val="00741441"/>
    <w:rsid w:val="00741D8E"/>
    <w:rsid w:val="00741DFF"/>
    <w:rsid w:val="00742473"/>
    <w:rsid w:val="00742479"/>
    <w:rsid w:val="00742488"/>
    <w:rsid w:val="007424DE"/>
    <w:rsid w:val="007426CE"/>
    <w:rsid w:val="00742972"/>
    <w:rsid w:val="00742AF2"/>
    <w:rsid w:val="00742BF5"/>
    <w:rsid w:val="00742E7A"/>
    <w:rsid w:val="00743275"/>
    <w:rsid w:val="007432A4"/>
    <w:rsid w:val="00743568"/>
    <w:rsid w:val="00743572"/>
    <w:rsid w:val="00743599"/>
    <w:rsid w:val="007437B2"/>
    <w:rsid w:val="007438A9"/>
    <w:rsid w:val="0074406D"/>
    <w:rsid w:val="0074429E"/>
    <w:rsid w:val="007447CE"/>
    <w:rsid w:val="007447D3"/>
    <w:rsid w:val="00744F03"/>
    <w:rsid w:val="00744F13"/>
    <w:rsid w:val="00744FD5"/>
    <w:rsid w:val="0074556E"/>
    <w:rsid w:val="007455B7"/>
    <w:rsid w:val="007458BF"/>
    <w:rsid w:val="007458E4"/>
    <w:rsid w:val="00745D3C"/>
    <w:rsid w:val="00745D69"/>
    <w:rsid w:val="00745F20"/>
    <w:rsid w:val="007460C7"/>
    <w:rsid w:val="00746C6A"/>
    <w:rsid w:val="00746DB4"/>
    <w:rsid w:val="00746E58"/>
    <w:rsid w:val="00746F32"/>
    <w:rsid w:val="00746F49"/>
    <w:rsid w:val="00747606"/>
    <w:rsid w:val="007478EE"/>
    <w:rsid w:val="00747B19"/>
    <w:rsid w:val="00747E02"/>
    <w:rsid w:val="00747F59"/>
    <w:rsid w:val="0075028C"/>
    <w:rsid w:val="007502CA"/>
    <w:rsid w:val="007503C3"/>
    <w:rsid w:val="00750C79"/>
    <w:rsid w:val="00750D39"/>
    <w:rsid w:val="007510FD"/>
    <w:rsid w:val="007516AC"/>
    <w:rsid w:val="007516BD"/>
    <w:rsid w:val="007517D9"/>
    <w:rsid w:val="00751E80"/>
    <w:rsid w:val="00752063"/>
    <w:rsid w:val="0075215D"/>
    <w:rsid w:val="00752166"/>
    <w:rsid w:val="00752340"/>
    <w:rsid w:val="007529C5"/>
    <w:rsid w:val="00752C7A"/>
    <w:rsid w:val="00752E22"/>
    <w:rsid w:val="00752F00"/>
    <w:rsid w:val="007533AC"/>
    <w:rsid w:val="00753699"/>
    <w:rsid w:val="007538D1"/>
    <w:rsid w:val="00753A0C"/>
    <w:rsid w:val="00753AC6"/>
    <w:rsid w:val="00753B4F"/>
    <w:rsid w:val="00753D60"/>
    <w:rsid w:val="00754360"/>
    <w:rsid w:val="007544C1"/>
    <w:rsid w:val="007545C6"/>
    <w:rsid w:val="00754770"/>
    <w:rsid w:val="007547D8"/>
    <w:rsid w:val="00754AA6"/>
    <w:rsid w:val="00754B06"/>
    <w:rsid w:val="00754CB5"/>
    <w:rsid w:val="007554CD"/>
    <w:rsid w:val="00755526"/>
    <w:rsid w:val="007559B6"/>
    <w:rsid w:val="00756012"/>
    <w:rsid w:val="00756368"/>
    <w:rsid w:val="0075657F"/>
    <w:rsid w:val="007567A9"/>
    <w:rsid w:val="007568DA"/>
    <w:rsid w:val="00756933"/>
    <w:rsid w:val="00756B7A"/>
    <w:rsid w:val="00756BCB"/>
    <w:rsid w:val="00756CDA"/>
    <w:rsid w:val="0075712D"/>
    <w:rsid w:val="00757370"/>
    <w:rsid w:val="0075744B"/>
    <w:rsid w:val="00757E2C"/>
    <w:rsid w:val="007601EB"/>
    <w:rsid w:val="007607A0"/>
    <w:rsid w:val="00760814"/>
    <w:rsid w:val="00760869"/>
    <w:rsid w:val="00760C71"/>
    <w:rsid w:val="0076119C"/>
    <w:rsid w:val="00761299"/>
    <w:rsid w:val="007617AD"/>
    <w:rsid w:val="00761A4B"/>
    <w:rsid w:val="00761B4D"/>
    <w:rsid w:val="00761B9B"/>
    <w:rsid w:val="00761FF9"/>
    <w:rsid w:val="007623A8"/>
    <w:rsid w:val="00762788"/>
    <w:rsid w:val="007628F2"/>
    <w:rsid w:val="00762B0F"/>
    <w:rsid w:val="00762BC2"/>
    <w:rsid w:val="00762E15"/>
    <w:rsid w:val="00762E6B"/>
    <w:rsid w:val="007630B6"/>
    <w:rsid w:val="0076333B"/>
    <w:rsid w:val="007636C6"/>
    <w:rsid w:val="00763B97"/>
    <w:rsid w:val="0076402B"/>
    <w:rsid w:val="00764055"/>
    <w:rsid w:val="00764F9E"/>
    <w:rsid w:val="00765076"/>
    <w:rsid w:val="0076537A"/>
    <w:rsid w:val="007656BF"/>
    <w:rsid w:val="00765BE8"/>
    <w:rsid w:val="00765C2D"/>
    <w:rsid w:val="00765CF1"/>
    <w:rsid w:val="007660DE"/>
    <w:rsid w:val="00766140"/>
    <w:rsid w:val="007664B8"/>
    <w:rsid w:val="00766877"/>
    <w:rsid w:val="0076698D"/>
    <w:rsid w:val="00767098"/>
    <w:rsid w:val="007670F3"/>
    <w:rsid w:val="00767630"/>
    <w:rsid w:val="00767D7C"/>
    <w:rsid w:val="0077054E"/>
    <w:rsid w:val="0077084B"/>
    <w:rsid w:val="00770D9E"/>
    <w:rsid w:val="007710E0"/>
    <w:rsid w:val="00771634"/>
    <w:rsid w:val="007716FA"/>
    <w:rsid w:val="00771709"/>
    <w:rsid w:val="00771763"/>
    <w:rsid w:val="007717EF"/>
    <w:rsid w:val="0077184F"/>
    <w:rsid w:val="007718E2"/>
    <w:rsid w:val="00771CBC"/>
    <w:rsid w:val="00771DDC"/>
    <w:rsid w:val="00771F4D"/>
    <w:rsid w:val="00772250"/>
    <w:rsid w:val="0077233B"/>
    <w:rsid w:val="0077252E"/>
    <w:rsid w:val="00772713"/>
    <w:rsid w:val="00772784"/>
    <w:rsid w:val="00772C8E"/>
    <w:rsid w:val="00772FD4"/>
    <w:rsid w:val="0077301E"/>
    <w:rsid w:val="0077326D"/>
    <w:rsid w:val="0077335D"/>
    <w:rsid w:val="00773437"/>
    <w:rsid w:val="007735D1"/>
    <w:rsid w:val="00773797"/>
    <w:rsid w:val="00773957"/>
    <w:rsid w:val="00773B81"/>
    <w:rsid w:val="00773EE2"/>
    <w:rsid w:val="00773FFF"/>
    <w:rsid w:val="00774097"/>
    <w:rsid w:val="00774252"/>
    <w:rsid w:val="00774635"/>
    <w:rsid w:val="007747E9"/>
    <w:rsid w:val="00774813"/>
    <w:rsid w:val="00774857"/>
    <w:rsid w:val="007748AB"/>
    <w:rsid w:val="00774955"/>
    <w:rsid w:val="007749D1"/>
    <w:rsid w:val="007749FF"/>
    <w:rsid w:val="00774C5C"/>
    <w:rsid w:val="00774E1B"/>
    <w:rsid w:val="00774F19"/>
    <w:rsid w:val="00774F6D"/>
    <w:rsid w:val="00775411"/>
    <w:rsid w:val="0077547F"/>
    <w:rsid w:val="007754DA"/>
    <w:rsid w:val="007755EA"/>
    <w:rsid w:val="00775699"/>
    <w:rsid w:val="007758D0"/>
    <w:rsid w:val="0077592A"/>
    <w:rsid w:val="007759FE"/>
    <w:rsid w:val="00775A5F"/>
    <w:rsid w:val="0077641C"/>
    <w:rsid w:val="0077665F"/>
    <w:rsid w:val="007766B6"/>
    <w:rsid w:val="00776783"/>
    <w:rsid w:val="00776870"/>
    <w:rsid w:val="00776D14"/>
    <w:rsid w:val="00776D72"/>
    <w:rsid w:val="00777044"/>
    <w:rsid w:val="00777177"/>
    <w:rsid w:val="007775F5"/>
    <w:rsid w:val="00777794"/>
    <w:rsid w:val="0077785A"/>
    <w:rsid w:val="00777A42"/>
    <w:rsid w:val="00777A8A"/>
    <w:rsid w:val="00777C5C"/>
    <w:rsid w:val="00777EE3"/>
    <w:rsid w:val="00777FEF"/>
    <w:rsid w:val="007802C0"/>
    <w:rsid w:val="007803E3"/>
    <w:rsid w:val="0078041E"/>
    <w:rsid w:val="00780BEC"/>
    <w:rsid w:val="00780FEF"/>
    <w:rsid w:val="007812AA"/>
    <w:rsid w:val="0078131C"/>
    <w:rsid w:val="00781326"/>
    <w:rsid w:val="007813AA"/>
    <w:rsid w:val="00781BE7"/>
    <w:rsid w:val="00781CE9"/>
    <w:rsid w:val="00781DC4"/>
    <w:rsid w:val="00782075"/>
    <w:rsid w:val="00782283"/>
    <w:rsid w:val="00782534"/>
    <w:rsid w:val="0078265B"/>
    <w:rsid w:val="00782815"/>
    <w:rsid w:val="0078296C"/>
    <w:rsid w:val="00782CA6"/>
    <w:rsid w:val="00782DF3"/>
    <w:rsid w:val="00782F89"/>
    <w:rsid w:val="00783897"/>
    <w:rsid w:val="00783AC5"/>
    <w:rsid w:val="00783DC6"/>
    <w:rsid w:val="00783FEB"/>
    <w:rsid w:val="00784002"/>
    <w:rsid w:val="007843E6"/>
    <w:rsid w:val="007848E9"/>
    <w:rsid w:val="00784996"/>
    <w:rsid w:val="00784D29"/>
    <w:rsid w:val="00785290"/>
    <w:rsid w:val="007853CE"/>
    <w:rsid w:val="007853D2"/>
    <w:rsid w:val="0078574E"/>
    <w:rsid w:val="00785B1B"/>
    <w:rsid w:val="00785D9D"/>
    <w:rsid w:val="007866C2"/>
    <w:rsid w:val="0078675D"/>
    <w:rsid w:val="0078683C"/>
    <w:rsid w:val="00786C1C"/>
    <w:rsid w:val="00786CA4"/>
    <w:rsid w:val="00787275"/>
    <w:rsid w:val="007875DD"/>
    <w:rsid w:val="00787764"/>
    <w:rsid w:val="00787AB4"/>
    <w:rsid w:val="00787C5F"/>
    <w:rsid w:val="00787DE5"/>
    <w:rsid w:val="007902FE"/>
    <w:rsid w:val="00790360"/>
    <w:rsid w:val="007904A1"/>
    <w:rsid w:val="00790709"/>
    <w:rsid w:val="00790832"/>
    <w:rsid w:val="00790BFE"/>
    <w:rsid w:val="00791155"/>
    <w:rsid w:val="00791410"/>
    <w:rsid w:val="00791B27"/>
    <w:rsid w:val="00791C7C"/>
    <w:rsid w:val="00791D23"/>
    <w:rsid w:val="00791D65"/>
    <w:rsid w:val="00791EC7"/>
    <w:rsid w:val="00791FA4"/>
    <w:rsid w:val="0079201E"/>
    <w:rsid w:val="00792263"/>
    <w:rsid w:val="007923CD"/>
    <w:rsid w:val="00792483"/>
    <w:rsid w:val="00792486"/>
    <w:rsid w:val="0079257E"/>
    <w:rsid w:val="00792620"/>
    <w:rsid w:val="0079274B"/>
    <w:rsid w:val="0079296E"/>
    <w:rsid w:val="00792C7F"/>
    <w:rsid w:val="00792F12"/>
    <w:rsid w:val="00793222"/>
    <w:rsid w:val="007932EC"/>
    <w:rsid w:val="00793397"/>
    <w:rsid w:val="007936B6"/>
    <w:rsid w:val="007939A3"/>
    <w:rsid w:val="007939C8"/>
    <w:rsid w:val="00793D21"/>
    <w:rsid w:val="00793EF7"/>
    <w:rsid w:val="00794307"/>
    <w:rsid w:val="0079445B"/>
    <w:rsid w:val="00794544"/>
    <w:rsid w:val="00794600"/>
    <w:rsid w:val="00794981"/>
    <w:rsid w:val="00794A64"/>
    <w:rsid w:val="00794ABF"/>
    <w:rsid w:val="00794D9D"/>
    <w:rsid w:val="00794E97"/>
    <w:rsid w:val="00794F68"/>
    <w:rsid w:val="007955F5"/>
    <w:rsid w:val="007958B4"/>
    <w:rsid w:val="00795A76"/>
    <w:rsid w:val="00795CBB"/>
    <w:rsid w:val="00795F31"/>
    <w:rsid w:val="00795F4E"/>
    <w:rsid w:val="00796114"/>
    <w:rsid w:val="0079632B"/>
    <w:rsid w:val="007963EE"/>
    <w:rsid w:val="0079669B"/>
    <w:rsid w:val="0079680E"/>
    <w:rsid w:val="00796966"/>
    <w:rsid w:val="007969B0"/>
    <w:rsid w:val="00796D9C"/>
    <w:rsid w:val="00796FBC"/>
    <w:rsid w:val="00797685"/>
    <w:rsid w:val="007977C3"/>
    <w:rsid w:val="00797915"/>
    <w:rsid w:val="00797B5F"/>
    <w:rsid w:val="00797BE4"/>
    <w:rsid w:val="00797D28"/>
    <w:rsid w:val="00797E2B"/>
    <w:rsid w:val="00797FDE"/>
    <w:rsid w:val="007A0055"/>
    <w:rsid w:val="007A0120"/>
    <w:rsid w:val="007A014D"/>
    <w:rsid w:val="007A062B"/>
    <w:rsid w:val="007A064F"/>
    <w:rsid w:val="007A0792"/>
    <w:rsid w:val="007A07F4"/>
    <w:rsid w:val="007A0973"/>
    <w:rsid w:val="007A09BF"/>
    <w:rsid w:val="007A0CFB"/>
    <w:rsid w:val="007A0E0F"/>
    <w:rsid w:val="007A0EB1"/>
    <w:rsid w:val="007A0FF5"/>
    <w:rsid w:val="007A1614"/>
    <w:rsid w:val="007A1640"/>
    <w:rsid w:val="007A1642"/>
    <w:rsid w:val="007A191E"/>
    <w:rsid w:val="007A1942"/>
    <w:rsid w:val="007A1AFA"/>
    <w:rsid w:val="007A1D03"/>
    <w:rsid w:val="007A2228"/>
    <w:rsid w:val="007A2888"/>
    <w:rsid w:val="007A288A"/>
    <w:rsid w:val="007A29AA"/>
    <w:rsid w:val="007A2B9D"/>
    <w:rsid w:val="007A31CF"/>
    <w:rsid w:val="007A3557"/>
    <w:rsid w:val="007A38A0"/>
    <w:rsid w:val="007A3AEA"/>
    <w:rsid w:val="007A3B49"/>
    <w:rsid w:val="007A3BC0"/>
    <w:rsid w:val="007A3C92"/>
    <w:rsid w:val="007A472F"/>
    <w:rsid w:val="007A4D30"/>
    <w:rsid w:val="007A4DA6"/>
    <w:rsid w:val="007A4F12"/>
    <w:rsid w:val="007A4F58"/>
    <w:rsid w:val="007A5039"/>
    <w:rsid w:val="007A5115"/>
    <w:rsid w:val="007A5348"/>
    <w:rsid w:val="007A53C0"/>
    <w:rsid w:val="007A54E7"/>
    <w:rsid w:val="007A54F5"/>
    <w:rsid w:val="007A5573"/>
    <w:rsid w:val="007A57C9"/>
    <w:rsid w:val="007A5942"/>
    <w:rsid w:val="007A5F52"/>
    <w:rsid w:val="007A5F7A"/>
    <w:rsid w:val="007A5FEE"/>
    <w:rsid w:val="007A6009"/>
    <w:rsid w:val="007A6195"/>
    <w:rsid w:val="007A62FC"/>
    <w:rsid w:val="007A6413"/>
    <w:rsid w:val="007A6715"/>
    <w:rsid w:val="007A682D"/>
    <w:rsid w:val="007A6BDA"/>
    <w:rsid w:val="007A6EBA"/>
    <w:rsid w:val="007A6F3C"/>
    <w:rsid w:val="007A7081"/>
    <w:rsid w:val="007A7087"/>
    <w:rsid w:val="007A74EC"/>
    <w:rsid w:val="007A75EF"/>
    <w:rsid w:val="007A7650"/>
    <w:rsid w:val="007A7B84"/>
    <w:rsid w:val="007A7D90"/>
    <w:rsid w:val="007B00EF"/>
    <w:rsid w:val="007B02CA"/>
    <w:rsid w:val="007B0781"/>
    <w:rsid w:val="007B0B00"/>
    <w:rsid w:val="007B0BB3"/>
    <w:rsid w:val="007B0C8D"/>
    <w:rsid w:val="007B0CF8"/>
    <w:rsid w:val="007B0DDC"/>
    <w:rsid w:val="007B0F8F"/>
    <w:rsid w:val="007B1177"/>
    <w:rsid w:val="007B12BB"/>
    <w:rsid w:val="007B14DA"/>
    <w:rsid w:val="007B1639"/>
    <w:rsid w:val="007B1A9D"/>
    <w:rsid w:val="007B1AF5"/>
    <w:rsid w:val="007B23A7"/>
    <w:rsid w:val="007B25ED"/>
    <w:rsid w:val="007B28F9"/>
    <w:rsid w:val="007B2BC7"/>
    <w:rsid w:val="007B3440"/>
    <w:rsid w:val="007B3AD7"/>
    <w:rsid w:val="007B3BF0"/>
    <w:rsid w:val="007B3E95"/>
    <w:rsid w:val="007B41E1"/>
    <w:rsid w:val="007B46F2"/>
    <w:rsid w:val="007B480E"/>
    <w:rsid w:val="007B48E2"/>
    <w:rsid w:val="007B492D"/>
    <w:rsid w:val="007B4961"/>
    <w:rsid w:val="007B4E23"/>
    <w:rsid w:val="007B4FC7"/>
    <w:rsid w:val="007B518F"/>
    <w:rsid w:val="007B5444"/>
    <w:rsid w:val="007B576A"/>
    <w:rsid w:val="007B57EB"/>
    <w:rsid w:val="007B58B1"/>
    <w:rsid w:val="007B5AD5"/>
    <w:rsid w:val="007B5BEE"/>
    <w:rsid w:val="007B5C51"/>
    <w:rsid w:val="007B5D0D"/>
    <w:rsid w:val="007B5D38"/>
    <w:rsid w:val="007B5F0F"/>
    <w:rsid w:val="007B61B9"/>
    <w:rsid w:val="007B653A"/>
    <w:rsid w:val="007B688B"/>
    <w:rsid w:val="007B68BD"/>
    <w:rsid w:val="007B6E5D"/>
    <w:rsid w:val="007B6EB1"/>
    <w:rsid w:val="007B6FB6"/>
    <w:rsid w:val="007B774B"/>
    <w:rsid w:val="007B79E0"/>
    <w:rsid w:val="007B7B16"/>
    <w:rsid w:val="007B7C47"/>
    <w:rsid w:val="007C0185"/>
    <w:rsid w:val="007C04A5"/>
    <w:rsid w:val="007C06E3"/>
    <w:rsid w:val="007C08DC"/>
    <w:rsid w:val="007C08E3"/>
    <w:rsid w:val="007C0AD5"/>
    <w:rsid w:val="007C1086"/>
    <w:rsid w:val="007C115D"/>
    <w:rsid w:val="007C12D4"/>
    <w:rsid w:val="007C1338"/>
    <w:rsid w:val="007C1822"/>
    <w:rsid w:val="007C1D7A"/>
    <w:rsid w:val="007C1DDB"/>
    <w:rsid w:val="007C1FA7"/>
    <w:rsid w:val="007C20F1"/>
    <w:rsid w:val="007C29E5"/>
    <w:rsid w:val="007C2CB5"/>
    <w:rsid w:val="007C2D7E"/>
    <w:rsid w:val="007C2DE0"/>
    <w:rsid w:val="007C2DFB"/>
    <w:rsid w:val="007C2E0C"/>
    <w:rsid w:val="007C2E54"/>
    <w:rsid w:val="007C3472"/>
    <w:rsid w:val="007C3ACC"/>
    <w:rsid w:val="007C3B4B"/>
    <w:rsid w:val="007C3D16"/>
    <w:rsid w:val="007C3EAF"/>
    <w:rsid w:val="007C41B1"/>
    <w:rsid w:val="007C4574"/>
    <w:rsid w:val="007C45C4"/>
    <w:rsid w:val="007C4907"/>
    <w:rsid w:val="007C4A32"/>
    <w:rsid w:val="007C4AC0"/>
    <w:rsid w:val="007C4E54"/>
    <w:rsid w:val="007C4F7C"/>
    <w:rsid w:val="007C5273"/>
    <w:rsid w:val="007C52E5"/>
    <w:rsid w:val="007C5D08"/>
    <w:rsid w:val="007C5E6C"/>
    <w:rsid w:val="007C63B2"/>
    <w:rsid w:val="007C6590"/>
    <w:rsid w:val="007C662F"/>
    <w:rsid w:val="007C6B5C"/>
    <w:rsid w:val="007C6BE2"/>
    <w:rsid w:val="007C6D25"/>
    <w:rsid w:val="007C72CB"/>
    <w:rsid w:val="007C747F"/>
    <w:rsid w:val="007C74FA"/>
    <w:rsid w:val="007C772E"/>
    <w:rsid w:val="007C78A7"/>
    <w:rsid w:val="007C7B91"/>
    <w:rsid w:val="007D0154"/>
    <w:rsid w:val="007D0205"/>
    <w:rsid w:val="007D0232"/>
    <w:rsid w:val="007D065E"/>
    <w:rsid w:val="007D06FC"/>
    <w:rsid w:val="007D0B65"/>
    <w:rsid w:val="007D0D26"/>
    <w:rsid w:val="007D1030"/>
    <w:rsid w:val="007D1414"/>
    <w:rsid w:val="007D1572"/>
    <w:rsid w:val="007D16F9"/>
    <w:rsid w:val="007D1E81"/>
    <w:rsid w:val="007D1F88"/>
    <w:rsid w:val="007D2005"/>
    <w:rsid w:val="007D220D"/>
    <w:rsid w:val="007D22C9"/>
    <w:rsid w:val="007D22FE"/>
    <w:rsid w:val="007D293E"/>
    <w:rsid w:val="007D2A46"/>
    <w:rsid w:val="007D2A75"/>
    <w:rsid w:val="007D2ADD"/>
    <w:rsid w:val="007D30BB"/>
    <w:rsid w:val="007D3186"/>
    <w:rsid w:val="007D39A3"/>
    <w:rsid w:val="007D3D2C"/>
    <w:rsid w:val="007D3FB5"/>
    <w:rsid w:val="007D4172"/>
    <w:rsid w:val="007D41EE"/>
    <w:rsid w:val="007D433B"/>
    <w:rsid w:val="007D4362"/>
    <w:rsid w:val="007D48A1"/>
    <w:rsid w:val="007D48D2"/>
    <w:rsid w:val="007D4A42"/>
    <w:rsid w:val="007D4A78"/>
    <w:rsid w:val="007D4AB0"/>
    <w:rsid w:val="007D56C9"/>
    <w:rsid w:val="007D56E3"/>
    <w:rsid w:val="007D5C81"/>
    <w:rsid w:val="007D5DA5"/>
    <w:rsid w:val="007D5DEC"/>
    <w:rsid w:val="007D6201"/>
    <w:rsid w:val="007D649E"/>
    <w:rsid w:val="007D6504"/>
    <w:rsid w:val="007D65ED"/>
    <w:rsid w:val="007D6843"/>
    <w:rsid w:val="007D6E38"/>
    <w:rsid w:val="007D6FF2"/>
    <w:rsid w:val="007D78C8"/>
    <w:rsid w:val="007D7C1D"/>
    <w:rsid w:val="007D7D05"/>
    <w:rsid w:val="007D7E1B"/>
    <w:rsid w:val="007D7ED4"/>
    <w:rsid w:val="007E0374"/>
    <w:rsid w:val="007E061F"/>
    <w:rsid w:val="007E0A0D"/>
    <w:rsid w:val="007E0B09"/>
    <w:rsid w:val="007E0CEA"/>
    <w:rsid w:val="007E0D78"/>
    <w:rsid w:val="007E1011"/>
    <w:rsid w:val="007E1033"/>
    <w:rsid w:val="007E154C"/>
    <w:rsid w:val="007E158B"/>
    <w:rsid w:val="007E1633"/>
    <w:rsid w:val="007E1672"/>
    <w:rsid w:val="007E177A"/>
    <w:rsid w:val="007E17D0"/>
    <w:rsid w:val="007E17E2"/>
    <w:rsid w:val="007E17E6"/>
    <w:rsid w:val="007E18F3"/>
    <w:rsid w:val="007E1D0B"/>
    <w:rsid w:val="007E1D15"/>
    <w:rsid w:val="007E1D44"/>
    <w:rsid w:val="007E1DED"/>
    <w:rsid w:val="007E1F50"/>
    <w:rsid w:val="007E1FDF"/>
    <w:rsid w:val="007E2333"/>
    <w:rsid w:val="007E2344"/>
    <w:rsid w:val="007E2715"/>
    <w:rsid w:val="007E277B"/>
    <w:rsid w:val="007E2881"/>
    <w:rsid w:val="007E2964"/>
    <w:rsid w:val="007E2CF5"/>
    <w:rsid w:val="007E2E89"/>
    <w:rsid w:val="007E3100"/>
    <w:rsid w:val="007E34ED"/>
    <w:rsid w:val="007E3560"/>
    <w:rsid w:val="007E39E0"/>
    <w:rsid w:val="007E3A5B"/>
    <w:rsid w:val="007E3C69"/>
    <w:rsid w:val="007E3D61"/>
    <w:rsid w:val="007E3D7A"/>
    <w:rsid w:val="007E3FF4"/>
    <w:rsid w:val="007E43E8"/>
    <w:rsid w:val="007E482B"/>
    <w:rsid w:val="007E48BF"/>
    <w:rsid w:val="007E49DD"/>
    <w:rsid w:val="007E4BE6"/>
    <w:rsid w:val="007E5031"/>
    <w:rsid w:val="007E508E"/>
    <w:rsid w:val="007E5456"/>
    <w:rsid w:val="007E568F"/>
    <w:rsid w:val="007E5718"/>
    <w:rsid w:val="007E5752"/>
    <w:rsid w:val="007E58EC"/>
    <w:rsid w:val="007E5CA5"/>
    <w:rsid w:val="007E6132"/>
    <w:rsid w:val="007E6276"/>
    <w:rsid w:val="007E63AA"/>
    <w:rsid w:val="007E63DE"/>
    <w:rsid w:val="007E64D9"/>
    <w:rsid w:val="007E661B"/>
    <w:rsid w:val="007E6A4E"/>
    <w:rsid w:val="007E6DD8"/>
    <w:rsid w:val="007E6E3D"/>
    <w:rsid w:val="007E6E74"/>
    <w:rsid w:val="007E7108"/>
    <w:rsid w:val="007E790F"/>
    <w:rsid w:val="007E7C4D"/>
    <w:rsid w:val="007E7C65"/>
    <w:rsid w:val="007E7C75"/>
    <w:rsid w:val="007E7CB4"/>
    <w:rsid w:val="007E7E91"/>
    <w:rsid w:val="007F0037"/>
    <w:rsid w:val="007F08CC"/>
    <w:rsid w:val="007F0A52"/>
    <w:rsid w:val="007F0A6B"/>
    <w:rsid w:val="007F0B65"/>
    <w:rsid w:val="007F0DFD"/>
    <w:rsid w:val="007F1205"/>
    <w:rsid w:val="007F1588"/>
    <w:rsid w:val="007F1657"/>
    <w:rsid w:val="007F1684"/>
    <w:rsid w:val="007F1748"/>
    <w:rsid w:val="007F1944"/>
    <w:rsid w:val="007F1A90"/>
    <w:rsid w:val="007F202D"/>
    <w:rsid w:val="007F2130"/>
    <w:rsid w:val="007F24C9"/>
    <w:rsid w:val="007F2526"/>
    <w:rsid w:val="007F268C"/>
    <w:rsid w:val="007F2828"/>
    <w:rsid w:val="007F2877"/>
    <w:rsid w:val="007F2F80"/>
    <w:rsid w:val="007F386F"/>
    <w:rsid w:val="007F3BCF"/>
    <w:rsid w:val="007F3D1F"/>
    <w:rsid w:val="007F3D7F"/>
    <w:rsid w:val="007F4118"/>
    <w:rsid w:val="007F4164"/>
    <w:rsid w:val="007F42AF"/>
    <w:rsid w:val="007F43EB"/>
    <w:rsid w:val="007F444A"/>
    <w:rsid w:val="007F45CE"/>
    <w:rsid w:val="007F4682"/>
    <w:rsid w:val="007F48AD"/>
    <w:rsid w:val="007F4972"/>
    <w:rsid w:val="007F4D65"/>
    <w:rsid w:val="007F517C"/>
    <w:rsid w:val="007F51B5"/>
    <w:rsid w:val="007F5476"/>
    <w:rsid w:val="007F593D"/>
    <w:rsid w:val="007F5E3F"/>
    <w:rsid w:val="007F6115"/>
    <w:rsid w:val="007F616D"/>
    <w:rsid w:val="007F63D2"/>
    <w:rsid w:val="007F66CC"/>
    <w:rsid w:val="007F6904"/>
    <w:rsid w:val="007F6B71"/>
    <w:rsid w:val="007F6C5E"/>
    <w:rsid w:val="007F6E27"/>
    <w:rsid w:val="007F6E5B"/>
    <w:rsid w:val="007F6F27"/>
    <w:rsid w:val="007F7383"/>
    <w:rsid w:val="007F742A"/>
    <w:rsid w:val="007F74A4"/>
    <w:rsid w:val="007F7559"/>
    <w:rsid w:val="007F79DD"/>
    <w:rsid w:val="007F7A9E"/>
    <w:rsid w:val="007F7C94"/>
    <w:rsid w:val="007F7CEF"/>
    <w:rsid w:val="007F7F9E"/>
    <w:rsid w:val="00800002"/>
    <w:rsid w:val="00800102"/>
    <w:rsid w:val="00800542"/>
    <w:rsid w:val="00800991"/>
    <w:rsid w:val="00800DF6"/>
    <w:rsid w:val="0080113D"/>
    <w:rsid w:val="0080174D"/>
    <w:rsid w:val="00801CEB"/>
    <w:rsid w:val="0080224B"/>
    <w:rsid w:val="00802372"/>
    <w:rsid w:val="00802C99"/>
    <w:rsid w:val="00802E09"/>
    <w:rsid w:val="00803342"/>
    <w:rsid w:val="008036E5"/>
    <w:rsid w:val="00803930"/>
    <w:rsid w:val="00803E53"/>
    <w:rsid w:val="00804624"/>
    <w:rsid w:val="00804673"/>
    <w:rsid w:val="00804829"/>
    <w:rsid w:val="00804E3E"/>
    <w:rsid w:val="008050B8"/>
    <w:rsid w:val="00805409"/>
    <w:rsid w:val="008057B1"/>
    <w:rsid w:val="00805898"/>
    <w:rsid w:val="00805FB0"/>
    <w:rsid w:val="00806592"/>
    <w:rsid w:val="008067A9"/>
    <w:rsid w:val="00806CB1"/>
    <w:rsid w:val="00806FE1"/>
    <w:rsid w:val="008071DB"/>
    <w:rsid w:val="008071F2"/>
    <w:rsid w:val="00807205"/>
    <w:rsid w:val="0080764F"/>
    <w:rsid w:val="00807662"/>
    <w:rsid w:val="00807814"/>
    <w:rsid w:val="0080784E"/>
    <w:rsid w:val="0080789A"/>
    <w:rsid w:val="00807928"/>
    <w:rsid w:val="00807A1A"/>
    <w:rsid w:val="00807B21"/>
    <w:rsid w:val="00807EEC"/>
    <w:rsid w:val="00810033"/>
    <w:rsid w:val="00810324"/>
    <w:rsid w:val="00810392"/>
    <w:rsid w:val="008104CF"/>
    <w:rsid w:val="00810538"/>
    <w:rsid w:val="008107AA"/>
    <w:rsid w:val="00810A36"/>
    <w:rsid w:val="00810A8E"/>
    <w:rsid w:val="00810CD9"/>
    <w:rsid w:val="00810E61"/>
    <w:rsid w:val="00810F84"/>
    <w:rsid w:val="00811125"/>
    <w:rsid w:val="00811661"/>
    <w:rsid w:val="00811683"/>
    <w:rsid w:val="00811833"/>
    <w:rsid w:val="00811834"/>
    <w:rsid w:val="00811A88"/>
    <w:rsid w:val="00811CF2"/>
    <w:rsid w:val="00811F01"/>
    <w:rsid w:val="00811FC9"/>
    <w:rsid w:val="00812008"/>
    <w:rsid w:val="00812014"/>
    <w:rsid w:val="00812185"/>
    <w:rsid w:val="008124AB"/>
    <w:rsid w:val="008124C6"/>
    <w:rsid w:val="00812835"/>
    <w:rsid w:val="0081294A"/>
    <w:rsid w:val="00812C5D"/>
    <w:rsid w:val="00812D9A"/>
    <w:rsid w:val="00812D9C"/>
    <w:rsid w:val="00812FB8"/>
    <w:rsid w:val="008131F8"/>
    <w:rsid w:val="0081322D"/>
    <w:rsid w:val="008132C4"/>
    <w:rsid w:val="0081342E"/>
    <w:rsid w:val="0081380F"/>
    <w:rsid w:val="008148D7"/>
    <w:rsid w:val="00814EEA"/>
    <w:rsid w:val="0081517B"/>
    <w:rsid w:val="0081555C"/>
    <w:rsid w:val="00815574"/>
    <w:rsid w:val="00815725"/>
    <w:rsid w:val="0081578C"/>
    <w:rsid w:val="00815AB3"/>
    <w:rsid w:val="00815CC5"/>
    <w:rsid w:val="00815E11"/>
    <w:rsid w:val="00815F94"/>
    <w:rsid w:val="00816169"/>
    <w:rsid w:val="008162B7"/>
    <w:rsid w:val="00816879"/>
    <w:rsid w:val="00816D7E"/>
    <w:rsid w:val="00816E29"/>
    <w:rsid w:val="00817394"/>
    <w:rsid w:val="008173CB"/>
    <w:rsid w:val="00817763"/>
    <w:rsid w:val="008179A3"/>
    <w:rsid w:val="008179B2"/>
    <w:rsid w:val="00817F37"/>
    <w:rsid w:val="00817F67"/>
    <w:rsid w:val="00817FE5"/>
    <w:rsid w:val="008200FA"/>
    <w:rsid w:val="008204ED"/>
    <w:rsid w:val="00820A06"/>
    <w:rsid w:val="00821198"/>
    <w:rsid w:val="008213D2"/>
    <w:rsid w:val="008216EF"/>
    <w:rsid w:val="00821845"/>
    <w:rsid w:val="008219E6"/>
    <w:rsid w:val="00821AAA"/>
    <w:rsid w:val="0082244F"/>
    <w:rsid w:val="00822631"/>
    <w:rsid w:val="00822930"/>
    <w:rsid w:val="00822D89"/>
    <w:rsid w:val="00822F18"/>
    <w:rsid w:val="008230E0"/>
    <w:rsid w:val="008236C3"/>
    <w:rsid w:val="008236E8"/>
    <w:rsid w:val="008237EC"/>
    <w:rsid w:val="008237F0"/>
    <w:rsid w:val="00823F54"/>
    <w:rsid w:val="00823F86"/>
    <w:rsid w:val="008240F3"/>
    <w:rsid w:val="00824192"/>
    <w:rsid w:val="00824380"/>
    <w:rsid w:val="0082460B"/>
    <w:rsid w:val="00824A10"/>
    <w:rsid w:val="00824AE7"/>
    <w:rsid w:val="008254E6"/>
    <w:rsid w:val="008254EF"/>
    <w:rsid w:val="00825644"/>
    <w:rsid w:val="00825727"/>
    <w:rsid w:val="008257C4"/>
    <w:rsid w:val="008257C6"/>
    <w:rsid w:val="00825819"/>
    <w:rsid w:val="00825932"/>
    <w:rsid w:val="008259CC"/>
    <w:rsid w:val="00825AEE"/>
    <w:rsid w:val="00825DD2"/>
    <w:rsid w:val="00825EC8"/>
    <w:rsid w:val="00825F85"/>
    <w:rsid w:val="00826006"/>
    <w:rsid w:val="00826141"/>
    <w:rsid w:val="00826281"/>
    <w:rsid w:val="00826297"/>
    <w:rsid w:val="008264AB"/>
    <w:rsid w:val="00826798"/>
    <w:rsid w:val="00826B05"/>
    <w:rsid w:val="00826B12"/>
    <w:rsid w:val="00826E7B"/>
    <w:rsid w:val="00827079"/>
    <w:rsid w:val="008273E0"/>
    <w:rsid w:val="008273FA"/>
    <w:rsid w:val="008275C7"/>
    <w:rsid w:val="00827635"/>
    <w:rsid w:val="00827733"/>
    <w:rsid w:val="00827A63"/>
    <w:rsid w:val="00827B4D"/>
    <w:rsid w:val="00827D3B"/>
    <w:rsid w:val="00827FF5"/>
    <w:rsid w:val="008307BB"/>
    <w:rsid w:val="00831260"/>
    <w:rsid w:val="008313DF"/>
    <w:rsid w:val="00831415"/>
    <w:rsid w:val="0083152B"/>
    <w:rsid w:val="00831750"/>
    <w:rsid w:val="00831865"/>
    <w:rsid w:val="00831D35"/>
    <w:rsid w:val="00831E9E"/>
    <w:rsid w:val="008321A3"/>
    <w:rsid w:val="00832C48"/>
    <w:rsid w:val="00832CBD"/>
    <w:rsid w:val="00832D1E"/>
    <w:rsid w:val="00832DDD"/>
    <w:rsid w:val="008335B6"/>
    <w:rsid w:val="0083363B"/>
    <w:rsid w:val="0083377B"/>
    <w:rsid w:val="0083383C"/>
    <w:rsid w:val="00834236"/>
    <w:rsid w:val="00834351"/>
    <w:rsid w:val="008346E6"/>
    <w:rsid w:val="00834A71"/>
    <w:rsid w:val="00834ADD"/>
    <w:rsid w:val="00834AEB"/>
    <w:rsid w:val="00834B40"/>
    <w:rsid w:val="00834D53"/>
    <w:rsid w:val="00834DB6"/>
    <w:rsid w:val="00834E86"/>
    <w:rsid w:val="00835390"/>
    <w:rsid w:val="00835419"/>
    <w:rsid w:val="0083546C"/>
    <w:rsid w:val="00835632"/>
    <w:rsid w:val="0083584A"/>
    <w:rsid w:val="00835FA7"/>
    <w:rsid w:val="0083605C"/>
    <w:rsid w:val="008366CC"/>
    <w:rsid w:val="00836761"/>
    <w:rsid w:val="008367A0"/>
    <w:rsid w:val="0083686A"/>
    <w:rsid w:val="00836BA2"/>
    <w:rsid w:val="00837078"/>
    <w:rsid w:val="008376EE"/>
    <w:rsid w:val="00837A44"/>
    <w:rsid w:val="00837AA8"/>
    <w:rsid w:val="008401CD"/>
    <w:rsid w:val="00840D9F"/>
    <w:rsid w:val="008413F9"/>
    <w:rsid w:val="00841543"/>
    <w:rsid w:val="00841AA3"/>
    <w:rsid w:val="008422CD"/>
    <w:rsid w:val="00842514"/>
    <w:rsid w:val="008425F6"/>
    <w:rsid w:val="008428BC"/>
    <w:rsid w:val="00842EBD"/>
    <w:rsid w:val="00843009"/>
    <w:rsid w:val="0084367A"/>
    <w:rsid w:val="00843915"/>
    <w:rsid w:val="00843993"/>
    <w:rsid w:val="008441B2"/>
    <w:rsid w:val="0084435B"/>
    <w:rsid w:val="00844433"/>
    <w:rsid w:val="00844662"/>
    <w:rsid w:val="008446DF"/>
    <w:rsid w:val="00844B46"/>
    <w:rsid w:val="00844BC0"/>
    <w:rsid w:val="008450B7"/>
    <w:rsid w:val="0084559E"/>
    <w:rsid w:val="008457DD"/>
    <w:rsid w:val="00845AB9"/>
    <w:rsid w:val="00845E90"/>
    <w:rsid w:val="00845F20"/>
    <w:rsid w:val="00845F6A"/>
    <w:rsid w:val="0084607C"/>
    <w:rsid w:val="008462ED"/>
    <w:rsid w:val="00846327"/>
    <w:rsid w:val="00846510"/>
    <w:rsid w:val="00846783"/>
    <w:rsid w:val="00846799"/>
    <w:rsid w:val="00846825"/>
    <w:rsid w:val="00846934"/>
    <w:rsid w:val="00846F81"/>
    <w:rsid w:val="00847246"/>
    <w:rsid w:val="0084735F"/>
    <w:rsid w:val="00847633"/>
    <w:rsid w:val="0084765D"/>
    <w:rsid w:val="008476BA"/>
    <w:rsid w:val="008476DF"/>
    <w:rsid w:val="0084798B"/>
    <w:rsid w:val="00847A62"/>
    <w:rsid w:val="00847C25"/>
    <w:rsid w:val="00847C99"/>
    <w:rsid w:val="00847EA9"/>
    <w:rsid w:val="00847EE1"/>
    <w:rsid w:val="00847FF8"/>
    <w:rsid w:val="00850214"/>
    <w:rsid w:val="0085097E"/>
    <w:rsid w:val="00850A4D"/>
    <w:rsid w:val="00850C40"/>
    <w:rsid w:val="008511F1"/>
    <w:rsid w:val="0085143B"/>
    <w:rsid w:val="00851539"/>
    <w:rsid w:val="008518E3"/>
    <w:rsid w:val="00851AA5"/>
    <w:rsid w:val="00851F1C"/>
    <w:rsid w:val="008526A3"/>
    <w:rsid w:val="00852822"/>
    <w:rsid w:val="00852960"/>
    <w:rsid w:val="00852997"/>
    <w:rsid w:val="00852E65"/>
    <w:rsid w:val="00853082"/>
    <w:rsid w:val="008531E0"/>
    <w:rsid w:val="0085334D"/>
    <w:rsid w:val="00853479"/>
    <w:rsid w:val="008539DB"/>
    <w:rsid w:val="00853F11"/>
    <w:rsid w:val="00854039"/>
    <w:rsid w:val="00854042"/>
    <w:rsid w:val="0085426E"/>
    <w:rsid w:val="008543A4"/>
    <w:rsid w:val="008548A7"/>
    <w:rsid w:val="008557D6"/>
    <w:rsid w:val="00855AD9"/>
    <w:rsid w:val="00855C2C"/>
    <w:rsid w:val="008561B4"/>
    <w:rsid w:val="008561BB"/>
    <w:rsid w:val="008566E6"/>
    <w:rsid w:val="0085694E"/>
    <w:rsid w:val="008569ED"/>
    <w:rsid w:val="00856B30"/>
    <w:rsid w:val="00856BFA"/>
    <w:rsid w:val="00856C89"/>
    <w:rsid w:val="00856E33"/>
    <w:rsid w:val="00856EB8"/>
    <w:rsid w:val="00857811"/>
    <w:rsid w:val="00857858"/>
    <w:rsid w:val="00857941"/>
    <w:rsid w:val="00857C48"/>
    <w:rsid w:val="00857D0D"/>
    <w:rsid w:val="008600FA"/>
    <w:rsid w:val="008601F4"/>
    <w:rsid w:val="00860BDB"/>
    <w:rsid w:val="00861066"/>
    <w:rsid w:val="008619AF"/>
    <w:rsid w:val="00861CA8"/>
    <w:rsid w:val="00861D70"/>
    <w:rsid w:val="008620EB"/>
    <w:rsid w:val="008622F3"/>
    <w:rsid w:val="00862384"/>
    <w:rsid w:val="00862788"/>
    <w:rsid w:val="00862DF6"/>
    <w:rsid w:val="00862E74"/>
    <w:rsid w:val="008631AB"/>
    <w:rsid w:val="008635DD"/>
    <w:rsid w:val="00863B3B"/>
    <w:rsid w:val="00863D10"/>
    <w:rsid w:val="00864003"/>
    <w:rsid w:val="00864017"/>
    <w:rsid w:val="00864208"/>
    <w:rsid w:val="008645E4"/>
    <w:rsid w:val="00864699"/>
    <w:rsid w:val="00864B0A"/>
    <w:rsid w:val="00864B57"/>
    <w:rsid w:val="00864C9F"/>
    <w:rsid w:val="00864DD9"/>
    <w:rsid w:val="00864FEC"/>
    <w:rsid w:val="00865351"/>
    <w:rsid w:val="00865625"/>
    <w:rsid w:val="008656F1"/>
    <w:rsid w:val="0086600C"/>
    <w:rsid w:val="008661F2"/>
    <w:rsid w:val="008662C9"/>
    <w:rsid w:val="008664E7"/>
    <w:rsid w:val="008675AA"/>
    <w:rsid w:val="00867FDE"/>
    <w:rsid w:val="00870121"/>
    <w:rsid w:val="008701B7"/>
    <w:rsid w:val="0087054B"/>
    <w:rsid w:val="00870805"/>
    <w:rsid w:val="00870BEB"/>
    <w:rsid w:val="00870C00"/>
    <w:rsid w:val="0087111B"/>
    <w:rsid w:val="008712CD"/>
    <w:rsid w:val="00871300"/>
    <w:rsid w:val="00871696"/>
    <w:rsid w:val="00871791"/>
    <w:rsid w:val="0087195B"/>
    <w:rsid w:val="00871B41"/>
    <w:rsid w:val="00871CC5"/>
    <w:rsid w:val="00871E4A"/>
    <w:rsid w:val="00872162"/>
    <w:rsid w:val="00872657"/>
    <w:rsid w:val="0087275D"/>
    <w:rsid w:val="008727E4"/>
    <w:rsid w:val="00872823"/>
    <w:rsid w:val="00872C15"/>
    <w:rsid w:val="0087313D"/>
    <w:rsid w:val="00873198"/>
    <w:rsid w:val="008733F1"/>
    <w:rsid w:val="008735C5"/>
    <w:rsid w:val="008736A9"/>
    <w:rsid w:val="008739D6"/>
    <w:rsid w:val="00873B0B"/>
    <w:rsid w:val="00873D8C"/>
    <w:rsid w:val="00873EFC"/>
    <w:rsid w:val="00873FAD"/>
    <w:rsid w:val="0087429F"/>
    <w:rsid w:val="00874411"/>
    <w:rsid w:val="00874638"/>
    <w:rsid w:val="008746D4"/>
    <w:rsid w:val="00874A8B"/>
    <w:rsid w:val="00874B5B"/>
    <w:rsid w:val="00874C1D"/>
    <w:rsid w:val="00874E34"/>
    <w:rsid w:val="00874E5B"/>
    <w:rsid w:val="00875036"/>
    <w:rsid w:val="008753B0"/>
    <w:rsid w:val="00875A08"/>
    <w:rsid w:val="00875C3D"/>
    <w:rsid w:val="00876055"/>
    <w:rsid w:val="00876065"/>
    <w:rsid w:val="008760E6"/>
    <w:rsid w:val="008768B8"/>
    <w:rsid w:val="00876C19"/>
    <w:rsid w:val="00876D48"/>
    <w:rsid w:val="00876F46"/>
    <w:rsid w:val="008771D4"/>
    <w:rsid w:val="008771D9"/>
    <w:rsid w:val="008774DF"/>
    <w:rsid w:val="00877B6D"/>
    <w:rsid w:val="00877BBB"/>
    <w:rsid w:val="00877D83"/>
    <w:rsid w:val="00877EA4"/>
    <w:rsid w:val="0088056A"/>
    <w:rsid w:val="008806F6"/>
    <w:rsid w:val="00880A07"/>
    <w:rsid w:val="00880CEC"/>
    <w:rsid w:val="00881CD4"/>
    <w:rsid w:val="00881EA6"/>
    <w:rsid w:val="00881ED5"/>
    <w:rsid w:val="0088219C"/>
    <w:rsid w:val="008821B6"/>
    <w:rsid w:val="0088253B"/>
    <w:rsid w:val="00882632"/>
    <w:rsid w:val="00882731"/>
    <w:rsid w:val="00882863"/>
    <w:rsid w:val="00882AD1"/>
    <w:rsid w:val="00882B48"/>
    <w:rsid w:val="00882C2A"/>
    <w:rsid w:val="00882C61"/>
    <w:rsid w:val="00883227"/>
    <w:rsid w:val="008833F5"/>
    <w:rsid w:val="00883A86"/>
    <w:rsid w:val="00883F69"/>
    <w:rsid w:val="00883FF0"/>
    <w:rsid w:val="00884153"/>
    <w:rsid w:val="00884441"/>
    <w:rsid w:val="0088469E"/>
    <w:rsid w:val="008847B9"/>
    <w:rsid w:val="00884B1F"/>
    <w:rsid w:val="00884CA7"/>
    <w:rsid w:val="008850B4"/>
    <w:rsid w:val="008851E3"/>
    <w:rsid w:val="0088524D"/>
    <w:rsid w:val="00885AA8"/>
    <w:rsid w:val="00885F88"/>
    <w:rsid w:val="00885FD3"/>
    <w:rsid w:val="00886172"/>
    <w:rsid w:val="00886321"/>
    <w:rsid w:val="00886A3F"/>
    <w:rsid w:val="00886F10"/>
    <w:rsid w:val="0088721F"/>
    <w:rsid w:val="00887501"/>
    <w:rsid w:val="00887AE8"/>
    <w:rsid w:val="00887C35"/>
    <w:rsid w:val="00890162"/>
    <w:rsid w:val="0089026B"/>
    <w:rsid w:val="00890459"/>
    <w:rsid w:val="008904CF"/>
    <w:rsid w:val="00890742"/>
    <w:rsid w:val="00890986"/>
    <w:rsid w:val="00890A04"/>
    <w:rsid w:val="00890B7F"/>
    <w:rsid w:val="00890C32"/>
    <w:rsid w:val="00890CA8"/>
    <w:rsid w:val="00890D5E"/>
    <w:rsid w:val="00890D76"/>
    <w:rsid w:val="00890EA3"/>
    <w:rsid w:val="00890F28"/>
    <w:rsid w:val="00890FD8"/>
    <w:rsid w:val="008912B0"/>
    <w:rsid w:val="0089139D"/>
    <w:rsid w:val="0089141D"/>
    <w:rsid w:val="0089187E"/>
    <w:rsid w:val="00891AC7"/>
    <w:rsid w:val="00891AD7"/>
    <w:rsid w:val="00891F08"/>
    <w:rsid w:val="008920E3"/>
    <w:rsid w:val="008921A8"/>
    <w:rsid w:val="00892538"/>
    <w:rsid w:val="00892AD0"/>
    <w:rsid w:val="00892CF9"/>
    <w:rsid w:val="00893036"/>
    <w:rsid w:val="0089310C"/>
    <w:rsid w:val="0089314E"/>
    <w:rsid w:val="00893922"/>
    <w:rsid w:val="00893B67"/>
    <w:rsid w:val="00893C17"/>
    <w:rsid w:val="00893E5C"/>
    <w:rsid w:val="0089416D"/>
    <w:rsid w:val="00894177"/>
    <w:rsid w:val="0089427A"/>
    <w:rsid w:val="008943BA"/>
    <w:rsid w:val="00894CAC"/>
    <w:rsid w:val="00894D5B"/>
    <w:rsid w:val="00894E88"/>
    <w:rsid w:val="0089532C"/>
    <w:rsid w:val="008956BA"/>
    <w:rsid w:val="008959B0"/>
    <w:rsid w:val="008959CE"/>
    <w:rsid w:val="00895E2A"/>
    <w:rsid w:val="0089624A"/>
    <w:rsid w:val="008962E2"/>
    <w:rsid w:val="0089641D"/>
    <w:rsid w:val="0089644D"/>
    <w:rsid w:val="00896496"/>
    <w:rsid w:val="00896703"/>
    <w:rsid w:val="00896ADB"/>
    <w:rsid w:val="00896D8C"/>
    <w:rsid w:val="0089729B"/>
    <w:rsid w:val="008977BA"/>
    <w:rsid w:val="00897C9D"/>
    <w:rsid w:val="00897DB0"/>
    <w:rsid w:val="008A0002"/>
    <w:rsid w:val="008A0140"/>
    <w:rsid w:val="008A0342"/>
    <w:rsid w:val="008A083E"/>
    <w:rsid w:val="008A0A97"/>
    <w:rsid w:val="008A0B09"/>
    <w:rsid w:val="008A0B8C"/>
    <w:rsid w:val="008A0DE8"/>
    <w:rsid w:val="008A1212"/>
    <w:rsid w:val="008A1EEE"/>
    <w:rsid w:val="008A24BE"/>
    <w:rsid w:val="008A3275"/>
    <w:rsid w:val="008A33E2"/>
    <w:rsid w:val="008A348C"/>
    <w:rsid w:val="008A35F2"/>
    <w:rsid w:val="008A362C"/>
    <w:rsid w:val="008A3DB2"/>
    <w:rsid w:val="008A4034"/>
    <w:rsid w:val="008A43A4"/>
    <w:rsid w:val="008A4488"/>
    <w:rsid w:val="008A4779"/>
    <w:rsid w:val="008A47BB"/>
    <w:rsid w:val="008A485A"/>
    <w:rsid w:val="008A4AED"/>
    <w:rsid w:val="008A4C51"/>
    <w:rsid w:val="008A52EA"/>
    <w:rsid w:val="008A53A1"/>
    <w:rsid w:val="008A5CDF"/>
    <w:rsid w:val="008A5E3F"/>
    <w:rsid w:val="008A5F85"/>
    <w:rsid w:val="008A61C9"/>
    <w:rsid w:val="008A61D1"/>
    <w:rsid w:val="008A6380"/>
    <w:rsid w:val="008A65A2"/>
    <w:rsid w:val="008A660E"/>
    <w:rsid w:val="008A66B2"/>
    <w:rsid w:val="008A66D6"/>
    <w:rsid w:val="008A6720"/>
    <w:rsid w:val="008A675A"/>
    <w:rsid w:val="008A67FE"/>
    <w:rsid w:val="008A6910"/>
    <w:rsid w:val="008A6AC5"/>
    <w:rsid w:val="008A6CC5"/>
    <w:rsid w:val="008A70F4"/>
    <w:rsid w:val="008A7334"/>
    <w:rsid w:val="008A753F"/>
    <w:rsid w:val="008A7658"/>
    <w:rsid w:val="008A76AB"/>
    <w:rsid w:val="008A76F2"/>
    <w:rsid w:val="008A7853"/>
    <w:rsid w:val="008A7912"/>
    <w:rsid w:val="008A79E8"/>
    <w:rsid w:val="008A7CAC"/>
    <w:rsid w:val="008A7E6E"/>
    <w:rsid w:val="008B0251"/>
    <w:rsid w:val="008B0B4E"/>
    <w:rsid w:val="008B0D72"/>
    <w:rsid w:val="008B0E15"/>
    <w:rsid w:val="008B0E6D"/>
    <w:rsid w:val="008B10DD"/>
    <w:rsid w:val="008B19CC"/>
    <w:rsid w:val="008B1B95"/>
    <w:rsid w:val="008B1D7F"/>
    <w:rsid w:val="008B1EE6"/>
    <w:rsid w:val="008B20E9"/>
    <w:rsid w:val="008B2479"/>
    <w:rsid w:val="008B2BF3"/>
    <w:rsid w:val="008B2CC1"/>
    <w:rsid w:val="008B2D38"/>
    <w:rsid w:val="008B2F38"/>
    <w:rsid w:val="008B30B8"/>
    <w:rsid w:val="008B33D3"/>
    <w:rsid w:val="008B37E9"/>
    <w:rsid w:val="008B397A"/>
    <w:rsid w:val="008B3F1A"/>
    <w:rsid w:val="008B41B0"/>
    <w:rsid w:val="008B41DF"/>
    <w:rsid w:val="008B4453"/>
    <w:rsid w:val="008B448B"/>
    <w:rsid w:val="008B47B2"/>
    <w:rsid w:val="008B4A89"/>
    <w:rsid w:val="008B4A92"/>
    <w:rsid w:val="008B4AED"/>
    <w:rsid w:val="008B4D72"/>
    <w:rsid w:val="008B4F12"/>
    <w:rsid w:val="008B503C"/>
    <w:rsid w:val="008B51A2"/>
    <w:rsid w:val="008B53D8"/>
    <w:rsid w:val="008B5513"/>
    <w:rsid w:val="008B586C"/>
    <w:rsid w:val="008B589D"/>
    <w:rsid w:val="008B5905"/>
    <w:rsid w:val="008B5BE4"/>
    <w:rsid w:val="008B6066"/>
    <w:rsid w:val="008B6296"/>
    <w:rsid w:val="008B65F3"/>
    <w:rsid w:val="008B6BBC"/>
    <w:rsid w:val="008B6C46"/>
    <w:rsid w:val="008B6CDE"/>
    <w:rsid w:val="008B6CEC"/>
    <w:rsid w:val="008B6EE7"/>
    <w:rsid w:val="008B720C"/>
    <w:rsid w:val="008B72B6"/>
    <w:rsid w:val="008B7324"/>
    <w:rsid w:val="008B75B3"/>
    <w:rsid w:val="008B7663"/>
    <w:rsid w:val="008B7B47"/>
    <w:rsid w:val="008B7B83"/>
    <w:rsid w:val="008C03AC"/>
    <w:rsid w:val="008C0550"/>
    <w:rsid w:val="008C0A45"/>
    <w:rsid w:val="008C0BB7"/>
    <w:rsid w:val="008C0CB0"/>
    <w:rsid w:val="008C0CF2"/>
    <w:rsid w:val="008C0EF1"/>
    <w:rsid w:val="008C0FD9"/>
    <w:rsid w:val="008C1025"/>
    <w:rsid w:val="008C108B"/>
    <w:rsid w:val="008C12DE"/>
    <w:rsid w:val="008C1385"/>
    <w:rsid w:val="008C1500"/>
    <w:rsid w:val="008C161A"/>
    <w:rsid w:val="008C194B"/>
    <w:rsid w:val="008C1958"/>
    <w:rsid w:val="008C1B88"/>
    <w:rsid w:val="008C2095"/>
    <w:rsid w:val="008C23C6"/>
    <w:rsid w:val="008C24A7"/>
    <w:rsid w:val="008C28E5"/>
    <w:rsid w:val="008C2AE9"/>
    <w:rsid w:val="008C2D92"/>
    <w:rsid w:val="008C3229"/>
    <w:rsid w:val="008C38B7"/>
    <w:rsid w:val="008C3A89"/>
    <w:rsid w:val="008C3D7E"/>
    <w:rsid w:val="008C40D3"/>
    <w:rsid w:val="008C4469"/>
    <w:rsid w:val="008C4803"/>
    <w:rsid w:val="008C4D87"/>
    <w:rsid w:val="008C4E37"/>
    <w:rsid w:val="008C4EB2"/>
    <w:rsid w:val="008C4FF3"/>
    <w:rsid w:val="008C51F8"/>
    <w:rsid w:val="008C54F8"/>
    <w:rsid w:val="008C58B8"/>
    <w:rsid w:val="008C5B22"/>
    <w:rsid w:val="008C5C94"/>
    <w:rsid w:val="008C5D68"/>
    <w:rsid w:val="008C5EEE"/>
    <w:rsid w:val="008C60CA"/>
    <w:rsid w:val="008C624B"/>
    <w:rsid w:val="008C6428"/>
    <w:rsid w:val="008C6582"/>
    <w:rsid w:val="008C69F6"/>
    <w:rsid w:val="008C6B06"/>
    <w:rsid w:val="008C723E"/>
    <w:rsid w:val="008C786D"/>
    <w:rsid w:val="008C7A08"/>
    <w:rsid w:val="008C7B69"/>
    <w:rsid w:val="008C7EB5"/>
    <w:rsid w:val="008D009E"/>
    <w:rsid w:val="008D010F"/>
    <w:rsid w:val="008D0896"/>
    <w:rsid w:val="008D09BA"/>
    <w:rsid w:val="008D09CC"/>
    <w:rsid w:val="008D11F0"/>
    <w:rsid w:val="008D14BD"/>
    <w:rsid w:val="008D1518"/>
    <w:rsid w:val="008D176B"/>
    <w:rsid w:val="008D17EC"/>
    <w:rsid w:val="008D1E77"/>
    <w:rsid w:val="008D1EDF"/>
    <w:rsid w:val="008D1F6A"/>
    <w:rsid w:val="008D2022"/>
    <w:rsid w:val="008D22E1"/>
    <w:rsid w:val="008D2522"/>
    <w:rsid w:val="008D2563"/>
    <w:rsid w:val="008D26F9"/>
    <w:rsid w:val="008D2D57"/>
    <w:rsid w:val="008D2F69"/>
    <w:rsid w:val="008D33F4"/>
    <w:rsid w:val="008D356D"/>
    <w:rsid w:val="008D3644"/>
    <w:rsid w:val="008D36D3"/>
    <w:rsid w:val="008D392D"/>
    <w:rsid w:val="008D3C50"/>
    <w:rsid w:val="008D3CD4"/>
    <w:rsid w:val="008D3D3D"/>
    <w:rsid w:val="008D3D49"/>
    <w:rsid w:val="008D42E4"/>
    <w:rsid w:val="008D437F"/>
    <w:rsid w:val="008D44A0"/>
    <w:rsid w:val="008D45FA"/>
    <w:rsid w:val="008D4974"/>
    <w:rsid w:val="008D4AEF"/>
    <w:rsid w:val="008D4B77"/>
    <w:rsid w:val="008D4F21"/>
    <w:rsid w:val="008D5707"/>
    <w:rsid w:val="008D59A5"/>
    <w:rsid w:val="008D63CE"/>
    <w:rsid w:val="008D68AE"/>
    <w:rsid w:val="008D6AAE"/>
    <w:rsid w:val="008D6F20"/>
    <w:rsid w:val="008D7887"/>
    <w:rsid w:val="008D7935"/>
    <w:rsid w:val="008E0034"/>
    <w:rsid w:val="008E04CD"/>
    <w:rsid w:val="008E05CC"/>
    <w:rsid w:val="008E07FF"/>
    <w:rsid w:val="008E0857"/>
    <w:rsid w:val="008E0C7B"/>
    <w:rsid w:val="008E0D16"/>
    <w:rsid w:val="008E1318"/>
    <w:rsid w:val="008E16A2"/>
    <w:rsid w:val="008E2191"/>
    <w:rsid w:val="008E23D2"/>
    <w:rsid w:val="008E24D7"/>
    <w:rsid w:val="008E24DE"/>
    <w:rsid w:val="008E261C"/>
    <w:rsid w:val="008E262F"/>
    <w:rsid w:val="008E26C7"/>
    <w:rsid w:val="008E28E5"/>
    <w:rsid w:val="008E2A8A"/>
    <w:rsid w:val="008E2C9F"/>
    <w:rsid w:val="008E2CDA"/>
    <w:rsid w:val="008E2D25"/>
    <w:rsid w:val="008E2F5B"/>
    <w:rsid w:val="008E3035"/>
    <w:rsid w:val="008E304C"/>
    <w:rsid w:val="008E3112"/>
    <w:rsid w:val="008E32EC"/>
    <w:rsid w:val="008E3393"/>
    <w:rsid w:val="008E34F2"/>
    <w:rsid w:val="008E3A6E"/>
    <w:rsid w:val="008E3A79"/>
    <w:rsid w:val="008E4BB3"/>
    <w:rsid w:val="008E4CA2"/>
    <w:rsid w:val="008E4E2A"/>
    <w:rsid w:val="008E4F64"/>
    <w:rsid w:val="008E542F"/>
    <w:rsid w:val="008E553A"/>
    <w:rsid w:val="008E553E"/>
    <w:rsid w:val="008E5604"/>
    <w:rsid w:val="008E58B1"/>
    <w:rsid w:val="008E5936"/>
    <w:rsid w:val="008E5A03"/>
    <w:rsid w:val="008E5A18"/>
    <w:rsid w:val="008E5D8D"/>
    <w:rsid w:val="008E609A"/>
    <w:rsid w:val="008E6145"/>
    <w:rsid w:val="008E64D8"/>
    <w:rsid w:val="008E6630"/>
    <w:rsid w:val="008E6B1E"/>
    <w:rsid w:val="008E6B2E"/>
    <w:rsid w:val="008E6E07"/>
    <w:rsid w:val="008E713F"/>
    <w:rsid w:val="008E7231"/>
    <w:rsid w:val="008E7272"/>
    <w:rsid w:val="008E7325"/>
    <w:rsid w:val="008E7721"/>
    <w:rsid w:val="008E79BA"/>
    <w:rsid w:val="008E7EB5"/>
    <w:rsid w:val="008E7FF9"/>
    <w:rsid w:val="008F005F"/>
    <w:rsid w:val="008F006F"/>
    <w:rsid w:val="008F0881"/>
    <w:rsid w:val="008F0E18"/>
    <w:rsid w:val="008F0F29"/>
    <w:rsid w:val="008F0F3F"/>
    <w:rsid w:val="008F102F"/>
    <w:rsid w:val="008F13C2"/>
    <w:rsid w:val="008F18B0"/>
    <w:rsid w:val="008F18E5"/>
    <w:rsid w:val="008F1A07"/>
    <w:rsid w:val="008F1A84"/>
    <w:rsid w:val="008F1AD7"/>
    <w:rsid w:val="008F1CA0"/>
    <w:rsid w:val="008F1E1B"/>
    <w:rsid w:val="008F2211"/>
    <w:rsid w:val="008F2315"/>
    <w:rsid w:val="008F2482"/>
    <w:rsid w:val="008F24A6"/>
    <w:rsid w:val="008F2956"/>
    <w:rsid w:val="008F29C0"/>
    <w:rsid w:val="008F2A0D"/>
    <w:rsid w:val="008F2E35"/>
    <w:rsid w:val="008F39ED"/>
    <w:rsid w:val="008F3A32"/>
    <w:rsid w:val="008F3DB2"/>
    <w:rsid w:val="008F3E83"/>
    <w:rsid w:val="008F4561"/>
    <w:rsid w:val="008F4581"/>
    <w:rsid w:val="008F4C50"/>
    <w:rsid w:val="008F4FE1"/>
    <w:rsid w:val="008F5315"/>
    <w:rsid w:val="008F555F"/>
    <w:rsid w:val="008F5A3B"/>
    <w:rsid w:val="008F5C1D"/>
    <w:rsid w:val="008F5CC3"/>
    <w:rsid w:val="008F5CF0"/>
    <w:rsid w:val="008F5D90"/>
    <w:rsid w:val="008F5E2C"/>
    <w:rsid w:val="008F644B"/>
    <w:rsid w:val="008F6865"/>
    <w:rsid w:val="008F6E59"/>
    <w:rsid w:val="008F6EE0"/>
    <w:rsid w:val="008F7173"/>
    <w:rsid w:val="008F72C3"/>
    <w:rsid w:val="008F74B0"/>
    <w:rsid w:val="008F75E7"/>
    <w:rsid w:val="008F7736"/>
    <w:rsid w:val="008F7827"/>
    <w:rsid w:val="008F7CEE"/>
    <w:rsid w:val="00900230"/>
    <w:rsid w:val="009003CE"/>
    <w:rsid w:val="0090049B"/>
    <w:rsid w:val="00900746"/>
    <w:rsid w:val="0090089A"/>
    <w:rsid w:val="00900B2E"/>
    <w:rsid w:val="00900CEA"/>
    <w:rsid w:val="00900D1A"/>
    <w:rsid w:val="00900D97"/>
    <w:rsid w:val="00900F7D"/>
    <w:rsid w:val="00901012"/>
    <w:rsid w:val="009010F4"/>
    <w:rsid w:val="009013D4"/>
    <w:rsid w:val="009014B1"/>
    <w:rsid w:val="009014F8"/>
    <w:rsid w:val="009015FA"/>
    <w:rsid w:val="00901754"/>
    <w:rsid w:val="009019A9"/>
    <w:rsid w:val="00901DE1"/>
    <w:rsid w:val="00901E52"/>
    <w:rsid w:val="009020AD"/>
    <w:rsid w:val="00902385"/>
    <w:rsid w:val="0090241E"/>
    <w:rsid w:val="009024C3"/>
    <w:rsid w:val="00902616"/>
    <w:rsid w:val="0090269E"/>
    <w:rsid w:val="00902F1E"/>
    <w:rsid w:val="00903163"/>
    <w:rsid w:val="009031E3"/>
    <w:rsid w:val="00903488"/>
    <w:rsid w:val="009034F1"/>
    <w:rsid w:val="009037B0"/>
    <w:rsid w:val="00903992"/>
    <w:rsid w:val="00903A89"/>
    <w:rsid w:val="00903AB3"/>
    <w:rsid w:val="00903D0D"/>
    <w:rsid w:val="00903E3E"/>
    <w:rsid w:val="00904020"/>
    <w:rsid w:val="00904127"/>
    <w:rsid w:val="00904703"/>
    <w:rsid w:val="00904743"/>
    <w:rsid w:val="009047AF"/>
    <w:rsid w:val="009048FB"/>
    <w:rsid w:val="00904AB1"/>
    <w:rsid w:val="00904B7E"/>
    <w:rsid w:val="00904D8C"/>
    <w:rsid w:val="00905620"/>
    <w:rsid w:val="00905941"/>
    <w:rsid w:val="009059F4"/>
    <w:rsid w:val="00905F02"/>
    <w:rsid w:val="00905F59"/>
    <w:rsid w:val="00906050"/>
    <w:rsid w:val="00906369"/>
    <w:rsid w:val="00906A76"/>
    <w:rsid w:val="00906D0E"/>
    <w:rsid w:val="00906F1B"/>
    <w:rsid w:val="00906F83"/>
    <w:rsid w:val="009070F6"/>
    <w:rsid w:val="00907675"/>
    <w:rsid w:val="009076EE"/>
    <w:rsid w:val="00907B70"/>
    <w:rsid w:val="00907ED7"/>
    <w:rsid w:val="009103BE"/>
    <w:rsid w:val="009103CA"/>
    <w:rsid w:val="00910A9B"/>
    <w:rsid w:val="00910AB8"/>
    <w:rsid w:val="00910C6B"/>
    <w:rsid w:val="00910E7C"/>
    <w:rsid w:val="00910FE0"/>
    <w:rsid w:val="0091112E"/>
    <w:rsid w:val="009115B2"/>
    <w:rsid w:val="0091180B"/>
    <w:rsid w:val="00911831"/>
    <w:rsid w:val="00911955"/>
    <w:rsid w:val="00911C12"/>
    <w:rsid w:val="00911C85"/>
    <w:rsid w:val="00912209"/>
    <w:rsid w:val="009124A7"/>
    <w:rsid w:val="00912A73"/>
    <w:rsid w:val="00912AD4"/>
    <w:rsid w:val="00912C71"/>
    <w:rsid w:val="00912D2A"/>
    <w:rsid w:val="00912FBC"/>
    <w:rsid w:val="009130BC"/>
    <w:rsid w:val="0091427A"/>
    <w:rsid w:val="00914366"/>
    <w:rsid w:val="009147E4"/>
    <w:rsid w:val="00914A39"/>
    <w:rsid w:val="00914AF4"/>
    <w:rsid w:val="0091553E"/>
    <w:rsid w:val="0091567A"/>
    <w:rsid w:val="00915723"/>
    <w:rsid w:val="0091592B"/>
    <w:rsid w:val="00915BB4"/>
    <w:rsid w:val="00915DEB"/>
    <w:rsid w:val="00915E35"/>
    <w:rsid w:val="00915E8B"/>
    <w:rsid w:val="00916555"/>
    <w:rsid w:val="009165E5"/>
    <w:rsid w:val="00916654"/>
    <w:rsid w:val="00916993"/>
    <w:rsid w:val="0091722C"/>
    <w:rsid w:val="00917251"/>
    <w:rsid w:val="009173F2"/>
    <w:rsid w:val="009174D8"/>
    <w:rsid w:val="009175FA"/>
    <w:rsid w:val="00917931"/>
    <w:rsid w:val="009179A7"/>
    <w:rsid w:val="00917BD8"/>
    <w:rsid w:val="00917FE2"/>
    <w:rsid w:val="009201BC"/>
    <w:rsid w:val="0092024E"/>
    <w:rsid w:val="00920273"/>
    <w:rsid w:val="00920DAC"/>
    <w:rsid w:val="00920EA6"/>
    <w:rsid w:val="00921167"/>
    <w:rsid w:val="00921597"/>
    <w:rsid w:val="00921A9D"/>
    <w:rsid w:val="00921D67"/>
    <w:rsid w:val="00921ED2"/>
    <w:rsid w:val="00921EF9"/>
    <w:rsid w:val="009222DB"/>
    <w:rsid w:val="009225D5"/>
    <w:rsid w:val="0092263B"/>
    <w:rsid w:val="0092269D"/>
    <w:rsid w:val="00922AEE"/>
    <w:rsid w:val="00922BCB"/>
    <w:rsid w:val="00922C9C"/>
    <w:rsid w:val="00923094"/>
    <w:rsid w:val="00923843"/>
    <w:rsid w:val="00923A78"/>
    <w:rsid w:val="009241FB"/>
    <w:rsid w:val="009242E4"/>
    <w:rsid w:val="009242FE"/>
    <w:rsid w:val="00924305"/>
    <w:rsid w:val="009244AD"/>
    <w:rsid w:val="009244FA"/>
    <w:rsid w:val="00924624"/>
    <w:rsid w:val="00924770"/>
    <w:rsid w:val="00924BDB"/>
    <w:rsid w:val="00924C68"/>
    <w:rsid w:val="00924D22"/>
    <w:rsid w:val="00924D58"/>
    <w:rsid w:val="00925030"/>
    <w:rsid w:val="009252BA"/>
    <w:rsid w:val="00925DA0"/>
    <w:rsid w:val="00926093"/>
    <w:rsid w:val="009262CF"/>
    <w:rsid w:val="009263A2"/>
    <w:rsid w:val="0092661B"/>
    <w:rsid w:val="00926650"/>
    <w:rsid w:val="0092667D"/>
    <w:rsid w:val="009266FD"/>
    <w:rsid w:val="00926B06"/>
    <w:rsid w:val="00926CAE"/>
    <w:rsid w:val="00926EEE"/>
    <w:rsid w:val="009272FE"/>
    <w:rsid w:val="00927545"/>
    <w:rsid w:val="00927791"/>
    <w:rsid w:val="0093056C"/>
    <w:rsid w:val="00930A03"/>
    <w:rsid w:val="00930AA8"/>
    <w:rsid w:val="00930CBB"/>
    <w:rsid w:val="0093184F"/>
    <w:rsid w:val="00931A58"/>
    <w:rsid w:val="00931C44"/>
    <w:rsid w:val="00931DE0"/>
    <w:rsid w:val="00931F3E"/>
    <w:rsid w:val="0093201F"/>
    <w:rsid w:val="009322FA"/>
    <w:rsid w:val="009325B4"/>
    <w:rsid w:val="00932AFE"/>
    <w:rsid w:val="00932B8B"/>
    <w:rsid w:val="00932CD9"/>
    <w:rsid w:val="00933354"/>
    <w:rsid w:val="0093342E"/>
    <w:rsid w:val="00933650"/>
    <w:rsid w:val="00933BEA"/>
    <w:rsid w:val="00934114"/>
    <w:rsid w:val="00934140"/>
    <w:rsid w:val="00934337"/>
    <w:rsid w:val="009345E4"/>
    <w:rsid w:val="00934769"/>
    <w:rsid w:val="009347AA"/>
    <w:rsid w:val="009347E8"/>
    <w:rsid w:val="009349FF"/>
    <w:rsid w:val="00934C65"/>
    <w:rsid w:val="0093518A"/>
    <w:rsid w:val="00935454"/>
    <w:rsid w:val="009354A1"/>
    <w:rsid w:val="009357C7"/>
    <w:rsid w:val="0093620A"/>
    <w:rsid w:val="00936E60"/>
    <w:rsid w:val="00936F2A"/>
    <w:rsid w:val="00937266"/>
    <w:rsid w:val="00937564"/>
    <w:rsid w:val="00937630"/>
    <w:rsid w:val="00937639"/>
    <w:rsid w:val="00937B49"/>
    <w:rsid w:val="00937EA9"/>
    <w:rsid w:val="00937EEE"/>
    <w:rsid w:val="00937F9A"/>
    <w:rsid w:val="0094004F"/>
    <w:rsid w:val="009403C0"/>
    <w:rsid w:val="00940444"/>
    <w:rsid w:val="009405B7"/>
    <w:rsid w:val="009405E7"/>
    <w:rsid w:val="0094099A"/>
    <w:rsid w:val="00940BC2"/>
    <w:rsid w:val="00940BF5"/>
    <w:rsid w:val="00940CCB"/>
    <w:rsid w:val="00940F8D"/>
    <w:rsid w:val="00941247"/>
    <w:rsid w:val="00941491"/>
    <w:rsid w:val="009414BA"/>
    <w:rsid w:val="00941501"/>
    <w:rsid w:val="0094159C"/>
    <w:rsid w:val="0094159E"/>
    <w:rsid w:val="009420D8"/>
    <w:rsid w:val="00942124"/>
    <w:rsid w:val="009421FC"/>
    <w:rsid w:val="009422EA"/>
    <w:rsid w:val="009425AF"/>
    <w:rsid w:val="009427DA"/>
    <w:rsid w:val="0094290C"/>
    <w:rsid w:val="009429B7"/>
    <w:rsid w:val="00942C41"/>
    <w:rsid w:val="00942CE3"/>
    <w:rsid w:val="00942D08"/>
    <w:rsid w:val="00942F2F"/>
    <w:rsid w:val="00943096"/>
    <w:rsid w:val="00943341"/>
    <w:rsid w:val="009434C4"/>
    <w:rsid w:val="009437AE"/>
    <w:rsid w:val="009437DB"/>
    <w:rsid w:val="00943956"/>
    <w:rsid w:val="00943A20"/>
    <w:rsid w:val="00943A3A"/>
    <w:rsid w:val="00943BBD"/>
    <w:rsid w:val="00943FF9"/>
    <w:rsid w:val="00944372"/>
    <w:rsid w:val="0094473B"/>
    <w:rsid w:val="0094481F"/>
    <w:rsid w:val="00944833"/>
    <w:rsid w:val="00944AFF"/>
    <w:rsid w:val="00944C25"/>
    <w:rsid w:val="00944D0C"/>
    <w:rsid w:val="009451F6"/>
    <w:rsid w:val="009458FF"/>
    <w:rsid w:val="00945BA7"/>
    <w:rsid w:val="00945D1E"/>
    <w:rsid w:val="00945D2C"/>
    <w:rsid w:val="00945DBB"/>
    <w:rsid w:val="009460DE"/>
    <w:rsid w:val="009462C8"/>
    <w:rsid w:val="00946728"/>
    <w:rsid w:val="0094681A"/>
    <w:rsid w:val="00946A40"/>
    <w:rsid w:val="00946A80"/>
    <w:rsid w:val="00946F71"/>
    <w:rsid w:val="00947108"/>
    <w:rsid w:val="009475F8"/>
    <w:rsid w:val="00947B7F"/>
    <w:rsid w:val="00947CF4"/>
    <w:rsid w:val="009503A4"/>
    <w:rsid w:val="00950454"/>
    <w:rsid w:val="00950592"/>
    <w:rsid w:val="00950667"/>
    <w:rsid w:val="00950EA1"/>
    <w:rsid w:val="0095113F"/>
    <w:rsid w:val="0095131F"/>
    <w:rsid w:val="0095157D"/>
    <w:rsid w:val="009515A8"/>
    <w:rsid w:val="00951752"/>
    <w:rsid w:val="0095198E"/>
    <w:rsid w:val="009519EE"/>
    <w:rsid w:val="00951CF8"/>
    <w:rsid w:val="00951D7E"/>
    <w:rsid w:val="00951ECA"/>
    <w:rsid w:val="009520A5"/>
    <w:rsid w:val="00952274"/>
    <w:rsid w:val="00952381"/>
    <w:rsid w:val="009523BC"/>
    <w:rsid w:val="00952423"/>
    <w:rsid w:val="009526C7"/>
    <w:rsid w:val="00952B9F"/>
    <w:rsid w:val="00952EC1"/>
    <w:rsid w:val="00953196"/>
    <w:rsid w:val="00953206"/>
    <w:rsid w:val="0095326E"/>
    <w:rsid w:val="0095374B"/>
    <w:rsid w:val="009537EC"/>
    <w:rsid w:val="00953800"/>
    <w:rsid w:val="00953858"/>
    <w:rsid w:val="009539EC"/>
    <w:rsid w:val="00953A90"/>
    <w:rsid w:val="00953B6C"/>
    <w:rsid w:val="00953C46"/>
    <w:rsid w:val="00954323"/>
    <w:rsid w:val="009545BE"/>
    <w:rsid w:val="0095461A"/>
    <w:rsid w:val="0095475E"/>
    <w:rsid w:val="00954AFE"/>
    <w:rsid w:val="00954BB6"/>
    <w:rsid w:val="00954C7A"/>
    <w:rsid w:val="00954EEF"/>
    <w:rsid w:val="00954EF2"/>
    <w:rsid w:val="0095517D"/>
    <w:rsid w:val="00955510"/>
    <w:rsid w:val="0095561D"/>
    <w:rsid w:val="00955AC3"/>
    <w:rsid w:val="00955CC1"/>
    <w:rsid w:val="00955E6D"/>
    <w:rsid w:val="00956137"/>
    <w:rsid w:val="009564C2"/>
    <w:rsid w:val="009566E2"/>
    <w:rsid w:val="00956796"/>
    <w:rsid w:val="009576A9"/>
    <w:rsid w:val="00957708"/>
    <w:rsid w:val="00957725"/>
    <w:rsid w:val="00957A15"/>
    <w:rsid w:val="00960004"/>
    <w:rsid w:val="009600C3"/>
    <w:rsid w:val="009604DF"/>
    <w:rsid w:val="0096080B"/>
    <w:rsid w:val="00960D91"/>
    <w:rsid w:val="00960F53"/>
    <w:rsid w:val="00961140"/>
    <w:rsid w:val="00961208"/>
    <w:rsid w:val="0096137C"/>
    <w:rsid w:val="00961690"/>
    <w:rsid w:val="00961BCD"/>
    <w:rsid w:val="00961D36"/>
    <w:rsid w:val="00961DFE"/>
    <w:rsid w:val="00961E9A"/>
    <w:rsid w:val="00961F3A"/>
    <w:rsid w:val="00962037"/>
    <w:rsid w:val="009622FC"/>
    <w:rsid w:val="00962305"/>
    <w:rsid w:val="009623D7"/>
    <w:rsid w:val="0096257E"/>
    <w:rsid w:val="00962BFB"/>
    <w:rsid w:val="0096300B"/>
    <w:rsid w:val="0096335C"/>
    <w:rsid w:val="009637EB"/>
    <w:rsid w:val="009639B6"/>
    <w:rsid w:val="00963D21"/>
    <w:rsid w:val="00964173"/>
    <w:rsid w:val="0096460F"/>
    <w:rsid w:val="00964649"/>
    <w:rsid w:val="00964A49"/>
    <w:rsid w:val="00964DE6"/>
    <w:rsid w:val="00964DE8"/>
    <w:rsid w:val="009650A5"/>
    <w:rsid w:val="00965104"/>
    <w:rsid w:val="009651DF"/>
    <w:rsid w:val="009658CA"/>
    <w:rsid w:val="0096593E"/>
    <w:rsid w:val="00966017"/>
    <w:rsid w:val="00966C9B"/>
    <w:rsid w:val="00966CAB"/>
    <w:rsid w:val="00966D1C"/>
    <w:rsid w:val="00966F16"/>
    <w:rsid w:val="009670BA"/>
    <w:rsid w:val="0096720E"/>
    <w:rsid w:val="0096728C"/>
    <w:rsid w:val="009673DA"/>
    <w:rsid w:val="009674ED"/>
    <w:rsid w:val="009677B7"/>
    <w:rsid w:val="00967876"/>
    <w:rsid w:val="00967F5E"/>
    <w:rsid w:val="00970290"/>
    <w:rsid w:val="0097037D"/>
    <w:rsid w:val="00970432"/>
    <w:rsid w:val="009707D3"/>
    <w:rsid w:val="009709B4"/>
    <w:rsid w:val="00970C16"/>
    <w:rsid w:val="00970CC1"/>
    <w:rsid w:val="00970F16"/>
    <w:rsid w:val="009710E8"/>
    <w:rsid w:val="009711A6"/>
    <w:rsid w:val="00971477"/>
    <w:rsid w:val="00971606"/>
    <w:rsid w:val="00971D96"/>
    <w:rsid w:val="009722F3"/>
    <w:rsid w:val="0097279D"/>
    <w:rsid w:val="0097297B"/>
    <w:rsid w:val="009729D3"/>
    <w:rsid w:val="00972BB6"/>
    <w:rsid w:val="0097316B"/>
    <w:rsid w:val="009734FA"/>
    <w:rsid w:val="00973589"/>
    <w:rsid w:val="00973907"/>
    <w:rsid w:val="00973E0B"/>
    <w:rsid w:val="00974525"/>
    <w:rsid w:val="00974AA4"/>
    <w:rsid w:val="00974BD1"/>
    <w:rsid w:val="00974F90"/>
    <w:rsid w:val="0097541A"/>
    <w:rsid w:val="0097558B"/>
    <w:rsid w:val="0097558E"/>
    <w:rsid w:val="00975693"/>
    <w:rsid w:val="009756F7"/>
    <w:rsid w:val="00975AFA"/>
    <w:rsid w:val="00975BE5"/>
    <w:rsid w:val="00975F56"/>
    <w:rsid w:val="0097603D"/>
    <w:rsid w:val="00976CDE"/>
    <w:rsid w:val="00976E1B"/>
    <w:rsid w:val="00976E4E"/>
    <w:rsid w:val="00976FF4"/>
    <w:rsid w:val="009774D6"/>
    <w:rsid w:val="0097774C"/>
    <w:rsid w:val="009777E6"/>
    <w:rsid w:val="0097782C"/>
    <w:rsid w:val="00977B49"/>
    <w:rsid w:val="00977DB8"/>
    <w:rsid w:val="009802E0"/>
    <w:rsid w:val="0098058C"/>
    <w:rsid w:val="009808A2"/>
    <w:rsid w:val="00980D98"/>
    <w:rsid w:val="00980EAB"/>
    <w:rsid w:val="00981127"/>
    <w:rsid w:val="00981134"/>
    <w:rsid w:val="009811BF"/>
    <w:rsid w:val="0098121C"/>
    <w:rsid w:val="0098122E"/>
    <w:rsid w:val="009813BC"/>
    <w:rsid w:val="00981493"/>
    <w:rsid w:val="009815C5"/>
    <w:rsid w:val="00981643"/>
    <w:rsid w:val="00981A86"/>
    <w:rsid w:val="00981F01"/>
    <w:rsid w:val="00981F0D"/>
    <w:rsid w:val="00981FB6"/>
    <w:rsid w:val="00982053"/>
    <w:rsid w:val="009823E6"/>
    <w:rsid w:val="00982801"/>
    <w:rsid w:val="00982D84"/>
    <w:rsid w:val="00982E3C"/>
    <w:rsid w:val="00983089"/>
    <w:rsid w:val="009831F0"/>
    <w:rsid w:val="00983248"/>
    <w:rsid w:val="00983459"/>
    <w:rsid w:val="009834AF"/>
    <w:rsid w:val="009838A1"/>
    <w:rsid w:val="00983AB6"/>
    <w:rsid w:val="00983CE8"/>
    <w:rsid w:val="00983FEF"/>
    <w:rsid w:val="0098401C"/>
    <w:rsid w:val="0098458E"/>
    <w:rsid w:val="009846E3"/>
    <w:rsid w:val="009846F1"/>
    <w:rsid w:val="009849E0"/>
    <w:rsid w:val="00984A20"/>
    <w:rsid w:val="00984DB8"/>
    <w:rsid w:val="009857F7"/>
    <w:rsid w:val="009858D4"/>
    <w:rsid w:val="00985C42"/>
    <w:rsid w:val="00985DC2"/>
    <w:rsid w:val="00985E63"/>
    <w:rsid w:val="00985E6B"/>
    <w:rsid w:val="00985ECE"/>
    <w:rsid w:val="0098612F"/>
    <w:rsid w:val="00986700"/>
    <w:rsid w:val="00986E6E"/>
    <w:rsid w:val="009871A5"/>
    <w:rsid w:val="009871BE"/>
    <w:rsid w:val="0098724C"/>
    <w:rsid w:val="00987AB4"/>
    <w:rsid w:val="00987E5D"/>
    <w:rsid w:val="009900F2"/>
    <w:rsid w:val="00990190"/>
    <w:rsid w:val="00990247"/>
    <w:rsid w:val="009902E2"/>
    <w:rsid w:val="00990741"/>
    <w:rsid w:val="00990902"/>
    <w:rsid w:val="00990EBB"/>
    <w:rsid w:val="00991109"/>
    <w:rsid w:val="0099112E"/>
    <w:rsid w:val="0099128F"/>
    <w:rsid w:val="009914DA"/>
    <w:rsid w:val="0099160B"/>
    <w:rsid w:val="00991BE0"/>
    <w:rsid w:val="00991C33"/>
    <w:rsid w:val="00991D55"/>
    <w:rsid w:val="00991EE9"/>
    <w:rsid w:val="00991EEC"/>
    <w:rsid w:val="00992174"/>
    <w:rsid w:val="00992215"/>
    <w:rsid w:val="0099258D"/>
    <w:rsid w:val="009925B7"/>
    <w:rsid w:val="00992605"/>
    <w:rsid w:val="0099275D"/>
    <w:rsid w:val="00992821"/>
    <w:rsid w:val="00993176"/>
    <w:rsid w:val="0099330B"/>
    <w:rsid w:val="009934EA"/>
    <w:rsid w:val="00993530"/>
    <w:rsid w:val="00993582"/>
    <w:rsid w:val="00993646"/>
    <w:rsid w:val="0099408D"/>
    <w:rsid w:val="009941F4"/>
    <w:rsid w:val="009944A6"/>
    <w:rsid w:val="00994934"/>
    <w:rsid w:val="00994B02"/>
    <w:rsid w:val="00994F85"/>
    <w:rsid w:val="009953EF"/>
    <w:rsid w:val="009957C8"/>
    <w:rsid w:val="00995E28"/>
    <w:rsid w:val="0099670A"/>
    <w:rsid w:val="00996B7F"/>
    <w:rsid w:val="00996D4D"/>
    <w:rsid w:val="00996FA9"/>
    <w:rsid w:val="00997367"/>
    <w:rsid w:val="00997376"/>
    <w:rsid w:val="0099744F"/>
    <w:rsid w:val="009977E1"/>
    <w:rsid w:val="00997A26"/>
    <w:rsid w:val="00997BFD"/>
    <w:rsid w:val="00997E02"/>
    <w:rsid w:val="009A0E3E"/>
    <w:rsid w:val="009A12DA"/>
    <w:rsid w:val="009A13F2"/>
    <w:rsid w:val="009A194E"/>
    <w:rsid w:val="009A1BC4"/>
    <w:rsid w:val="009A1BEE"/>
    <w:rsid w:val="009A1CA0"/>
    <w:rsid w:val="009A227D"/>
    <w:rsid w:val="009A247A"/>
    <w:rsid w:val="009A2768"/>
    <w:rsid w:val="009A285A"/>
    <w:rsid w:val="009A29D2"/>
    <w:rsid w:val="009A2B30"/>
    <w:rsid w:val="009A2D91"/>
    <w:rsid w:val="009A302F"/>
    <w:rsid w:val="009A342C"/>
    <w:rsid w:val="009A3571"/>
    <w:rsid w:val="009A3992"/>
    <w:rsid w:val="009A3BBD"/>
    <w:rsid w:val="009A3C7B"/>
    <w:rsid w:val="009A4201"/>
    <w:rsid w:val="009A455E"/>
    <w:rsid w:val="009A4901"/>
    <w:rsid w:val="009A4E8E"/>
    <w:rsid w:val="009A4F45"/>
    <w:rsid w:val="009A59D1"/>
    <w:rsid w:val="009A5DCC"/>
    <w:rsid w:val="009A5F2D"/>
    <w:rsid w:val="009A6093"/>
    <w:rsid w:val="009A627D"/>
    <w:rsid w:val="009A66C0"/>
    <w:rsid w:val="009A69C2"/>
    <w:rsid w:val="009A6ABA"/>
    <w:rsid w:val="009A6D92"/>
    <w:rsid w:val="009A6E07"/>
    <w:rsid w:val="009A6E21"/>
    <w:rsid w:val="009A74D6"/>
    <w:rsid w:val="009A7679"/>
    <w:rsid w:val="009A7968"/>
    <w:rsid w:val="009A7D62"/>
    <w:rsid w:val="009A7F3F"/>
    <w:rsid w:val="009B00BF"/>
    <w:rsid w:val="009B00D2"/>
    <w:rsid w:val="009B016C"/>
    <w:rsid w:val="009B06DC"/>
    <w:rsid w:val="009B085C"/>
    <w:rsid w:val="009B0C59"/>
    <w:rsid w:val="009B0C63"/>
    <w:rsid w:val="009B1233"/>
    <w:rsid w:val="009B1282"/>
    <w:rsid w:val="009B17E7"/>
    <w:rsid w:val="009B1A23"/>
    <w:rsid w:val="009B1FAE"/>
    <w:rsid w:val="009B2160"/>
    <w:rsid w:val="009B2481"/>
    <w:rsid w:val="009B24F3"/>
    <w:rsid w:val="009B2729"/>
    <w:rsid w:val="009B28FA"/>
    <w:rsid w:val="009B2CED"/>
    <w:rsid w:val="009B30A0"/>
    <w:rsid w:val="009B321C"/>
    <w:rsid w:val="009B3618"/>
    <w:rsid w:val="009B37AC"/>
    <w:rsid w:val="009B38C9"/>
    <w:rsid w:val="009B3C31"/>
    <w:rsid w:val="009B3D0B"/>
    <w:rsid w:val="009B3DA7"/>
    <w:rsid w:val="009B4616"/>
    <w:rsid w:val="009B46C6"/>
    <w:rsid w:val="009B4CC3"/>
    <w:rsid w:val="009B4F5D"/>
    <w:rsid w:val="009B515D"/>
    <w:rsid w:val="009B52E4"/>
    <w:rsid w:val="009B5431"/>
    <w:rsid w:val="009B60EE"/>
    <w:rsid w:val="009B653B"/>
    <w:rsid w:val="009B6745"/>
    <w:rsid w:val="009B6947"/>
    <w:rsid w:val="009B6A75"/>
    <w:rsid w:val="009B6EC2"/>
    <w:rsid w:val="009B6F1E"/>
    <w:rsid w:val="009B6F56"/>
    <w:rsid w:val="009B7457"/>
    <w:rsid w:val="009B7739"/>
    <w:rsid w:val="009B7AD8"/>
    <w:rsid w:val="009B7BE7"/>
    <w:rsid w:val="009B7C89"/>
    <w:rsid w:val="009B7EB4"/>
    <w:rsid w:val="009C00EA"/>
    <w:rsid w:val="009C0585"/>
    <w:rsid w:val="009C0EFF"/>
    <w:rsid w:val="009C124D"/>
    <w:rsid w:val="009C1402"/>
    <w:rsid w:val="009C1423"/>
    <w:rsid w:val="009C169F"/>
    <w:rsid w:val="009C17CA"/>
    <w:rsid w:val="009C19B3"/>
    <w:rsid w:val="009C19BE"/>
    <w:rsid w:val="009C19DF"/>
    <w:rsid w:val="009C1A8C"/>
    <w:rsid w:val="009C1AA2"/>
    <w:rsid w:val="009C1B3A"/>
    <w:rsid w:val="009C1B89"/>
    <w:rsid w:val="009C2017"/>
    <w:rsid w:val="009C213C"/>
    <w:rsid w:val="009C215F"/>
    <w:rsid w:val="009C22C8"/>
    <w:rsid w:val="009C28D4"/>
    <w:rsid w:val="009C2A87"/>
    <w:rsid w:val="009C2AA5"/>
    <w:rsid w:val="009C2D08"/>
    <w:rsid w:val="009C346D"/>
    <w:rsid w:val="009C3BC3"/>
    <w:rsid w:val="009C3C44"/>
    <w:rsid w:val="009C3DFC"/>
    <w:rsid w:val="009C4403"/>
    <w:rsid w:val="009C47FE"/>
    <w:rsid w:val="009C4827"/>
    <w:rsid w:val="009C4A76"/>
    <w:rsid w:val="009C4ADE"/>
    <w:rsid w:val="009C4E05"/>
    <w:rsid w:val="009C4FFC"/>
    <w:rsid w:val="009C5005"/>
    <w:rsid w:val="009C56EF"/>
    <w:rsid w:val="009C5D4C"/>
    <w:rsid w:val="009C5DBA"/>
    <w:rsid w:val="009C63B7"/>
    <w:rsid w:val="009C6598"/>
    <w:rsid w:val="009C685A"/>
    <w:rsid w:val="009C6AEB"/>
    <w:rsid w:val="009C6BE2"/>
    <w:rsid w:val="009C6D16"/>
    <w:rsid w:val="009C6FFD"/>
    <w:rsid w:val="009C7092"/>
    <w:rsid w:val="009C736C"/>
    <w:rsid w:val="009C740A"/>
    <w:rsid w:val="009C745D"/>
    <w:rsid w:val="009C7783"/>
    <w:rsid w:val="009C7CCE"/>
    <w:rsid w:val="009C7DE2"/>
    <w:rsid w:val="009D04F5"/>
    <w:rsid w:val="009D07D0"/>
    <w:rsid w:val="009D0AEE"/>
    <w:rsid w:val="009D0B7C"/>
    <w:rsid w:val="009D0C62"/>
    <w:rsid w:val="009D10B9"/>
    <w:rsid w:val="009D13D7"/>
    <w:rsid w:val="009D1441"/>
    <w:rsid w:val="009D14EC"/>
    <w:rsid w:val="009D1689"/>
    <w:rsid w:val="009D1A88"/>
    <w:rsid w:val="009D1B61"/>
    <w:rsid w:val="009D1BFA"/>
    <w:rsid w:val="009D1C1A"/>
    <w:rsid w:val="009D1EE0"/>
    <w:rsid w:val="009D244F"/>
    <w:rsid w:val="009D280C"/>
    <w:rsid w:val="009D2A98"/>
    <w:rsid w:val="009D2AF5"/>
    <w:rsid w:val="009D2D83"/>
    <w:rsid w:val="009D2EA3"/>
    <w:rsid w:val="009D339A"/>
    <w:rsid w:val="009D3E13"/>
    <w:rsid w:val="009D3EAB"/>
    <w:rsid w:val="009D46D9"/>
    <w:rsid w:val="009D49AA"/>
    <w:rsid w:val="009D4F57"/>
    <w:rsid w:val="009D5113"/>
    <w:rsid w:val="009D5197"/>
    <w:rsid w:val="009D52EB"/>
    <w:rsid w:val="009D53B7"/>
    <w:rsid w:val="009D6231"/>
    <w:rsid w:val="009D65BD"/>
    <w:rsid w:val="009D660E"/>
    <w:rsid w:val="009D68CC"/>
    <w:rsid w:val="009D70E6"/>
    <w:rsid w:val="009D7125"/>
    <w:rsid w:val="009D716D"/>
    <w:rsid w:val="009D7562"/>
    <w:rsid w:val="009D7581"/>
    <w:rsid w:val="009D7631"/>
    <w:rsid w:val="009D77C9"/>
    <w:rsid w:val="009D7980"/>
    <w:rsid w:val="009D7E9C"/>
    <w:rsid w:val="009E000D"/>
    <w:rsid w:val="009E02C4"/>
    <w:rsid w:val="009E0408"/>
    <w:rsid w:val="009E042F"/>
    <w:rsid w:val="009E048B"/>
    <w:rsid w:val="009E0F7C"/>
    <w:rsid w:val="009E10ED"/>
    <w:rsid w:val="009E175B"/>
    <w:rsid w:val="009E19FE"/>
    <w:rsid w:val="009E1D5E"/>
    <w:rsid w:val="009E1FFE"/>
    <w:rsid w:val="009E2031"/>
    <w:rsid w:val="009E2680"/>
    <w:rsid w:val="009E2813"/>
    <w:rsid w:val="009E2B76"/>
    <w:rsid w:val="009E2D71"/>
    <w:rsid w:val="009E2DCD"/>
    <w:rsid w:val="009E2F67"/>
    <w:rsid w:val="009E302E"/>
    <w:rsid w:val="009E31B9"/>
    <w:rsid w:val="009E3322"/>
    <w:rsid w:val="009E34B8"/>
    <w:rsid w:val="009E395E"/>
    <w:rsid w:val="009E3C91"/>
    <w:rsid w:val="009E3F13"/>
    <w:rsid w:val="009E4138"/>
    <w:rsid w:val="009E4BD3"/>
    <w:rsid w:val="009E4CD4"/>
    <w:rsid w:val="009E4EC8"/>
    <w:rsid w:val="009E4FD6"/>
    <w:rsid w:val="009E56F5"/>
    <w:rsid w:val="009E592A"/>
    <w:rsid w:val="009E5A1B"/>
    <w:rsid w:val="009E5BFD"/>
    <w:rsid w:val="009E5D04"/>
    <w:rsid w:val="009E602D"/>
    <w:rsid w:val="009E6214"/>
    <w:rsid w:val="009E62E2"/>
    <w:rsid w:val="009E62EC"/>
    <w:rsid w:val="009E639E"/>
    <w:rsid w:val="009E656C"/>
    <w:rsid w:val="009E6634"/>
    <w:rsid w:val="009E6A2A"/>
    <w:rsid w:val="009E6A7F"/>
    <w:rsid w:val="009E6BA6"/>
    <w:rsid w:val="009E6F97"/>
    <w:rsid w:val="009F09F4"/>
    <w:rsid w:val="009F0BE9"/>
    <w:rsid w:val="009F0C07"/>
    <w:rsid w:val="009F0CE8"/>
    <w:rsid w:val="009F0EEA"/>
    <w:rsid w:val="009F11E1"/>
    <w:rsid w:val="009F1356"/>
    <w:rsid w:val="009F151A"/>
    <w:rsid w:val="009F15CB"/>
    <w:rsid w:val="009F1A55"/>
    <w:rsid w:val="009F26B2"/>
    <w:rsid w:val="009F2C3F"/>
    <w:rsid w:val="009F2D21"/>
    <w:rsid w:val="009F2D84"/>
    <w:rsid w:val="009F34A4"/>
    <w:rsid w:val="009F3855"/>
    <w:rsid w:val="009F3DF3"/>
    <w:rsid w:val="009F4089"/>
    <w:rsid w:val="009F4B28"/>
    <w:rsid w:val="009F5415"/>
    <w:rsid w:val="009F5726"/>
    <w:rsid w:val="009F5A34"/>
    <w:rsid w:val="009F5CD0"/>
    <w:rsid w:val="009F5E4C"/>
    <w:rsid w:val="009F61C6"/>
    <w:rsid w:val="009F61EC"/>
    <w:rsid w:val="009F6AA8"/>
    <w:rsid w:val="009F6AE1"/>
    <w:rsid w:val="009F6F21"/>
    <w:rsid w:val="009F7466"/>
    <w:rsid w:val="009F76AB"/>
    <w:rsid w:val="009F7CB1"/>
    <w:rsid w:val="00A002C9"/>
    <w:rsid w:val="00A004C6"/>
    <w:rsid w:val="00A008BC"/>
    <w:rsid w:val="00A008F2"/>
    <w:rsid w:val="00A00962"/>
    <w:rsid w:val="00A00A8B"/>
    <w:rsid w:val="00A0100F"/>
    <w:rsid w:val="00A010C1"/>
    <w:rsid w:val="00A0163C"/>
    <w:rsid w:val="00A01869"/>
    <w:rsid w:val="00A01E4C"/>
    <w:rsid w:val="00A02161"/>
    <w:rsid w:val="00A02373"/>
    <w:rsid w:val="00A0243C"/>
    <w:rsid w:val="00A02473"/>
    <w:rsid w:val="00A025D7"/>
    <w:rsid w:val="00A029E8"/>
    <w:rsid w:val="00A02BAC"/>
    <w:rsid w:val="00A02D4B"/>
    <w:rsid w:val="00A03060"/>
    <w:rsid w:val="00A0368D"/>
    <w:rsid w:val="00A037B7"/>
    <w:rsid w:val="00A03A01"/>
    <w:rsid w:val="00A03B09"/>
    <w:rsid w:val="00A03BC0"/>
    <w:rsid w:val="00A03EB9"/>
    <w:rsid w:val="00A0402E"/>
    <w:rsid w:val="00A041DB"/>
    <w:rsid w:val="00A044D2"/>
    <w:rsid w:val="00A046BE"/>
    <w:rsid w:val="00A04D57"/>
    <w:rsid w:val="00A04D7D"/>
    <w:rsid w:val="00A05728"/>
    <w:rsid w:val="00A059BC"/>
    <w:rsid w:val="00A05CDC"/>
    <w:rsid w:val="00A05E51"/>
    <w:rsid w:val="00A063D9"/>
    <w:rsid w:val="00A06552"/>
    <w:rsid w:val="00A0682B"/>
    <w:rsid w:val="00A06AE5"/>
    <w:rsid w:val="00A06E74"/>
    <w:rsid w:val="00A06F6C"/>
    <w:rsid w:val="00A0714E"/>
    <w:rsid w:val="00A07669"/>
    <w:rsid w:val="00A078B5"/>
    <w:rsid w:val="00A07EF1"/>
    <w:rsid w:val="00A07FF9"/>
    <w:rsid w:val="00A10095"/>
    <w:rsid w:val="00A10143"/>
    <w:rsid w:val="00A102E8"/>
    <w:rsid w:val="00A1081F"/>
    <w:rsid w:val="00A10C96"/>
    <w:rsid w:val="00A10CC6"/>
    <w:rsid w:val="00A10D3A"/>
    <w:rsid w:val="00A10D83"/>
    <w:rsid w:val="00A10D94"/>
    <w:rsid w:val="00A10FD3"/>
    <w:rsid w:val="00A11005"/>
    <w:rsid w:val="00A11046"/>
    <w:rsid w:val="00A11261"/>
    <w:rsid w:val="00A1132A"/>
    <w:rsid w:val="00A115BD"/>
    <w:rsid w:val="00A1181A"/>
    <w:rsid w:val="00A11A77"/>
    <w:rsid w:val="00A11B48"/>
    <w:rsid w:val="00A11B87"/>
    <w:rsid w:val="00A11B8E"/>
    <w:rsid w:val="00A11CBF"/>
    <w:rsid w:val="00A11D3D"/>
    <w:rsid w:val="00A12056"/>
    <w:rsid w:val="00A121A5"/>
    <w:rsid w:val="00A12539"/>
    <w:rsid w:val="00A12BD4"/>
    <w:rsid w:val="00A12C93"/>
    <w:rsid w:val="00A12D3B"/>
    <w:rsid w:val="00A13059"/>
    <w:rsid w:val="00A134BA"/>
    <w:rsid w:val="00A13606"/>
    <w:rsid w:val="00A1377C"/>
    <w:rsid w:val="00A139B4"/>
    <w:rsid w:val="00A13A65"/>
    <w:rsid w:val="00A13D01"/>
    <w:rsid w:val="00A14244"/>
    <w:rsid w:val="00A1476E"/>
    <w:rsid w:val="00A14790"/>
    <w:rsid w:val="00A14928"/>
    <w:rsid w:val="00A14A57"/>
    <w:rsid w:val="00A14B82"/>
    <w:rsid w:val="00A14BBB"/>
    <w:rsid w:val="00A15147"/>
    <w:rsid w:val="00A154D3"/>
    <w:rsid w:val="00A16435"/>
    <w:rsid w:val="00A16680"/>
    <w:rsid w:val="00A16760"/>
    <w:rsid w:val="00A16B53"/>
    <w:rsid w:val="00A17031"/>
    <w:rsid w:val="00A1753C"/>
    <w:rsid w:val="00A177CB"/>
    <w:rsid w:val="00A179AE"/>
    <w:rsid w:val="00A17C9D"/>
    <w:rsid w:val="00A17FD8"/>
    <w:rsid w:val="00A2001F"/>
    <w:rsid w:val="00A20054"/>
    <w:rsid w:val="00A20191"/>
    <w:rsid w:val="00A2056E"/>
    <w:rsid w:val="00A2087E"/>
    <w:rsid w:val="00A208AA"/>
    <w:rsid w:val="00A20B00"/>
    <w:rsid w:val="00A20C06"/>
    <w:rsid w:val="00A2101D"/>
    <w:rsid w:val="00A21152"/>
    <w:rsid w:val="00A2122B"/>
    <w:rsid w:val="00A212AF"/>
    <w:rsid w:val="00A21407"/>
    <w:rsid w:val="00A2167E"/>
    <w:rsid w:val="00A21728"/>
    <w:rsid w:val="00A21FCB"/>
    <w:rsid w:val="00A22129"/>
    <w:rsid w:val="00A2238C"/>
    <w:rsid w:val="00A224CC"/>
    <w:rsid w:val="00A226D3"/>
    <w:rsid w:val="00A22AAD"/>
    <w:rsid w:val="00A2312E"/>
    <w:rsid w:val="00A23377"/>
    <w:rsid w:val="00A236EF"/>
    <w:rsid w:val="00A23B6B"/>
    <w:rsid w:val="00A23B71"/>
    <w:rsid w:val="00A23E2C"/>
    <w:rsid w:val="00A23ECD"/>
    <w:rsid w:val="00A24218"/>
    <w:rsid w:val="00A2430C"/>
    <w:rsid w:val="00A249D9"/>
    <w:rsid w:val="00A24B3F"/>
    <w:rsid w:val="00A24BC1"/>
    <w:rsid w:val="00A24BEA"/>
    <w:rsid w:val="00A24E55"/>
    <w:rsid w:val="00A2515E"/>
    <w:rsid w:val="00A253C2"/>
    <w:rsid w:val="00A255C3"/>
    <w:rsid w:val="00A258EA"/>
    <w:rsid w:val="00A26121"/>
    <w:rsid w:val="00A26175"/>
    <w:rsid w:val="00A2648C"/>
    <w:rsid w:val="00A267DB"/>
    <w:rsid w:val="00A26AD7"/>
    <w:rsid w:val="00A26B41"/>
    <w:rsid w:val="00A26E55"/>
    <w:rsid w:val="00A27169"/>
    <w:rsid w:val="00A272CB"/>
    <w:rsid w:val="00A276DA"/>
    <w:rsid w:val="00A278C1"/>
    <w:rsid w:val="00A27DD2"/>
    <w:rsid w:val="00A30100"/>
    <w:rsid w:val="00A30685"/>
    <w:rsid w:val="00A30902"/>
    <w:rsid w:val="00A3097F"/>
    <w:rsid w:val="00A311C4"/>
    <w:rsid w:val="00A31359"/>
    <w:rsid w:val="00A314EA"/>
    <w:rsid w:val="00A31540"/>
    <w:rsid w:val="00A31678"/>
    <w:rsid w:val="00A316A4"/>
    <w:rsid w:val="00A3179B"/>
    <w:rsid w:val="00A31828"/>
    <w:rsid w:val="00A31A44"/>
    <w:rsid w:val="00A31BE8"/>
    <w:rsid w:val="00A31C87"/>
    <w:rsid w:val="00A323B1"/>
    <w:rsid w:val="00A323FF"/>
    <w:rsid w:val="00A3269F"/>
    <w:rsid w:val="00A326AE"/>
    <w:rsid w:val="00A32A60"/>
    <w:rsid w:val="00A32DAC"/>
    <w:rsid w:val="00A32E73"/>
    <w:rsid w:val="00A334EB"/>
    <w:rsid w:val="00A337A1"/>
    <w:rsid w:val="00A33808"/>
    <w:rsid w:val="00A339EE"/>
    <w:rsid w:val="00A33A0A"/>
    <w:rsid w:val="00A33ABF"/>
    <w:rsid w:val="00A33BDA"/>
    <w:rsid w:val="00A33BF8"/>
    <w:rsid w:val="00A33CA2"/>
    <w:rsid w:val="00A33EF0"/>
    <w:rsid w:val="00A34591"/>
    <w:rsid w:val="00A34A8C"/>
    <w:rsid w:val="00A34ADA"/>
    <w:rsid w:val="00A34DF5"/>
    <w:rsid w:val="00A34FCC"/>
    <w:rsid w:val="00A3528A"/>
    <w:rsid w:val="00A35337"/>
    <w:rsid w:val="00A35EDC"/>
    <w:rsid w:val="00A35EDE"/>
    <w:rsid w:val="00A35F6A"/>
    <w:rsid w:val="00A3618C"/>
    <w:rsid w:val="00A365B9"/>
    <w:rsid w:val="00A36689"/>
    <w:rsid w:val="00A36E71"/>
    <w:rsid w:val="00A3711A"/>
    <w:rsid w:val="00A3733E"/>
    <w:rsid w:val="00A37432"/>
    <w:rsid w:val="00A376CA"/>
    <w:rsid w:val="00A376CC"/>
    <w:rsid w:val="00A378AF"/>
    <w:rsid w:val="00A379F1"/>
    <w:rsid w:val="00A37BAA"/>
    <w:rsid w:val="00A400E3"/>
    <w:rsid w:val="00A40566"/>
    <w:rsid w:val="00A4056D"/>
    <w:rsid w:val="00A4068F"/>
    <w:rsid w:val="00A407D8"/>
    <w:rsid w:val="00A40D94"/>
    <w:rsid w:val="00A40EA1"/>
    <w:rsid w:val="00A4102E"/>
    <w:rsid w:val="00A416EA"/>
    <w:rsid w:val="00A41778"/>
    <w:rsid w:val="00A41985"/>
    <w:rsid w:val="00A41AA3"/>
    <w:rsid w:val="00A41D6D"/>
    <w:rsid w:val="00A42047"/>
    <w:rsid w:val="00A42169"/>
    <w:rsid w:val="00A4226C"/>
    <w:rsid w:val="00A42394"/>
    <w:rsid w:val="00A42606"/>
    <w:rsid w:val="00A426B7"/>
    <w:rsid w:val="00A42C31"/>
    <w:rsid w:val="00A42CA7"/>
    <w:rsid w:val="00A42D26"/>
    <w:rsid w:val="00A42F34"/>
    <w:rsid w:val="00A4334B"/>
    <w:rsid w:val="00A43572"/>
    <w:rsid w:val="00A43854"/>
    <w:rsid w:val="00A440C6"/>
    <w:rsid w:val="00A44272"/>
    <w:rsid w:val="00A4438E"/>
    <w:rsid w:val="00A4466E"/>
    <w:rsid w:val="00A449BB"/>
    <w:rsid w:val="00A44CA2"/>
    <w:rsid w:val="00A44F5C"/>
    <w:rsid w:val="00A454F0"/>
    <w:rsid w:val="00A45584"/>
    <w:rsid w:val="00A4588D"/>
    <w:rsid w:val="00A4592A"/>
    <w:rsid w:val="00A46630"/>
    <w:rsid w:val="00A46692"/>
    <w:rsid w:val="00A46842"/>
    <w:rsid w:val="00A46B2D"/>
    <w:rsid w:val="00A46E81"/>
    <w:rsid w:val="00A4785A"/>
    <w:rsid w:val="00A47B7E"/>
    <w:rsid w:val="00A47E03"/>
    <w:rsid w:val="00A47FC5"/>
    <w:rsid w:val="00A502C5"/>
    <w:rsid w:val="00A505C2"/>
    <w:rsid w:val="00A5063C"/>
    <w:rsid w:val="00A50702"/>
    <w:rsid w:val="00A50876"/>
    <w:rsid w:val="00A50912"/>
    <w:rsid w:val="00A50955"/>
    <w:rsid w:val="00A50A9F"/>
    <w:rsid w:val="00A50C3B"/>
    <w:rsid w:val="00A50F21"/>
    <w:rsid w:val="00A50F23"/>
    <w:rsid w:val="00A51010"/>
    <w:rsid w:val="00A51050"/>
    <w:rsid w:val="00A5112B"/>
    <w:rsid w:val="00A5145A"/>
    <w:rsid w:val="00A51467"/>
    <w:rsid w:val="00A514FD"/>
    <w:rsid w:val="00A51635"/>
    <w:rsid w:val="00A517AC"/>
    <w:rsid w:val="00A51A2D"/>
    <w:rsid w:val="00A51C38"/>
    <w:rsid w:val="00A51C48"/>
    <w:rsid w:val="00A51D6E"/>
    <w:rsid w:val="00A51FA8"/>
    <w:rsid w:val="00A522C3"/>
    <w:rsid w:val="00A52408"/>
    <w:rsid w:val="00A5262C"/>
    <w:rsid w:val="00A52743"/>
    <w:rsid w:val="00A528BD"/>
    <w:rsid w:val="00A5296D"/>
    <w:rsid w:val="00A52A7E"/>
    <w:rsid w:val="00A52AD0"/>
    <w:rsid w:val="00A52B4E"/>
    <w:rsid w:val="00A52BE1"/>
    <w:rsid w:val="00A52E3F"/>
    <w:rsid w:val="00A52F90"/>
    <w:rsid w:val="00A52FEA"/>
    <w:rsid w:val="00A53301"/>
    <w:rsid w:val="00A5364A"/>
    <w:rsid w:val="00A53937"/>
    <w:rsid w:val="00A53B5C"/>
    <w:rsid w:val="00A53F28"/>
    <w:rsid w:val="00A54161"/>
    <w:rsid w:val="00A54810"/>
    <w:rsid w:val="00A548D1"/>
    <w:rsid w:val="00A54992"/>
    <w:rsid w:val="00A54BF9"/>
    <w:rsid w:val="00A54D27"/>
    <w:rsid w:val="00A54E23"/>
    <w:rsid w:val="00A55051"/>
    <w:rsid w:val="00A55139"/>
    <w:rsid w:val="00A55205"/>
    <w:rsid w:val="00A55888"/>
    <w:rsid w:val="00A55CF9"/>
    <w:rsid w:val="00A55D26"/>
    <w:rsid w:val="00A55DD2"/>
    <w:rsid w:val="00A562B2"/>
    <w:rsid w:val="00A56712"/>
    <w:rsid w:val="00A56A53"/>
    <w:rsid w:val="00A56DE2"/>
    <w:rsid w:val="00A56EF1"/>
    <w:rsid w:val="00A57012"/>
    <w:rsid w:val="00A57028"/>
    <w:rsid w:val="00A5738A"/>
    <w:rsid w:val="00A57663"/>
    <w:rsid w:val="00A57786"/>
    <w:rsid w:val="00A5781B"/>
    <w:rsid w:val="00A5792A"/>
    <w:rsid w:val="00A57BA4"/>
    <w:rsid w:val="00A57E0D"/>
    <w:rsid w:val="00A57E74"/>
    <w:rsid w:val="00A601F0"/>
    <w:rsid w:val="00A602DE"/>
    <w:rsid w:val="00A6093B"/>
    <w:rsid w:val="00A60B54"/>
    <w:rsid w:val="00A60D35"/>
    <w:rsid w:val="00A60E5C"/>
    <w:rsid w:val="00A60E5D"/>
    <w:rsid w:val="00A60F52"/>
    <w:rsid w:val="00A61655"/>
    <w:rsid w:val="00A61769"/>
    <w:rsid w:val="00A61808"/>
    <w:rsid w:val="00A618B4"/>
    <w:rsid w:val="00A61979"/>
    <w:rsid w:val="00A61B2B"/>
    <w:rsid w:val="00A622AA"/>
    <w:rsid w:val="00A627DA"/>
    <w:rsid w:val="00A6307C"/>
    <w:rsid w:val="00A6328B"/>
    <w:rsid w:val="00A6359B"/>
    <w:rsid w:val="00A6371F"/>
    <w:rsid w:val="00A63737"/>
    <w:rsid w:val="00A63776"/>
    <w:rsid w:val="00A6391F"/>
    <w:rsid w:val="00A6392B"/>
    <w:rsid w:val="00A63B3D"/>
    <w:rsid w:val="00A63D59"/>
    <w:rsid w:val="00A64583"/>
    <w:rsid w:val="00A645D6"/>
    <w:rsid w:val="00A647A0"/>
    <w:rsid w:val="00A649E3"/>
    <w:rsid w:val="00A64B20"/>
    <w:rsid w:val="00A64C53"/>
    <w:rsid w:val="00A64E10"/>
    <w:rsid w:val="00A6507F"/>
    <w:rsid w:val="00A65667"/>
    <w:rsid w:val="00A65916"/>
    <w:rsid w:val="00A65AD3"/>
    <w:rsid w:val="00A65DEE"/>
    <w:rsid w:val="00A65DFC"/>
    <w:rsid w:val="00A66207"/>
    <w:rsid w:val="00A66270"/>
    <w:rsid w:val="00A663FB"/>
    <w:rsid w:val="00A665ED"/>
    <w:rsid w:val="00A6667F"/>
    <w:rsid w:val="00A67013"/>
    <w:rsid w:val="00A6770C"/>
    <w:rsid w:val="00A6789D"/>
    <w:rsid w:val="00A6797F"/>
    <w:rsid w:val="00A67980"/>
    <w:rsid w:val="00A701CB"/>
    <w:rsid w:val="00A70593"/>
    <w:rsid w:val="00A708EE"/>
    <w:rsid w:val="00A7096F"/>
    <w:rsid w:val="00A70AF8"/>
    <w:rsid w:val="00A70C96"/>
    <w:rsid w:val="00A70F04"/>
    <w:rsid w:val="00A7106C"/>
    <w:rsid w:val="00A71393"/>
    <w:rsid w:val="00A71989"/>
    <w:rsid w:val="00A71A26"/>
    <w:rsid w:val="00A71A84"/>
    <w:rsid w:val="00A71B21"/>
    <w:rsid w:val="00A71F7A"/>
    <w:rsid w:val="00A723A3"/>
    <w:rsid w:val="00A7293D"/>
    <w:rsid w:val="00A7297C"/>
    <w:rsid w:val="00A72B4D"/>
    <w:rsid w:val="00A72CFC"/>
    <w:rsid w:val="00A72EAA"/>
    <w:rsid w:val="00A72F96"/>
    <w:rsid w:val="00A738E2"/>
    <w:rsid w:val="00A73D9E"/>
    <w:rsid w:val="00A741DF"/>
    <w:rsid w:val="00A74346"/>
    <w:rsid w:val="00A7442A"/>
    <w:rsid w:val="00A746B1"/>
    <w:rsid w:val="00A74DAF"/>
    <w:rsid w:val="00A74E50"/>
    <w:rsid w:val="00A74FB5"/>
    <w:rsid w:val="00A74FBF"/>
    <w:rsid w:val="00A7506E"/>
    <w:rsid w:val="00A7542C"/>
    <w:rsid w:val="00A75672"/>
    <w:rsid w:val="00A75A9E"/>
    <w:rsid w:val="00A762EB"/>
    <w:rsid w:val="00A764D6"/>
    <w:rsid w:val="00A767ED"/>
    <w:rsid w:val="00A7729E"/>
    <w:rsid w:val="00A7740F"/>
    <w:rsid w:val="00A776AD"/>
    <w:rsid w:val="00A7770D"/>
    <w:rsid w:val="00A778C3"/>
    <w:rsid w:val="00A77C2C"/>
    <w:rsid w:val="00A77E54"/>
    <w:rsid w:val="00A77F93"/>
    <w:rsid w:val="00A80091"/>
    <w:rsid w:val="00A80D0E"/>
    <w:rsid w:val="00A8102F"/>
    <w:rsid w:val="00A81349"/>
    <w:rsid w:val="00A81B70"/>
    <w:rsid w:val="00A81E2C"/>
    <w:rsid w:val="00A824A6"/>
    <w:rsid w:val="00A8269F"/>
    <w:rsid w:val="00A82A0C"/>
    <w:rsid w:val="00A82A96"/>
    <w:rsid w:val="00A83088"/>
    <w:rsid w:val="00A8328A"/>
    <w:rsid w:val="00A83306"/>
    <w:rsid w:val="00A8346B"/>
    <w:rsid w:val="00A834E3"/>
    <w:rsid w:val="00A83746"/>
    <w:rsid w:val="00A837A4"/>
    <w:rsid w:val="00A83DE5"/>
    <w:rsid w:val="00A83E92"/>
    <w:rsid w:val="00A842D0"/>
    <w:rsid w:val="00A847B5"/>
    <w:rsid w:val="00A84914"/>
    <w:rsid w:val="00A8495D"/>
    <w:rsid w:val="00A8535A"/>
    <w:rsid w:val="00A8544D"/>
    <w:rsid w:val="00A854F1"/>
    <w:rsid w:val="00A855A1"/>
    <w:rsid w:val="00A857EE"/>
    <w:rsid w:val="00A85854"/>
    <w:rsid w:val="00A85878"/>
    <w:rsid w:val="00A85A3F"/>
    <w:rsid w:val="00A85CA5"/>
    <w:rsid w:val="00A85CD2"/>
    <w:rsid w:val="00A86077"/>
    <w:rsid w:val="00A86272"/>
    <w:rsid w:val="00A86A62"/>
    <w:rsid w:val="00A86B40"/>
    <w:rsid w:val="00A86B83"/>
    <w:rsid w:val="00A86E59"/>
    <w:rsid w:val="00A86E82"/>
    <w:rsid w:val="00A8734F"/>
    <w:rsid w:val="00A8749F"/>
    <w:rsid w:val="00A877A6"/>
    <w:rsid w:val="00A8796D"/>
    <w:rsid w:val="00A87972"/>
    <w:rsid w:val="00A87A5A"/>
    <w:rsid w:val="00A87A90"/>
    <w:rsid w:val="00A90323"/>
    <w:rsid w:val="00A9046B"/>
    <w:rsid w:val="00A909DC"/>
    <w:rsid w:val="00A90A71"/>
    <w:rsid w:val="00A90C62"/>
    <w:rsid w:val="00A91078"/>
    <w:rsid w:val="00A91120"/>
    <w:rsid w:val="00A91198"/>
    <w:rsid w:val="00A912FD"/>
    <w:rsid w:val="00A91692"/>
    <w:rsid w:val="00A91940"/>
    <w:rsid w:val="00A91E3D"/>
    <w:rsid w:val="00A921A4"/>
    <w:rsid w:val="00A92805"/>
    <w:rsid w:val="00A92C79"/>
    <w:rsid w:val="00A92C7B"/>
    <w:rsid w:val="00A92EC1"/>
    <w:rsid w:val="00A930F8"/>
    <w:rsid w:val="00A935C7"/>
    <w:rsid w:val="00A93AA8"/>
    <w:rsid w:val="00A93B99"/>
    <w:rsid w:val="00A93DC0"/>
    <w:rsid w:val="00A93F58"/>
    <w:rsid w:val="00A94118"/>
    <w:rsid w:val="00A94289"/>
    <w:rsid w:val="00A9428E"/>
    <w:rsid w:val="00A94320"/>
    <w:rsid w:val="00A945C7"/>
    <w:rsid w:val="00A946EC"/>
    <w:rsid w:val="00A94720"/>
    <w:rsid w:val="00A94B87"/>
    <w:rsid w:val="00A94BF9"/>
    <w:rsid w:val="00A94CA6"/>
    <w:rsid w:val="00A94E1F"/>
    <w:rsid w:val="00A94F20"/>
    <w:rsid w:val="00A94F3A"/>
    <w:rsid w:val="00A95069"/>
    <w:rsid w:val="00A9509C"/>
    <w:rsid w:val="00A950C2"/>
    <w:rsid w:val="00A95475"/>
    <w:rsid w:val="00A9551E"/>
    <w:rsid w:val="00A95B26"/>
    <w:rsid w:val="00A95FC5"/>
    <w:rsid w:val="00A9666D"/>
    <w:rsid w:val="00A96778"/>
    <w:rsid w:val="00A96A03"/>
    <w:rsid w:val="00A96B23"/>
    <w:rsid w:val="00A96CAF"/>
    <w:rsid w:val="00A96E2E"/>
    <w:rsid w:val="00A96F8D"/>
    <w:rsid w:val="00A97963"/>
    <w:rsid w:val="00A97D54"/>
    <w:rsid w:val="00A97E63"/>
    <w:rsid w:val="00AA0627"/>
    <w:rsid w:val="00AA0639"/>
    <w:rsid w:val="00AA08F0"/>
    <w:rsid w:val="00AA0F60"/>
    <w:rsid w:val="00AA12D2"/>
    <w:rsid w:val="00AA12F9"/>
    <w:rsid w:val="00AA1309"/>
    <w:rsid w:val="00AA16DD"/>
    <w:rsid w:val="00AA1A46"/>
    <w:rsid w:val="00AA20A6"/>
    <w:rsid w:val="00AA21D4"/>
    <w:rsid w:val="00AA24B4"/>
    <w:rsid w:val="00AA259C"/>
    <w:rsid w:val="00AA2800"/>
    <w:rsid w:val="00AA2949"/>
    <w:rsid w:val="00AA2E0A"/>
    <w:rsid w:val="00AA2E33"/>
    <w:rsid w:val="00AA2F89"/>
    <w:rsid w:val="00AA3119"/>
    <w:rsid w:val="00AA3233"/>
    <w:rsid w:val="00AA32EF"/>
    <w:rsid w:val="00AA3849"/>
    <w:rsid w:val="00AA3A5F"/>
    <w:rsid w:val="00AA3C59"/>
    <w:rsid w:val="00AA470C"/>
    <w:rsid w:val="00AA476A"/>
    <w:rsid w:val="00AA47C0"/>
    <w:rsid w:val="00AA52E3"/>
    <w:rsid w:val="00AA555C"/>
    <w:rsid w:val="00AA5791"/>
    <w:rsid w:val="00AA5BAA"/>
    <w:rsid w:val="00AA5BD2"/>
    <w:rsid w:val="00AA5CF0"/>
    <w:rsid w:val="00AA5E18"/>
    <w:rsid w:val="00AA5EAF"/>
    <w:rsid w:val="00AA641A"/>
    <w:rsid w:val="00AA69A9"/>
    <w:rsid w:val="00AA6D07"/>
    <w:rsid w:val="00AA6DB0"/>
    <w:rsid w:val="00AA7004"/>
    <w:rsid w:val="00AA7165"/>
    <w:rsid w:val="00AA718F"/>
    <w:rsid w:val="00AA71C0"/>
    <w:rsid w:val="00AA77FF"/>
    <w:rsid w:val="00AA79AB"/>
    <w:rsid w:val="00AA7B4C"/>
    <w:rsid w:val="00AA7CAB"/>
    <w:rsid w:val="00AA7CD0"/>
    <w:rsid w:val="00AA7D90"/>
    <w:rsid w:val="00AB037D"/>
    <w:rsid w:val="00AB03A4"/>
    <w:rsid w:val="00AB0483"/>
    <w:rsid w:val="00AB050F"/>
    <w:rsid w:val="00AB08DA"/>
    <w:rsid w:val="00AB0BBD"/>
    <w:rsid w:val="00AB0C33"/>
    <w:rsid w:val="00AB119B"/>
    <w:rsid w:val="00AB1221"/>
    <w:rsid w:val="00AB17FE"/>
    <w:rsid w:val="00AB1B5B"/>
    <w:rsid w:val="00AB1BDC"/>
    <w:rsid w:val="00AB1C2B"/>
    <w:rsid w:val="00AB2579"/>
    <w:rsid w:val="00AB2840"/>
    <w:rsid w:val="00AB2924"/>
    <w:rsid w:val="00AB2B77"/>
    <w:rsid w:val="00AB2ECB"/>
    <w:rsid w:val="00AB315A"/>
    <w:rsid w:val="00AB315C"/>
    <w:rsid w:val="00AB3216"/>
    <w:rsid w:val="00AB322B"/>
    <w:rsid w:val="00AB337F"/>
    <w:rsid w:val="00AB3713"/>
    <w:rsid w:val="00AB3AF6"/>
    <w:rsid w:val="00AB3E6F"/>
    <w:rsid w:val="00AB3EB5"/>
    <w:rsid w:val="00AB4573"/>
    <w:rsid w:val="00AB47F4"/>
    <w:rsid w:val="00AB4B25"/>
    <w:rsid w:val="00AB4BD9"/>
    <w:rsid w:val="00AB4C6C"/>
    <w:rsid w:val="00AB5148"/>
    <w:rsid w:val="00AB54AE"/>
    <w:rsid w:val="00AB57D8"/>
    <w:rsid w:val="00AB5C94"/>
    <w:rsid w:val="00AB6215"/>
    <w:rsid w:val="00AB65E4"/>
    <w:rsid w:val="00AB6775"/>
    <w:rsid w:val="00AB70F3"/>
    <w:rsid w:val="00AB728D"/>
    <w:rsid w:val="00AB76D3"/>
    <w:rsid w:val="00AB7A97"/>
    <w:rsid w:val="00AB7B4C"/>
    <w:rsid w:val="00AB7CD1"/>
    <w:rsid w:val="00AC07A4"/>
    <w:rsid w:val="00AC07F4"/>
    <w:rsid w:val="00AC0948"/>
    <w:rsid w:val="00AC0C90"/>
    <w:rsid w:val="00AC0D94"/>
    <w:rsid w:val="00AC0ED7"/>
    <w:rsid w:val="00AC0F28"/>
    <w:rsid w:val="00AC0F68"/>
    <w:rsid w:val="00AC10FF"/>
    <w:rsid w:val="00AC13A1"/>
    <w:rsid w:val="00AC15AD"/>
    <w:rsid w:val="00AC15B7"/>
    <w:rsid w:val="00AC196F"/>
    <w:rsid w:val="00AC1BFB"/>
    <w:rsid w:val="00AC218A"/>
    <w:rsid w:val="00AC2A4F"/>
    <w:rsid w:val="00AC30F5"/>
    <w:rsid w:val="00AC3565"/>
    <w:rsid w:val="00AC3A4F"/>
    <w:rsid w:val="00AC3B69"/>
    <w:rsid w:val="00AC3C23"/>
    <w:rsid w:val="00AC3C3E"/>
    <w:rsid w:val="00AC3D7E"/>
    <w:rsid w:val="00AC419C"/>
    <w:rsid w:val="00AC425D"/>
    <w:rsid w:val="00AC4394"/>
    <w:rsid w:val="00AC44E0"/>
    <w:rsid w:val="00AC45D3"/>
    <w:rsid w:val="00AC4C8D"/>
    <w:rsid w:val="00AC4E87"/>
    <w:rsid w:val="00AC51EA"/>
    <w:rsid w:val="00AC5834"/>
    <w:rsid w:val="00AC59C5"/>
    <w:rsid w:val="00AC5B5B"/>
    <w:rsid w:val="00AC5C5F"/>
    <w:rsid w:val="00AC5DA3"/>
    <w:rsid w:val="00AC6058"/>
    <w:rsid w:val="00AC6168"/>
    <w:rsid w:val="00AC6236"/>
    <w:rsid w:val="00AC625A"/>
    <w:rsid w:val="00AC66F4"/>
    <w:rsid w:val="00AC6940"/>
    <w:rsid w:val="00AC6CD7"/>
    <w:rsid w:val="00AC6EE0"/>
    <w:rsid w:val="00AC70CD"/>
    <w:rsid w:val="00AC74F4"/>
    <w:rsid w:val="00AC78C5"/>
    <w:rsid w:val="00AC7B6E"/>
    <w:rsid w:val="00AC7F45"/>
    <w:rsid w:val="00AC7F49"/>
    <w:rsid w:val="00AD00EA"/>
    <w:rsid w:val="00AD05A9"/>
    <w:rsid w:val="00AD0A14"/>
    <w:rsid w:val="00AD0C81"/>
    <w:rsid w:val="00AD0D57"/>
    <w:rsid w:val="00AD0E53"/>
    <w:rsid w:val="00AD0EC2"/>
    <w:rsid w:val="00AD1325"/>
    <w:rsid w:val="00AD174E"/>
    <w:rsid w:val="00AD19DD"/>
    <w:rsid w:val="00AD1FC0"/>
    <w:rsid w:val="00AD2785"/>
    <w:rsid w:val="00AD2833"/>
    <w:rsid w:val="00AD2898"/>
    <w:rsid w:val="00AD29CD"/>
    <w:rsid w:val="00AD2BCD"/>
    <w:rsid w:val="00AD2EC6"/>
    <w:rsid w:val="00AD332D"/>
    <w:rsid w:val="00AD349A"/>
    <w:rsid w:val="00AD3624"/>
    <w:rsid w:val="00AD3888"/>
    <w:rsid w:val="00AD3D31"/>
    <w:rsid w:val="00AD410B"/>
    <w:rsid w:val="00AD41B2"/>
    <w:rsid w:val="00AD41E7"/>
    <w:rsid w:val="00AD4701"/>
    <w:rsid w:val="00AD47A2"/>
    <w:rsid w:val="00AD4928"/>
    <w:rsid w:val="00AD4EE7"/>
    <w:rsid w:val="00AD516E"/>
    <w:rsid w:val="00AD57CA"/>
    <w:rsid w:val="00AD58D9"/>
    <w:rsid w:val="00AD5D1A"/>
    <w:rsid w:val="00AD604F"/>
    <w:rsid w:val="00AD6076"/>
    <w:rsid w:val="00AD6177"/>
    <w:rsid w:val="00AD6392"/>
    <w:rsid w:val="00AD6503"/>
    <w:rsid w:val="00AD790E"/>
    <w:rsid w:val="00AE0062"/>
    <w:rsid w:val="00AE038A"/>
    <w:rsid w:val="00AE05CB"/>
    <w:rsid w:val="00AE0621"/>
    <w:rsid w:val="00AE074A"/>
    <w:rsid w:val="00AE099D"/>
    <w:rsid w:val="00AE0B70"/>
    <w:rsid w:val="00AE0EDB"/>
    <w:rsid w:val="00AE0FAE"/>
    <w:rsid w:val="00AE1070"/>
    <w:rsid w:val="00AE115A"/>
    <w:rsid w:val="00AE1254"/>
    <w:rsid w:val="00AE1304"/>
    <w:rsid w:val="00AE130A"/>
    <w:rsid w:val="00AE1BB3"/>
    <w:rsid w:val="00AE1BE4"/>
    <w:rsid w:val="00AE1D51"/>
    <w:rsid w:val="00AE1F86"/>
    <w:rsid w:val="00AE212C"/>
    <w:rsid w:val="00AE2332"/>
    <w:rsid w:val="00AE24AF"/>
    <w:rsid w:val="00AE2B84"/>
    <w:rsid w:val="00AE2D4E"/>
    <w:rsid w:val="00AE2E5B"/>
    <w:rsid w:val="00AE31D7"/>
    <w:rsid w:val="00AE3BE8"/>
    <w:rsid w:val="00AE4227"/>
    <w:rsid w:val="00AE424C"/>
    <w:rsid w:val="00AE4E66"/>
    <w:rsid w:val="00AE506E"/>
    <w:rsid w:val="00AE51CA"/>
    <w:rsid w:val="00AE5364"/>
    <w:rsid w:val="00AE55CC"/>
    <w:rsid w:val="00AE59CF"/>
    <w:rsid w:val="00AE5D54"/>
    <w:rsid w:val="00AE5E0E"/>
    <w:rsid w:val="00AE5E40"/>
    <w:rsid w:val="00AE618A"/>
    <w:rsid w:val="00AE69D4"/>
    <w:rsid w:val="00AE69F6"/>
    <w:rsid w:val="00AE6AB6"/>
    <w:rsid w:val="00AE6AE1"/>
    <w:rsid w:val="00AE6BA4"/>
    <w:rsid w:val="00AE7021"/>
    <w:rsid w:val="00AE7331"/>
    <w:rsid w:val="00AE75F3"/>
    <w:rsid w:val="00AE78C1"/>
    <w:rsid w:val="00AE7D24"/>
    <w:rsid w:val="00AE7DAC"/>
    <w:rsid w:val="00AF0081"/>
    <w:rsid w:val="00AF03C0"/>
    <w:rsid w:val="00AF0456"/>
    <w:rsid w:val="00AF049F"/>
    <w:rsid w:val="00AF08AF"/>
    <w:rsid w:val="00AF09B8"/>
    <w:rsid w:val="00AF0EC8"/>
    <w:rsid w:val="00AF1159"/>
    <w:rsid w:val="00AF15F4"/>
    <w:rsid w:val="00AF190E"/>
    <w:rsid w:val="00AF1FB5"/>
    <w:rsid w:val="00AF22E4"/>
    <w:rsid w:val="00AF2482"/>
    <w:rsid w:val="00AF2578"/>
    <w:rsid w:val="00AF29AA"/>
    <w:rsid w:val="00AF35CE"/>
    <w:rsid w:val="00AF376F"/>
    <w:rsid w:val="00AF3A57"/>
    <w:rsid w:val="00AF40E4"/>
    <w:rsid w:val="00AF4504"/>
    <w:rsid w:val="00AF459A"/>
    <w:rsid w:val="00AF4C66"/>
    <w:rsid w:val="00AF51BC"/>
    <w:rsid w:val="00AF55D0"/>
    <w:rsid w:val="00AF5670"/>
    <w:rsid w:val="00AF5741"/>
    <w:rsid w:val="00AF59BC"/>
    <w:rsid w:val="00AF5A6A"/>
    <w:rsid w:val="00AF5C8D"/>
    <w:rsid w:val="00AF5DF2"/>
    <w:rsid w:val="00AF5E28"/>
    <w:rsid w:val="00AF6193"/>
    <w:rsid w:val="00AF664B"/>
    <w:rsid w:val="00AF67BD"/>
    <w:rsid w:val="00AF68CE"/>
    <w:rsid w:val="00AF68EC"/>
    <w:rsid w:val="00AF6930"/>
    <w:rsid w:val="00AF6C1E"/>
    <w:rsid w:val="00AF6D66"/>
    <w:rsid w:val="00AF6DA7"/>
    <w:rsid w:val="00AF6F32"/>
    <w:rsid w:val="00AF7036"/>
    <w:rsid w:val="00AF73D5"/>
    <w:rsid w:val="00AF78E4"/>
    <w:rsid w:val="00AF7946"/>
    <w:rsid w:val="00AF7961"/>
    <w:rsid w:val="00AF7A3C"/>
    <w:rsid w:val="00AF7B26"/>
    <w:rsid w:val="00AF7BE1"/>
    <w:rsid w:val="00B001F8"/>
    <w:rsid w:val="00B00414"/>
    <w:rsid w:val="00B00E32"/>
    <w:rsid w:val="00B00FF4"/>
    <w:rsid w:val="00B01252"/>
    <w:rsid w:val="00B012B6"/>
    <w:rsid w:val="00B01596"/>
    <w:rsid w:val="00B01EAB"/>
    <w:rsid w:val="00B01FF8"/>
    <w:rsid w:val="00B0216F"/>
    <w:rsid w:val="00B025DB"/>
    <w:rsid w:val="00B026AA"/>
    <w:rsid w:val="00B02A35"/>
    <w:rsid w:val="00B02C6C"/>
    <w:rsid w:val="00B02E3E"/>
    <w:rsid w:val="00B032E1"/>
    <w:rsid w:val="00B03720"/>
    <w:rsid w:val="00B03832"/>
    <w:rsid w:val="00B03908"/>
    <w:rsid w:val="00B03DCB"/>
    <w:rsid w:val="00B03F8B"/>
    <w:rsid w:val="00B041F3"/>
    <w:rsid w:val="00B0452D"/>
    <w:rsid w:val="00B047DE"/>
    <w:rsid w:val="00B04CAF"/>
    <w:rsid w:val="00B04F88"/>
    <w:rsid w:val="00B05325"/>
    <w:rsid w:val="00B054B8"/>
    <w:rsid w:val="00B05C86"/>
    <w:rsid w:val="00B05D6A"/>
    <w:rsid w:val="00B0628C"/>
    <w:rsid w:val="00B06375"/>
    <w:rsid w:val="00B06451"/>
    <w:rsid w:val="00B06471"/>
    <w:rsid w:val="00B064CF"/>
    <w:rsid w:val="00B06D35"/>
    <w:rsid w:val="00B07407"/>
    <w:rsid w:val="00B07492"/>
    <w:rsid w:val="00B07950"/>
    <w:rsid w:val="00B07CAC"/>
    <w:rsid w:val="00B07E37"/>
    <w:rsid w:val="00B10369"/>
    <w:rsid w:val="00B1043F"/>
    <w:rsid w:val="00B1083C"/>
    <w:rsid w:val="00B10A1B"/>
    <w:rsid w:val="00B10E34"/>
    <w:rsid w:val="00B10F53"/>
    <w:rsid w:val="00B10FDC"/>
    <w:rsid w:val="00B110EF"/>
    <w:rsid w:val="00B11195"/>
    <w:rsid w:val="00B114EA"/>
    <w:rsid w:val="00B115B3"/>
    <w:rsid w:val="00B1165A"/>
    <w:rsid w:val="00B11CC9"/>
    <w:rsid w:val="00B11FCD"/>
    <w:rsid w:val="00B121F1"/>
    <w:rsid w:val="00B1289F"/>
    <w:rsid w:val="00B1305C"/>
    <w:rsid w:val="00B132BE"/>
    <w:rsid w:val="00B1385D"/>
    <w:rsid w:val="00B13C31"/>
    <w:rsid w:val="00B1409E"/>
    <w:rsid w:val="00B14124"/>
    <w:rsid w:val="00B1430A"/>
    <w:rsid w:val="00B14685"/>
    <w:rsid w:val="00B14695"/>
    <w:rsid w:val="00B147FE"/>
    <w:rsid w:val="00B14BEE"/>
    <w:rsid w:val="00B14CFC"/>
    <w:rsid w:val="00B14F2C"/>
    <w:rsid w:val="00B15732"/>
    <w:rsid w:val="00B157DE"/>
    <w:rsid w:val="00B159BA"/>
    <w:rsid w:val="00B15A0D"/>
    <w:rsid w:val="00B15E01"/>
    <w:rsid w:val="00B16159"/>
    <w:rsid w:val="00B161DA"/>
    <w:rsid w:val="00B16230"/>
    <w:rsid w:val="00B163F3"/>
    <w:rsid w:val="00B165D9"/>
    <w:rsid w:val="00B16784"/>
    <w:rsid w:val="00B16B58"/>
    <w:rsid w:val="00B16CE1"/>
    <w:rsid w:val="00B16FD5"/>
    <w:rsid w:val="00B172C6"/>
    <w:rsid w:val="00B175E0"/>
    <w:rsid w:val="00B17A90"/>
    <w:rsid w:val="00B17D0C"/>
    <w:rsid w:val="00B17E46"/>
    <w:rsid w:val="00B17EBC"/>
    <w:rsid w:val="00B206E6"/>
    <w:rsid w:val="00B20804"/>
    <w:rsid w:val="00B20805"/>
    <w:rsid w:val="00B2085A"/>
    <w:rsid w:val="00B209A7"/>
    <w:rsid w:val="00B209F7"/>
    <w:rsid w:val="00B20E72"/>
    <w:rsid w:val="00B20F43"/>
    <w:rsid w:val="00B20F7B"/>
    <w:rsid w:val="00B21077"/>
    <w:rsid w:val="00B21278"/>
    <w:rsid w:val="00B216DF"/>
    <w:rsid w:val="00B21764"/>
    <w:rsid w:val="00B21828"/>
    <w:rsid w:val="00B21935"/>
    <w:rsid w:val="00B224EB"/>
    <w:rsid w:val="00B226BE"/>
    <w:rsid w:val="00B22701"/>
    <w:rsid w:val="00B227CF"/>
    <w:rsid w:val="00B22831"/>
    <w:rsid w:val="00B22A5C"/>
    <w:rsid w:val="00B22B85"/>
    <w:rsid w:val="00B22F93"/>
    <w:rsid w:val="00B234A0"/>
    <w:rsid w:val="00B237E8"/>
    <w:rsid w:val="00B23AE0"/>
    <w:rsid w:val="00B23C85"/>
    <w:rsid w:val="00B23E3D"/>
    <w:rsid w:val="00B23F9D"/>
    <w:rsid w:val="00B2411A"/>
    <w:rsid w:val="00B2439C"/>
    <w:rsid w:val="00B24413"/>
    <w:rsid w:val="00B2450C"/>
    <w:rsid w:val="00B2468A"/>
    <w:rsid w:val="00B24837"/>
    <w:rsid w:val="00B24845"/>
    <w:rsid w:val="00B250C7"/>
    <w:rsid w:val="00B25473"/>
    <w:rsid w:val="00B2582A"/>
    <w:rsid w:val="00B25852"/>
    <w:rsid w:val="00B259B6"/>
    <w:rsid w:val="00B25BF6"/>
    <w:rsid w:val="00B25E84"/>
    <w:rsid w:val="00B25FBC"/>
    <w:rsid w:val="00B262EC"/>
    <w:rsid w:val="00B26413"/>
    <w:rsid w:val="00B26471"/>
    <w:rsid w:val="00B264E5"/>
    <w:rsid w:val="00B265EE"/>
    <w:rsid w:val="00B26A37"/>
    <w:rsid w:val="00B26F78"/>
    <w:rsid w:val="00B2715F"/>
    <w:rsid w:val="00B27305"/>
    <w:rsid w:val="00B2733A"/>
    <w:rsid w:val="00B27989"/>
    <w:rsid w:val="00B27A33"/>
    <w:rsid w:val="00B3006B"/>
    <w:rsid w:val="00B304C2"/>
    <w:rsid w:val="00B307A8"/>
    <w:rsid w:val="00B30C43"/>
    <w:rsid w:val="00B30F00"/>
    <w:rsid w:val="00B311D3"/>
    <w:rsid w:val="00B312EE"/>
    <w:rsid w:val="00B31C33"/>
    <w:rsid w:val="00B31E98"/>
    <w:rsid w:val="00B322F2"/>
    <w:rsid w:val="00B323B3"/>
    <w:rsid w:val="00B32413"/>
    <w:rsid w:val="00B325F5"/>
    <w:rsid w:val="00B327CC"/>
    <w:rsid w:val="00B32A9E"/>
    <w:rsid w:val="00B335CC"/>
    <w:rsid w:val="00B3362C"/>
    <w:rsid w:val="00B33B02"/>
    <w:rsid w:val="00B33BD6"/>
    <w:rsid w:val="00B33FD8"/>
    <w:rsid w:val="00B33FEA"/>
    <w:rsid w:val="00B33FF9"/>
    <w:rsid w:val="00B3406F"/>
    <w:rsid w:val="00B340A6"/>
    <w:rsid w:val="00B3423B"/>
    <w:rsid w:val="00B342C5"/>
    <w:rsid w:val="00B34898"/>
    <w:rsid w:val="00B34D1C"/>
    <w:rsid w:val="00B34F76"/>
    <w:rsid w:val="00B3500C"/>
    <w:rsid w:val="00B35371"/>
    <w:rsid w:val="00B3537B"/>
    <w:rsid w:val="00B35655"/>
    <w:rsid w:val="00B3575D"/>
    <w:rsid w:val="00B357A9"/>
    <w:rsid w:val="00B35D69"/>
    <w:rsid w:val="00B36361"/>
    <w:rsid w:val="00B3659A"/>
    <w:rsid w:val="00B3667E"/>
    <w:rsid w:val="00B366D1"/>
    <w:rsid w:val="00B36D54"/>
    <w:rsid w:val="00B36E73"/>
    <w:rsid w:val="00B372D8"/>
    <w:rsid w:val="00B373D6"/>
    <w:rsid w:val="00B37514"/>
    <w:rsid w:val="00B37A89"/>
    <w:rsid w:val="00B37CC9"/>
    <w:rsid w:val="00B37DFA"/>
    <w:rsid w:val="00B37F57"/>
    <w:rsid w:val="00B401FD"/>
    <w:rsid w:val="00B4050B"/>
    <w:rsid w:val="00B40566"/>
    <w:rsid w:val="00B40587"/>
    <w:rsid w:val="00B40722"/>
    <w:rsid w:val="00B4088C"/>
    <w:rsid w:val="00B40BCC"/>
    <w:rsid w:val="00B40D5E"/>
    <w:rsid w:val="00B40D78"/>
    <w:rsid w:val="00B40DFD"/>
    <w:rsid w:val="00B40F8C"/>
    <w:rsid w:val="00B40F8E"/>
    <w:rsid w:val="00B41051"/>
    <w:rsid w:val="00B414E4"/>
    <w:rsid w:val="00B41551"/>
    <w:rsid w:val="00B416E4"/>
    <w:rsid w:val="00B41A6B"/>
    <w:rsid w:val="00B41D90"/>
    <w:rsid w:val="00B41D99"/>
    <w:rsid w:val="00B423E0"/>
    <w:rsid w:val="00B42400"/>
    <w:rsid w:val="00B42414"/>
    <w:rsid w:val="00B4284E"/>
    <w:rsid w:val="00B42FB4"/>
    <w:rsid w:val="00B43287"/>
    <w:rsid w:val="00B43442"/>
    <w:rsid w:val="00B434E9"/>
    <w:rsid w:val="00B43553"/>
    <w:rsid w:val="00B4378E"/>
    <w:rsid w:val="00B43C0A"/>
    <w:rsid w:val="00B443C9"/>
    <w:rsid w:val="00B444D4"/>
    <w:rsid w:val="00B44691"/>
    <w:rsid w:val="00B44701"/>
    <w:rsid w:val="00B4515D"/>
    <w:rsid w:val="00B45246"/>
    <w:rsid w:val="00B453A6"/>
    <w:rsid w:val="00B45555"/>
    <w:rsid w:val="00B457A4"/>
    <w:rsid w:val="00B457BC"/>
    <w:rsid w:val="00B45B76"/>
    <w:rsid w:val="00B46337"/>
    <w:rsid w:val="00B4659D"/>
    <w:rsid w:val="00B46629"/>
    <w:rsid w:val="00B46707"/>
    <w:rsid w:val="00B46803"/>
    <w:rsid w:val="00B46817"/>
    <w:rsid w:val="00B46C9D"/>
    <w:rsid w:val="00B472F3"/>
    <w:rsid w:val="00B4735A"/>
    <w:rsid w:val="00B47546"/>
    <w:rsid w:val="00B475C0"/>
    <w:rsid w:val="00B47784"/>
    <w:rsid w:val="00B4779B"/>
    <w:rsid w:val="00B4779C"/>
    <w:rsid w:val="00B47B4A"/>
    <w:rsid w:val="00B47D81"/>
    <w:rsid w:val="00B47E48"/>
    <w:rsid w:val="00B47E67"/>
    <w:rsid w:val="00B47F11"/>
    <w:rsid w:val="00B501DC"/>
    <w:rsid w:val="00B50823"/>
    <w:rsid w:val="00B50BAB"/>
    <w:rsid w:val="00B50DAE"/>
    <w:rsid w:val="00B515C3"/>
    <w:rsid w:val="00B5194A"/>
    <w:rsid w:val="00B51B7C"/>
    <w:rsid w:val="00B51BCB"/>
    <w:rsid w:val="00B51EA3"/>
    <w:rsid w:val="00B51F11"/>
    <w:rsid w:val="00B52420"/>
    <w:rsid w:val="00B5245D"/>
    <w:rsid w:val="00B52606"/>
    <w:rsid w:val="00B52890"/>
    <w:rsid w:val="00B52D9E"/>
    <w:rsid w:val="00B52F90"/>
    <w:rsid w:val="00B5307B"/>
    <w:rsid w:val="00B5311A"/>
    <w:rsid w:val="00B531DE"/>
    <w:rsid w:val="00B53402"/>
    <w:rsid w:val="00B536A8"/>
    <w:rsid w:val="00B538C3"/>
    <w:rsid w:val="00B5397E"/>
    <w:rsid w:val="00B53B9D"/>
    <w:rsid w:val="00B53CC8"/>
    <w:rsid w:val="00B53D09"/>
    <w:rsid w:val="00B54424"/>
    <w:rsid w:val="00B5463D"/>
    <w:rsid w:val="00B546A9"/>
    <w:rsid w:val="00B54D4F"/>
    <w:rsid w:val="00B5503F"/>
    <w:rsid w:val="00B55266"/>
    <w:rsid w:val="00B559E4"/>
    <w:rsid w:val="00B55C19"/>
    <w:rsid w:val="00B55C52"/>
    <w:rsid w:val="00B55C73"/>
    <w:rsid w:val="00B55CA8"/>
    <w:rsid w:val="00B55F82"/>
    <w:rsid w:val="00B5613C"/>
    <w:rsid w:val="00B56855"/>
    <w:rsid w:val="00B56956"/>
    <w:rsid w:val="00B56A01"/>
    <w:rsid w:val="00B56AAD"/>
    <w:rsid w:val="00B56B85"/>
    <w:rsid w:val="00B56BCA"/>
    <w:rsid w:val="00B56EBB"/>
    <w:rsid w:val="00B56FB5"/>
    <w:rsid w:val="00B57110"/>
    <w:rsid w:val="00B57680"/>
    <w:rsid w:val="00B57B78"/>
    <w:rsid w:val="00B57E77"/>
    <w:rsid w:val="00B57ED6"/>
    <w:rsid w:val="00B57EFF"/>
    <w:rsid w:val="00B60141"/>
    <w:rsid w:val="00B6054E"/>
    <w:rsid w:val="00B6068D"/>
    <w:rsid w:val="00B60A09"/>
    <w:rsid w:val="00B60A81"/>
    <w:rsid w:val="00B60B31"/>
    <w:rsid w:val="00B60D7D"/>
    <w:rsid w:val="00B60E38"/>
    <w:rsid w:val="00B6101B"/>
    <w:rsid w:val="00B6102F"/>
    <w:rsid w:val="00B6129E"/>
    <w:rsid w:val="00B613C2"/>
    <w:rsid w:val="00B617A1"/>
    <w:rsid w:val="00B61818"/>
    <w:rsid w:val="00B61847"/>
    <w:rsid w:val="00B61A51"/>
    <w:rsid w:val="00B61A6D"/>
    <w:rsid w:val="00B61C40"/>
    <w:rsid w:val="00B62944"/>
    <w:rsid w:val="00B62B4A"/>
    <w:rsid w:val="00B62B7A"/>
    <w:rsid w:val="00B62C5E"/>
    <w:rsid w:val="00B63099"/>
    <w:rsid w:val="00B630BD"/>
    <w:rsid w:val="00B63361"/>
    <w:rsid w:val="00B634C1"/>
    <w:rsid w:val="00B634F9"/>
    <w:rsid w:val="00B63520"/>
    <w:rsid w:val="00B637C7"/>
    <w:rsid w:val="00B6380A"/>
    <w:rsid w:val="00B63833"/>
    <w:rsid w:val="00B63E25"/>
    <w:rsid w:val="00B643F6"/>
    <w:rsid w:val="00B643F9"/>
    <w:rsid w:val="00B64775"/>
    <w:rsid w:val="00B647E7"/>
    <w:rsid w:val="00B648AF"/>
    <w:rsid w:val="00B64B7D"/>
    <w:rsid w:val="00B64CBB"/>
    <w:rsid w:val="00B64F64"/>
    <w:rsid w:val="00B657D0"/>
    <w:rsid w:val="00B65974"/>
    <w:rsid w:val="00B65A92"/>
    <w:rsid w:val="00B65B32"/>
    <w:rsid w:val="00B65F99"/>
    <w:rsid w:val="00B66102"/>
    <w:rsid w:val="00B6617D"/>
    <w:rsid w:val="00B662FB"/>
    <w:rsid w:val="00B6679F"/>
    <w:rsid w:val="00B667C0"/>
    <w:rsid w:val="00B66933"/>
    <w:rsid w:val="00B66957"/>
    <w:rsid w:val="00B66A5A"/>
    <w:rsid w:val="00B66C43"/>
    <w:rsid w:val="00B66FE1"/>
    <w:rsid w:val="00B671A5"/>
    <w:rsid w:val="00B671DA"/>
    <w:rsid w:val="00B673A0"/>
    <w:rsid w:val="00B678BD"/>
    <w:rsid w:val="00B67C6B"/>
    <w:rsid w:val="00B67EB8"/>
    <w:rsid w:val="00B67EFC"/>
    <w:rsid w:val="00B700EF"/>
    <w:rsid w:val="00B70276"/>
    <w:rsid w:val="00B70283"/>
    <w:rsid w:val="00B702B3"/>
    <w:rsid w:val="00B706E7"/>
    <w:rsid w:val="00B70F95"/>
    <w:rsid w:val="00B71049"/>
    <w:rsid w:val="00B71612"/>
    <w:rsid w:val="00B71633"/>
    <w:rsid w:val="00B718A0"/>
    <w:rsid w:val="00B719E4"/>
    <w:rsid w:val="00B71A3A"/>
    <w:rsid w:val="00B71ACC"/>
    <w:rsid w:val="00B71CBE"/>
    <w:rsid w:val="00B71E01"/>
    <w:rsid w:val="00B71E88"/>
    <w:rsid w:val="00B72025"/>
    <w:rsid w:val="00B722CE"/>
    <w:rsid w:val="00B7245B"/>
    <w:rsid w:val="00B726A3"/>
    <w:rsid w:val="00B729D8"/>
    <w:rsid w:val="00B72A77"/>
    <w:rsid w:val="00B72E0A"/>
    <w:rsid w:val="00B72F6F"/>
    <w:rsid w:val="00B72FC7"/>
    <w:rsid w:val="00B730F3"/>
    <w:rsid w:val="00B730F7"/>
    <w:rsid w:val="00B73619"/>
    <w:rsid w:val="00B73768"/>
    <w:rsid w:val="00B73B92"/>
    <w:rsid w:val="00B74466"/>
    <w:rsid w:val="00B74728"/>
    <w:rsid w:val="00B74B8A"/>
    <w:rsid w:val="00B74F1E"/>
    <w:rsid w:val="00B75064"/>
    <w:rsid w:val="00B750B4"/>
    <w:rsid w:val="00B7558A"/>
    <w:rsid w:val="00B756A0"/>
    <w:rsid w:val="00B756F6"/>
    <w:rsid w:val="00B75F55"/>
    <w:rsid w:val="00B75FCD"/>
    <w:rsid w:val="00B764D9"/>
    <w:rsid w:val="00B76573"/>
    <w:rsid w:val="00B766A8"/>
    <w:rsid w:val="00B769B2"/>
    <w:rsid w:val="00B76A97"/>
    <w:rsid w:val="00B76AEA"/>
    <w:rsid w:val="00B76B30"/>
    <w:rsid w:val="00B76C74"/>
    <w:rsid w:val="00B773F2"/>
    <w:rsid w:val="00B773F4"/>
    <w:rsid w:val="00B776B8"/>
    <w:rsid w:val="00B77917"/>
    <w:rsid w:val="00B77942"/>
    <w:rsid w:val="00B779B2"/>
    <w:rsid w:val="00B77A07"/>
    <w:rsid w:val="00B77D38"/>
    <w:rsid w:val="00B804C0"/>
    <w:rsid w:val="00B808F3"/>
    <w:rsid w:val="00B80985"/>
    <w:rsid w:val="00B81147"/>
    <w:rsid w:val="00B81593"/>
    <w:rsid w:val="00B81627"/>
    <w:rsid w:val="00B81726"/>
    <w:rsid w:val="00B820BA"/>
    <w:rsid w:val="00B828B4"/>
    <w:rsid w:val="00B82A4D"/>
    <w:rsid w:val="00B82C23"/>
    <w:rsid w:val="00B82CBD"/>
    <w:rsid w:val="00B8329E"/>
    <w:rsid w:val="00B832A4"/>
    <w:rsid w:val="00B839A1"/>
    <w:rsid w:val="00B83C46"/>
    <w:rsid w:val="00B83D2F"/>
    <w:rsid w:val="00B83E69"/>
    <w:rsid w:val="00B84213"/>
    <w:rsid w:val="00B8425F"/>
    <w:rsid w:val="00B842D6"/>
    <w:rsid w:val="00B843C4"/>
    <w:rsid w:val="00B84469"/>
    <w:rsid w:val="00B84522"/>
    <w:rsid w:val="00B845AF"/>
    <w:rsid w:val="00B847EF"/>
    <w:rsid w:val="00B84C4F"/>
    <w:rsid w:val="00B84D51"/>
    <w:rsid w:val="00B84DCF"/>
    <w:rsid w:val="00B84E4A"/>
    <w:rsid w:val="00B8599C"/>
    <w:rsid w:val="00B865D6"/>
    <w:rsid w:val="00B86810"/>
    <w:rsid w:val="00B86874"/>
    <w:rsid w:val="00B86C47"/>
    <w:rsid w:val="00B86EF0"/>
    <w:rsid w:val="00B86F15"/>
    <w:rsid w:val="00B86F5B"/>
    <w:rsid w:val="00B8727D"/>
    <w:rsid w:val="00B87E5E"/>
    <w:rsid w:val="00B9011E"/>
    <w:rsid w:val="00B90A73"/>
    <w:rsid w:val="00B90DE6"/>
    <w:rsid w:val="00B90F63"/>
    <w:rsid w:val="00B91160"/>
    <w:rsid w:val="00B9126C"/>
    <w:rsid w:val="00B912EF"/>
    <w:rsid w:val="00B91325"/>
    <w:rsid w:val="00B913E9"/>
    <w:rsid w:val="00B91415"/>
    <w:rsid w:val="00B914CD"/>
    <w:rsid w:val="00B916F8"/>
    <w:rsid w:val="00B917CE"/>
    <w:rsid w:val="00B91ACC"/>
    <w:rsid w:val="00B9211F"/>
    <w:rsid w:val="00B9228E"/>
    <w:rsid w:val="00B92303"/>
    <w:rsid w:val="00B92604"/>
    <w:rsid w:val="00B9262A"/>
    <w:rsid w:val="00B92812"/>
    <w:rsid w:val="00B92B0B"/>
    <w:rsid w:val="00B92B13"/>
    <w:rsid w:val="00B92DAD"/>
    <w:rsid w:val="00B93087"/>
    <w:rsid w:val="00B93114"/>
    <w:rsid w:val="00B931A1"/>
    <w:rsid w:val="00B93608"/>
    <w:rsid w:val="00B936DA"/>
    <w:rsid w:val="00B939EA"/>
    <w:rsid w:val="00B93D7E"/>
    <w:rsid w:val="00B93D88"/>
    <w:rsid w:val="00B93D8F"/>
    <w:rsid w:val="00B93E03"/>
    <w:rsid w:val="00B93F02"/>
    <w:rsid w:val="00B942FB"/>
    <w:rsid w:val="00B943A1"/>
    <w:rsid w:val="00B945C2"/>
    <w:rsid w:val="00B94635"/>
    <w:rsid w:val="00B9467F"/>
    <w:rsid w:val="00B9482F"/>
    <w:rsid w:val="00B94C18"/>
    <w:rsid w:val="00B951B2"/>
    <w:rsid w:val="00B956D2"/>
    <w:rsid w:val="00B958D0"/>
    <w:rsid w:val="00B95A6C"/>
    <w:rsid w:val="00B95CB6"/>
    <w:rsid w:val="00B95D96"/>
    <w:rsid w:val="00B95E03"/>
    <w:rsid w:val="00B95E1F"/>
    <w:rsid w:val="00B95FE4"/>
    <w:rsid w:val="00B9613E"/>
    <w:rsid w:val="00B96317"/>
    <w:rsid w:val="00B96414"/>
    <w:rsid w:val="00B967C2"/>
    <w:rsid w:val="00B96992"/>
    <w:rsid w:val="00B96E47"/>
    <w:rsid w:val="00B96EDF"/>
    <w:rsid w:val="00B970E3"/>
    <w:rsid w:val="00B9713D"/>
    <w:rsid w:val="00B973A7"/>
    <w:rsid w:val="00B977A0"/>
    <w:rsid w:val="00B978A2"/>
    <w:rsid w:val="00B97E53"/>
    <w:rsid w:val="00BA04A7"/>
    <w:rsid w:val="00BA04CD"/>
    <w:rsid w:val="00BA09C1"/>
    <w:rsid w:val="00BA0B2F"/>
    <w:rsid w:val="00BA0E53"/>
    <w:rsid w:val="00BA137A"/>
    <w:rsid w:val="00BA1576"/>
    <w:rsid w:val="00BA19C5"/>
    <w:rsid w:val="00BA1EB3"/>
    <w:rsid w:val="00BA25AD"/>
    <w:rsid w:val="00BA26AE"/>
    <w:rsid w:val="00BA270A"/>
    <w:rsid w:val="00BA27E8"/>
    <w:rsid w:val="00BA2B4A"/>
    <w:rsid w:val="00BA3072"/>
    <w:rsid w:val="00BA317F"/>
    <w:rsid w:val="00BA3484"/>
    <w:rsid w:val="00BA35D9"/>
    <w:rsid w:val="00BA3A7F"/>
    <w:rsid w:val="00BA3D44"/>
    <w:rsid w:val="00BA3D86"/>
    <w:rsid w:val="00BA3E50"/>
    <w:rsid w:val="00BA3E9C"/>
    <w:rsid w:val="00BA4497"/>
    <w:rsid w:val="00BA45F1"/>
    <w:rsid w:val="00BA4705"/>
    <w:rsid w:val="00BA4838"/>
    <w:rsid w:val="00BA4ACB"/>
    <w:rsid w:val="00BA4B99"/>
    <w:rsid w:val="00BA4DF9"/>
    <w:rsid w:val="00BA4EF2"/>
    <w:rsid w:val="00BA4FCE"/>
    <w:rsid w:val="00BA51E4"/>
    <w:rsid w:val="00BA5230"/>
    <w:rsid w:val="00BA58A1"/>
    <w:rsid w:val="00BA5983"/>
    <w:rsid w:val="00BA5995"/>
    <w:rsid w:val="00BA617D"/>
    <w:rsid w:val="00BA65A1"/>
    <w:rsid w:val="00BA67AA"/>
    <w:rsid w:val="00BA6801"/>
    <w:rsid w:val="00BA6968"/>
    <w:rsid w:val="00BA6B62"/>
    <w:rsid w:val="00BA6C35"/>
    <w:rsid w:val="00BA6D1A"/>
    <w:rsid w:val="00BA6D71"/>
    <w:rsid w:val="00BA6D7F"/>
    <w:rsid w:val="00BA6FEA"/>
    <w:rsid w:val="00BA7184"/>
    <w:rsid w:val="00BA736A"/>
    <w:rsid w:val="00BB02C9"/>
    <w:rsid w:val="00BB02DF"/>
    <w:rsid w:val="00BB040D"/>
    <w:rsid w:val="00BB0617"/>
    <w:rsid w:val="00BB0AD3"/>
    <w:rsid w:val="00BB0C1F"/>
    <w:rsid w:val="00BB11E5"/>
    <w:rsid w:val="00BB18B5"/>
    <w:rsid w:val="00BB198A"/>
    <w:rsid w:val="00BB19BA"/>
    <w:rsid w:val="00BB19CC"/>
    <w:rsid w:val="00BB1B3B"/>
    <w:rsid w:val="00BB1CA2"/>
    <w:rsid w:val="00BB1DAC"/>
    <w:rsid w:val="00BB20E6"/>
    <w:rsid w:val="00BB278C"/>
    <w:rsid w:val="00BB29B0"/>
    <w:rsid w:val="00BB2F0B"/>
    <w:rsid w:val="00BB3279"/>
    <w:rsid w:val="00BB330B"/>
    <w:rsid w:val="00BB34BD"/>
    <w:rsid w:val="00BB35CB"/>
    <w:rsid w:val="00BB38F9"/>
    <w:rsid w:val="00BB3C54"/>
    <w:rsid w:val="00BB3EA8"/>
    <w:rsid w:val="00BB40B0"/>
    <w:rsid w:val="00BB4160"/>
    <w:rsid w:val="00BB45A3"/>
    <w:rsid w:val="00BB4615"/>
    <w:rsid w:val="00BB467A"/>
    <w:rsid w:val="00BB46D4"/>
    <w:rsid w:val="00BB5160"/>
    <w:rsid w:val="00BB5295"/>
    <w:rsid w:val="00BB54A0"/>
    <w:rsid w:val="00BB56B6"/>
    <w:rsid w:val="00BB5992"/>
    <w:rsid w:val="00BB5AB8"/>
    <w:rsid w:val="00BB5B4B"/>
    <w:rsid w:val="00BB5CBA"/>
    <w:rsid w:val="00BB6143"/>
    <w:rsid w:val="00BB6303"/>
    <w:rsid w:val="00BB6577"/>
    <w:rsid w:val="00BB6960"/>
    <w:rsid w:val="00BB6BB9"/>
    <w:rsid w:val="00BB6BFE"/>
    <w:rsid w:val="00BB6C10"/>
    <w:rsid w:val="00BB705B"/>
    <w:rsid w:val="00BB73B9"/>
    <w:rsid w:val="00BB7919"/>
    <w:rsid w:val="00BB7B31"/>
    <w:rsid w:val="00BC0453"/>
    <w:rsid w:val="00BC057B"/>
    <w:rsid w:val="00BC09D3"/>
    <w:rsid w:val="00BC0BF8"/>
    <w:rsid w:val="00BC0D50"/>
    <w:rsid w:val="00BC1008"/>
    <w:rsid w:val="00BC1392"/>
    <w:rsid w:val="00BC19AC"/>
    <w:rsid w:val="00BC1A95"/>
    <w:rsid w:val="00BC1D02"/>
    <w:rsid w:val="00BC1DFA"/>
    <w:rsid w:val="00BC1F47"/>
    <w:rsid w:val="00BC2051"/>
    <w:rsid w:val="00BC22CD"/>
    <w:rsid w:val="00BC23F4"/>
    <w:rsid w:val="00BC29BE"/>
    <w:rsid w:val="00BC2BA4"/>
    <w:rsid w:val="00BC2BEE"/>
    <w:rsid w:val="00BC2F2C"/>
    <w:rsid w:val="00BC3050"/>
    <w:rsid w:val="00BC306F"/>
    <w:rsid w:val="00BC356F"/>
    <w:rsid w:val="00BC36F6"/>
    <w:rsid w:val="00BC3736"/>
    <w:rsid w:val="00BC38B9"/>
    <w:rsid w:val="00BC3FF9"/>
    <w:rsid w:val="00BC401C"/>
    <w:rsid w:val="00BC44A8"/>
    <w:rsid w:val="00BC474C"/>
    <w:rsid w:val="00BC488D"/>
    <w:rsid w:val="00BC4EBE"/>
    <w:rsid w:val="00BC5505"/>
    <w:rsid w:val="00BC5752"/>
    <w:rsid w:val="00BC592B"/>
    <w:rsid w:val="00BC6008"/>
    <w:rsid w:val="00BC6116"/>
    <w:rsid w:val="00BC61A2"/>
    <w:rsid w:val="00BC650E"/>
    <w:rsid w:val="00BC6AD4"/>
    <w:rsid w:val="00BC6BC1"/>
    <w:rsid w:val="00BC6C0E"/>
    <w:rsid w:val="00BC6C3E"/>
    <w:rsid w:val="00BC6F85"/>
    <w:rsid w:val="00BC7162"/>
    <w:rsid w:val="00BC741F"/>
    <w:rsid w:val="00BC79E0"/>
    <w:rsid w:val="00BC7AA8"/>
    <w:rsid w:val="00BC7AAC"/>
    <w:rsid w:val="00BC7B87"/>
    <w:rsid w:val="00BC7C0F"/>
    <w:rsid w:val="00BC7D0C"/>
    <w:rsid w:val="00BC7D36"/>
    <w:rsid w:val="00BD0196"/>
    <w:rsid w:val="00BD02A8"/>
    <w:rsid w:val="00BD04C4"/>
    <w:rsid w:val="00BD07DF"/>
    <w:rsid w:val="00BD0814"/>
    <w:rsid w:val="00BD09BA"/>
    <w:rsid w:val="00BD0B64"/>
    <w:rsid w:val="00BD0C48"/>
    <w:rsid w:val="00BD0DA5"/>
    <w:rsid w:val="00BD1B58"/>
    <w:rsid w:val="00BD1C09"/>
    <w:rsid w:val="00BD1C5D"/>
    <w:rsid w:val="00BD1CE0"/>
    <w:rsid w:val="00BD1D47"/>
    <w:rsid w:val="00BD23B9"/>
    <w:rsid w:val="00BD2855"/>
    <w:rsid w:val="00BD29C2"/>
    <w:rsid w:val="00BD2DCA"/>
    <w:rsid w:val="00BD3004"/>
    <w:rsid w:val="00BD32B0"/>
    <w:rsid w:val="00BD3B71"/>
    <w:rsid w:val="00BD3C6D"/>
    <w:rsid w:val="00BD3F20"/>
    <w:rsid w:val="00BD3F72"/>
    <w:rsid w:val="00BD4070"/>
    <w:rsid w:val="00BD40A7"/>
    <w:rsid w:val="00BD41D6"/>
    <w:rsid w:val="00BD45CB"/>
    <w:rsid w:val="00BD47F7"/>
    <w:rsid w:val="00BD4D57"/>
    <w:rsid w:val="00BD4DFF"/>
    <w:rsid w:val="00BD50F8"/>
    <w:rsid w:val="00BD538E"/>
    <w:rsid w:val="00BD53C1"/>
    <w:rsid w:val="00BD53FE"/>
    <w:rsid w:val="00BD576E"/>
    <w:rsid w:val="00BD58EB"/>
    <w:rsid w:val="00BD5A29"/>
    <w:rsid w:val="00BD5B14"/>
    <w:rsid w:val="00BD5B47"/>
    <w:rsid w:val="00BD5E40"/>
    <w:rsid w:val="00BD648C"/>
    <w:rsid w:val="00BD6700"/>
    <w:rsid w:val="00BD6ABF"/>
    <w:rsid w:val="00BD6E25"/>
    <w:rsid w:val="00BD6F63"/>
    <w:rsid w:val="00BD70B0"/>
    <w:rsid w:val="00BD7139"/>
    <w:rsid w:val="00BD7184"/>
    <w:rsid w:val="00BD738B"/>
    <w:rsid w:val="00BD7813"/>
    <w:rsid w:val="00BD7865"/>
    <w:rsid w:val="00BD7ADC"/>
    <w:rsid w:val="00BD7B14"/>
    <w:rsid w:val="00BD7B2A"/>
    <w:rsid w:val="00BD7BB8"/>
    <w:rsid w:val="00BE002E"/>
    <w:rsid w:val="00BE0225"/>
    <w:rsid w:val="00BE0AC9"/>
    <w:rsid w:val="00BE0EEE"/>
    <w:rsid w:val="00BE0F5B"/>
    <w:rsid w:val="00BE11BC"/>
    <w:rsid w:val="00BE11E2"/>
    <w:rsid w:val="00BE1357"/>
    <w:rsid w:val="00BE19FA"/>
    <w:rsid w:val="00BE1A17"/>
    <w:rsid w:val="00BE1A95"/>
    <w:rsid w:val="00BE1C9D"/>
    <w:rsid w:val="00BE1E2D"/>
    <w:rsid w:val="00BE237F"/>
    <w:rsid w:val="00BE2578"/>
    <w:rsid w:val="00BE27B1"/>
    <w:rsid w:val="00BE286A"/>
    <w:rsid w:val="00BE2ACD"/>
    <w:rsid w:val="00BE2AE5"/>
    <w:rsid w:val="00BE2AF2"/>
    <w:rsid w:val="00BE2E66"/>
    <w:rsid w:val="00BE3552"/>
    <w:rsid w:val="00BE38A8"/>
    <w:rsid w:val="00BE3B68"/>
    <w:rsid w:val="00BE3DEF"/>
    <w:rsid w:val="00BE3E70"/>
    <w:rsid w:val="00BE3ED2"/>
    <w:rsid w:val="00BE4190"/>
    <w:rsid w:val="00BE4305"/>
    <w:rsid w:val="00BE43B5"/>
    <w:rsid w:val="00BE45CA"/>
    <w:rsid w:val="00BE484F"/>
    <w:rsid w:val="00BE4980"/>
    <w:rsid w:val="00BE4A69"/>
    <w:rsid w:val="00BE4DA7"/>
    <w:rsid w:val="00BE507F"/>
    <w:rsid w:val="00BE5138"/>
    <w:rsid w:val="00BE53D2"/>
    <w:rsid w:val="00BE572A"/>
    <w:rsid w:val="00BE57B6"/>
    <w:rsid w:val="00BE57BD"/>
    <w:rsid w:val="00BE5D33"/>
    <w:rsid w:val="00BE653A"/>
    <w:rsid w:val="00BE6B5B"/>
    <w:rsid w:val="00BE6E7E"/>
    <w:rsid w:val="00BE7161"/>
    <w:rsid w:val="00BE725C"/>
    <w:rsid w:val="00BE7351"/>
    <w:rsid w:val="00BE767B"/>
    <w:rsid w:val="00BE7849"/>
    <w:rsid w:val="00BE7DB7"/>
    <w:rsid w:val="00BE7E8B"/>
    <w:rsid w:val="00BF0006"/>
    <w:rsid w:val="00BF00BF"/>
    <w:rsid w:val="00BF0C19"/>
    <w:rsid w:val="00BF0C45"/>
    <w:rsid w:val="00BF0D4B"/>
    <w:rsid w:val="00BF0FE5"/>
    <w:rsid w:val="00BF1269"/>
    <w:rsid w:val="00BF1353"/>
    <w:rsid w:val="00BF1476"/>
    <w:rsid w:val="00BF1ADA"/>
    <w:rsid w:val="00BF1D53"/>
    <w:rsid w:val="00BF206C"/>
    <w:rsid w:val="00BF20E8"/>
    <w:rsid w:val="00BF226A"/>
    <w:rsid w:val="00BF2324"/>
    <w:rsid w:val="00BF2387"/>
    <w:rsid w:val="00BF251F"/>
    <w:rsid w:val="00BF2E43"/>
    <w:rsid w:val="00BF3152"/>
    <w:rsid w:val="00BF31BA"/>
    <w:rsid w:val="00BF33C0"/>
    <w:rsid w:val="00BF33C5"/>
    <w:rsid w:val="00BF35BE"/>
    <w:rsid w:val="00BF38A5"/>
    <w:rsid w:val="00BF3E95"/>
    <w:rsid w:val="00BF4279"/>
    <w:rsid w:val="00BF4372"/>
    <w:rsid w:val="00BF45E5"/>
    <w:rsid w:val="00BF490B"/>
    <w:rsid w:val="00BF4A2E"/>
    <w:rsid w:val="00BF4D0C"/>
    <w:rsid w:val="00BF52F6"/>
    <w:rsid w:val="00BF5319"/>
    <w:rsid w:val="00BF5335"/>
    <w:rsid w:val="00BF58EA"/>
    <w:rsid w:val="00BF5C09"/>
    <w:rsid w:val="00BF5EF4"/>
    <w:rsid w:val="00BF6125"/>
    <w:rsid w:val="00BF65D2"/>
    <w:rsid w:val="00BF67E2"/>
    <w:rsid w:val="00BF6C9E"/>
    <w:rsid w:val="00BF6D05"/>
    <w:rsid w:val="00BF6DF5"/>
    <w:rsid w:val="00BF76B3"/>
    <w:rsid w:val="00BF7946"/>
    <w:rsid w:val="00BF7954"/>
    <w:rsid w:val="00BF799F"/>
    <w:rsid w:val="00BF7C9E"/>
    <w:rsid w:val="00BF7EBA"/>
    <w:rsid w:val="00C005E8"/>
    <w:rsid w:val="00C007DC"/>
    <w:rsid w:val="00C01061"/>
    <w:rsid w:val="00C01273"/>
    <w:rsid w:val="00C01281"/>
    <w:rsid w:val="00C01314"/>
    <w:rsid w:val="00C01359"/>
    <w:rsid w:val="00C015C2"/>
    <w:rsid w:val="00C01CF9"/>
    <w:rsid w:val="00C01EE9"/>
    <w:rsid w:val="00C02064"/>
    <w:rsid w:val="00C02B8F"/>
    <w:rsid w:val="00C02FE9"/>
    <w:rsid w:val="00C03014"/>
    <w:rsid w:val="00C0306E"/>
    <w:rsid w:val="00C03231"/>
    <w:rsid w:val="00C03773"/>
    <w:rsid w:val="00C03783"/>
    <w:rsid w:val="00C03A96"/>
    <w:rsid w:val="00C03EA8"/>
    <w:rsid w:val="00C040D2"/>
    <w:rsid w:val="00C040D6"/>
    <w:rsid w:val="00C047D6"/>
    <w:rsid w:val="00C0488D"/>
    <w:rsid w:val="00C048B3"/>
    <w:rsid w:val="00C048BC"/>
    <w:rsid w:val="00C04A79"/>
    <w:rsid w:val="00C04B67"/>
    <w:rsid w:val="00C04B95"/>
    <w:rsid w:val="00C04C09"/>
    <w:rsid w:val="00C05087"/>
    <w:rsid w:val="00C0522A"/>
    <w:rsid w:val="00C05721"/>
    <w:rsid w:val="00C05B26"/>
    <w:rsid w:val="00C05C70"/>
    <w:rsid w:val="00C06059"/>
    <w:rsid w:val="00C062AE"/>
    <w:rsid w:val="00C062AF"/>
    <w:rsid w:val="00C06909"/>
    <w:rsid w:val="00C06C1D"/>
    <w:rsid w:val="00C07008"/>
    <w:rsid w:val="00C071D9"/>
    <w:rsid w:val="00C0727A"/>
    <w:rsid w:val="00C073F9"/>
    <w:rsid w:val="00C0744B"/>
    <w:rsid w:val="00C07696"/>
    <w:rsid w:val="00C076C3"/>
    <w:rsid w:val="00C0779E"/>
    <w:rsid w:val="00C10A39"/>
    <w:rsid w:val="00C10BCC"/>
    <w:rsid w:val="00C1100B"/>
    <w:rsid w:val="00C110C7"/>
    <w:rsid w:val="00C11140"/>
    <w:rsid w:val="00C112E4"/>
    <w:rsid w:val="00C11803"/>
    <w:rsid w:val="00C11873"/>
    <w:rsid w:val="00C11A16"/>
    <w:rsid w:val="00C11B04"/>
    <w:rsid w:val="00C11E62"/>
    <w:rsid w:val="00C12045"/>
    <w:rsid w:val="00C12104"/>
    <w:rsid w:val="00C12139"/>
    <w:rsid w:val="00C12378"/>
    <w:rsid w:val="00C1253E"/>
    <w:rsid w:val="00C1256B"/>
    <w:rsid w:val="00C125C3"/>
    <w:rsid w:val="00C12FC7"/>
    <w:rsid w:val="00C136AA"/>
    <w:rsid w:val="00C13D60"/>
    <w:rsid w:val="00C14670"/>
    <w:rsid w:val="00C146A2"/>
    <w:rsid w:val="00C147ED"/>
    <w:rsid w:val="00C14C67"/>
    <w:rsid w:val="00C15383"/>
    <w:rsid w:val="00C154B9"/>
    <w:rsid w:val="00C15769"/>
    <w:rsid w:val="00C15B37"/>
    <w:rsid w:val="00C15BF6"/>
    <w:rsid w:val="00C15CEA"/>
    <w:rsid w:val="00C15D3F"/>
    <w:rsid w:val="00C15E59"/>
    <w:rsid w:val="00C15E62"/>
    <w:rsid w:val="00C15E8E"/>
    <w:rsid w:val="00C15F8C"/>
    <w:rsid w:val="00C16054"/>
    <w:rsid w:val="00C1624E"/>
    <w:rsid w:val="00C162CE"/>
    <w:rsid w:val="00C164A1"/>
    <w:rsid w:val="00C16649"/>
    <w:rsid w:val="00C166B6"/>
    <w:rsid w:val="00C167CC"/>
    <w:rsid w:val="00C16980"/>
    <w:rsid w:val="00C16AE2"/>
    <w:rsid w:val="00C171A1"/>
    <w:rsid w:val="00C172AD"/>
    <w:rsid w:val="00C17321"/>
    <w:rsid w:val="00C173C9"/>
    <w:rsid w:val="00C17606"/>
    <w:rsid w:val="00C177F1"/>
    <w:rsid w:val="00C1791F"/>
    <w:rsid w:val="00C179AF"/>
    <w:rsid w:val="00C17D9F"/>
    <w:rsid w:val="00C17E16"/>
    <w:rsid w:val="00C201D9"/>
    <w:rsid w:val="00C20203"/>
    <w:rsid w:val="00C205D6"/>
    <w:rsid w:val="00C207A2"/>
    <w:rsid w:val="00C20984"/>
    <w:rsid w:val="00C213D6"/>
    <w:rsid w:val="00C2162B"/>
    <w:rsid w:val="00C21E7D"/>
    <w:rsid w:val="00C21E94"/>
    <w:rsid w:val="00C22213"/>
    <w:rsid w:val="00C2232F"/>
    <w:rsid w:val="00C22459"/>
    <w:rsid w:val="00C2247A"/>
    <w:rsid w:val="00C2269E"/>
    <w:rsid w:val="00C22A34"/>
    <w:rsid w:val="00C22A7E"/>
    <w:rsid w:val="00C22DBE"/>
    <w:rsid w:val="00C22E45"/>
    <w:rsid w:val="00C22EAD"/>
    <w:rsid w:val="00C22EFB"/>
    <w:rsid w:val="00C2357C"/>
    <w:rsid w:val="00C23620"/>
    <w:rsid w:val="00C23896"/>
    <w:rsid w:val="00C238E2"/>
    <w:rsid w:val="00C23E6C"/>
    <w:rsid w:val="00C23EA9"/>
    <w:rsid w:val="00C24004"/>
    <w:rsid w:val="00C243CB"/>
    <w:rsid w:val="00C245B1"/>
    <w:rsid w:val="00C245F5"/>
    <w:rsid w:val="00C24FE4"/>
    <w:rsid w:val="00C252BD"/>
    <w:rsid w:val="00C25552"/>
    <w:rsid w:val="00C25835"/>
    <w:rsid w:val="00C259EC"/>
    <w:rsid w:val="00C26952"/>
    <w:rsid w:val="00C26C88"/>
    <w:rsid w:val="00C26E61"/>
    <w:rsid w:val="00C26FC9"/>
    <w:rsid w:val="00C27130"/>
    <w:rsid w:val="00C2716B"/>
    <w:rsid w:val="00C27422"/>
    <w:rsid w:val="00C2755B"/>
    <w:rsid w:val="00C2769A"/>
    <w:rsid w:val="00C27703"/>
    <w:rsid w:val="00C27771"/>
    <w:rsid w:val="00C27D0F"/>
    <w:rsid w:val="00C27D87"/>
    <w:rsid w:val="00C304F8"/>
    <w:rsid w:val="00C307DC"/>
    <w:rsid w:val="00C30A8B"/>
    <w:rsid w:val="00C30C01"/>
    <w:rsid w:val="00C30C3F"/>
    <w:rsid w:val="00C30FCD"/>
    <w:rsid w:val="00C310D1"/>
    <w:rsid w:val="00C31120"/>
    <w:rsid w:val="00C317CD"/>
    <w:rsid w:val="00C319C9"/>
    <w:rsid w:val="00C31BF2"/>
    <w:rsid w:val="00C320F9"/>
    <w:rsid w:val="00C32124"/>
    <w:rsid w:val="00C323A9"/>
    <w:rsid w:val="00C324CF"/>
    <w:rsid w:val="00C32C7D"/>
    <w:rsid w:val="00C33688"/>
    <w:rsid w:val="00C33757"/>
    <w:rsid w:val="00C33835"/>
    <w:rsid w:val="00C33C72"/>
    <w:rsid w:val="00C34C05"/>
    <w:rsid w:val="00C35783"/>
    <w:rsid w:val="00C35A1A"/>
    <w:rsid w:val="00C35E6A"/>
    <w:rsid w:val="00C35FC8"/>
    <w:rsid w:val="00C35FEA"/>
    <w:rsid w:val="00C3644A"/>
    <w:rsid w:val="00C3675E"/>
    <w:rsid w:val="00C367C0"/>
    <w:rsid w:val="00C36912"/>
    <w:rsid w:val="00C369B2"/>
    <w:rsid w:val="00C36DA1"/>
    <w:rsid w:val="00C36DDB"/>
    <w:rsid w:val="00C37575"/>
    <w:rsid w:val="00C402B7"/>
    <w:rsid w:val="00C405DA"/>
    <w:rsid w:val="00C40607"/>
    <w:rsid w:val="00C4083B"/>
    <w:rsid w:val="00C40855"/>
    <w:rsid w:val="00C4090E"/>
    <w:rsid w:val="00C40D7B"/>
    <w:rsid w:val="00C40F4C"/>
    <w:rsid w:val="00C41183"/>
    <w:rsid w:val="00C412EE"/>
    <w:rsid w:val="00C4137F"/>
    <w:rsid w:val="00C41446"/>
    <w:rsid w:val="00C415BB"/>
    <w:rsid w:val="00C416DE"/>
    <w:rsid w:val="00C41719"/>
    <w:rsid w:val="00C41EAB"/>
    <w:rsid w:val="00C4219D"/>
    <w:rsid w:val="00C42495"/>
    <w:rsid w:val="00C425B2"/>
    <w:rsid w:val="00C4288B"/>
    <w:rsid w:val="00C42C9B"/>
    <w:rsid w:val="00C42D8E"/>
    <w:rsid w:val="00C42E0C"/>
    <w:rsid w:val="00C42F0F"/>
    <w:rsid w:val="00C4317A"/>
    <w:rsid w:val="00C43309"/>
    <w:rsid w:val="00C436A2"/>
    <w:rsid w:val="00C43853"/>
    <w:rsid w:val="00C43A04"/>
    <w:rsid w:val="00C440AB"/>
    <w:rsid w:val="00C443E4"/>
    <w:rsid w:val="00C445DE"/>
    <w:rsid w:val="00C44C27"/>
    <w:rsid w:val="00C44D99"/>
    <w:rsid w:val="00C44EBA"/>
    <w:rsid w:val="00C453AF"/>
    <w:rsid w:val="00C45552"/>
    <w:rsid w:val="00C456C1"/>
    <w:rsid w:val="00C4573C"/>
    <w:rsid w:val="00C45822"/>
    <w:rsid w:val="00C45BA1"/>
    <w:rsid w:val="00C45C18"/>
    <w:rsid w:val="00C45ECC"/>
    <w:rsid w:val="00C46139"/>
    <w:rsid w:val="00C4654F"/>
    <w:rsid w:val="00C46964"/>
    <w:rsid w:val="00C46C79"/>
    <w:rsid w:val="00C46D5C"/>
    <w:rsid w:val="00C46F32"/>
    <w:rsid w:val="00C47049"/>
    <w:rsid w:val="00C472D3"/>
    <w:rsid w:val="00C4736F"/>
    <w:rsid w:val="00C47518"/>
    <w:rsid w:val="00C475FF"/>
    <w:rsid w:val="00C50269"/>
    <w:rsid w:val="00C503D0"/>
    <w:rsid w:val="00C508EB"/>
    <w:rsid w:val="00C509A2"/>
    <w:rsid w:val="00C50D82"/>
    <w:rsid w:val="00C50E64"/>
    <w:rsid w:val="00C51133"/>
    <w:rsid w:val="00C5194C"/>
    <w:rsid w:val="00C51A13"/>
    <w:rsid w:val="00C51C41"/>
    <w:rsid w:val="00C51D61"/>
    <w:rsid w:val="00C51E08"/>
    <w:rsid w:val="00C51F3F"/>
    <w:rsid w:val="00C521B5"/>
    <w:rsid w:val="00C525C8"/>
    <w:rsid w:val="00C52929"/>
    <w:rsid w:val="00C529F7"/>
    <w:rsid w:val="00C52D65"/>
    <w:rsid w:val="00C52DE3"/>
    <w:rsid w:val="00C53446"/>
    <w:rsid w:val="00C53486"/>
    <w:rsid w:val="00C536FA"/>
    <w:rsid w:val="00C53900"/>
    <w:rsid w:val="00C53A92"/>
    <w:rsid w:val="00C53DC4"/>
    <w:rsid w:val="00C53E10"/>
    <w:rsid w:val="00C547C2"/>
    <w:rsid w:val="00C54AB9"/>
    <w:rsid w:val="00C5526C"/>
    <w:rsid w:val="00C55286"/>
    <w:rsid w:val="00C55483"/>
    <w:rsid w:val="00C5596A"/>
    <w:rsid w:val="00C559B0"/>
    <w:rsid w:val="00C55A5A"/>
    <w:rsid w:val="00C55E61"/>
    <w:rsid w:val="00C561E2"/>
    <w:rsid w:val="00C56546"/>
    <w:rsid w:val="00C565CD"/>
    <w:rsid w:val="00C5687A"/>
    <w:rsid w:val="00C568AC"/>
    <w:rsid w:val="00C56B49"/>
    <w:rsid w:val="00C56D12"/>
    <w:rsid w:val="00C56F54"/>
    <w:rsid w:val="00C570CD"/>
    <w:rsid w:val="00C573EF"/>
    <w:rsid w:val="00C576BF"/>
    <w:rsid w:val="00C57784"/>
    <w:rsid w:val="00C577A2"/>
    <w:rsid w:val="00C57930"/>
    <w:rsid w:val="00C5797B"/>
    <w:rsid w:val="00C604FD"/>
    <w:rsid w:val="00C6057C"/>
    <w:rsid w:val="00C60D67"/>
    <w:rsid w:val="00C610BC"/>
    <w:rsid w:val="00C61523"/>
    <w:rsid w:val="00C61619"/>
    <w:rsid w:val="00C616EF"/>
    <w:rsid w:val="00C61849"/>
    <w:rsid w:val="00C61C7B"/>
    <w:rsid w:val="00C61C81"/>
    <w:rsid w:val="00C61EC6"/>
    <w:rsid w:val="00C621DC"/>
    <w:rsid w:val="00C62297"/>
    <w:rsid w:val="00C6229F"/>
    <w:rsid w:val="00C62372"/>
    <w:rsid w:val="00C62389"/>
    <w:rsid w:val="00C623A2"/>
    <w:rsid w:val="00C62491"/>
    <w:rsid w:val="00C62709"/>
    <w:rsid w:val="00C62753"/>
    <w:rsid w:val="00C62936"/>
    <w:rsid w:val="00C62DBA"/>
    <w:rsid w:val="00C6333E"/>
    <w:rsid w:val="00C63758"/>
    <w:rsid w:val="00C639C6"/>
    <w:rsid w:val="00C63D4B"/>
    <w:rsid w:val="00C63E3C"/>
    <w:rsid w:val="00C6407A"/>
    <w:rsid w:val="00C6443D"/>
    <w:rsid w:val="00C6454B"/>
    <w:rsid w:val="00C6492B"/>
    <w:rsid w:val="00C64B9E"/>
    <w:rsid w:val="00C64E74"/>
    <w:rsid w:val="00C64EA6"/>
    <w:rsid w:val="00C64FF2"/>
    <w:rsid w:val="00C651BE"/>
    <w:rsid w:val="00C6559A"/>
    <w:rsid w:val="00C65777"/>
    <w:rsid w:val="00C65FEE"/>
    <w:rsid w:val="00C663BA"/>
    <w:rsid w:val="00C66CE1"/>
    <w:rsid w:val="00C671CC"/>
    <w:rsid w:val="00C672DE"/>
    <w:rsid w:val="00C67834"/>
    <w:rsid w:val="00C67A8B"/>
    <w:rsid w:val="00C67AD3"/>
    <w:rsid w:val="00C67B88"/>
    <w:rsid w:val="00C67FF3"/>
    <w:rsid w:val="00C701C2"/>
    <w:rsid w:val="00C70889"/>
    <w:rsid w:val="00C70950"/>
    <w:rsid w:val="00C70BFA"/>
    <w:rsid w:val="00C70CE1"/>
    <w:rsid w:val="00C70CE3"/>
    <w:rsid w:val="00C71973"/>
    <w:rsid w:val="00C71BA0"/>
    <w:rsid w:val="00C71CD0"/>
    <w:rsid w:val="00C72994"/>
    <w:rsid w:val="00C72B2E"/>
    <w:rsid w:val="00C72F88"/>
    <w:rsid w:val="00C73627"/>
    <w:rsid w:val="00C73B87"/>
    <w:rsid w:val="00C73EBA"/>
    <w:rsid w:val="00C74275"/>
    <w:rsid w:val="00C74510"/>
    <w:rsid w:val="00C74545"/>
    <w:rsid w:val="00C74698"/>
    <w:rsid w:val="00C74A51"/>
    <w:rsid w:val="00C74D3C"/>
    <w:rsid w:val="00C75764"/>
    <w:rsid w:val="00C7580A"/>
    <w:rsid w:val="00C75A29"/>
    <w:rsid w:val="00C76612"/>
    <w:rsid w:val="00C766C0"/>
    <w:rsid w:val="00C76CD6"/>
    <w:rsid w:val="00C7747C"/>
    <w:rsid w:val="00C77DF0"/>
    <w:rsid w:val="00C800EE"/>
    <w:rsid w:val="00C807D0"/>
    <w:rsid w:val="00C809B7"/>
    <w:rsid w:val="00C80C00"/>
    <w:rsid w:val="00C80E3A"/>
    <w:rsid w:val="00C8100A"/>
    <w:rsid w:val="00C81189"/>
    <w:rsid w:val="00C81229"/>
    <w:rsid w:val="00C812AD"/>
    <w:rsid w:val="00C812B2"/>
    <w:rsid w:val="00C8169F"/>
    <w:rsid w:val="00C81977"/>
    <w:rsid w:val="00C81AC4"/>
    <w:rsid w:val="00C81BAB"/>
    <w:rsid w:val="00C81C0E"/>
    <w:rsid w:val="00C81C88"/>
    <w:rsid w:val="00C823C7"/>
    <w:rsid w:val="00C82BA2"/>
    <w:rsid w:val="00C8324D"/>
    <w:rsid w:val="00C832AE"/>
    <w:rsid w:val="00C83BFA"/>
    <w:rsid w:val="00C83CF9"/>
    <w:rsid w:val="00C84421"/>
    <w:rsid w:val="00C844CF"/>
    <w:rsid w:val="00C849E3"/>
    <w:rsid w:val="00C84BC7"/>
    <w:rsid w:val="00C84E23"/>
    <w:rsid w:val="00C84F64"/>
    <w:rsid w:val="00C850BF"/>
    <w:rsid w:val="00C85393"/>
    <w:rsid w:val="00C853A9"/>
    <w:rsid w:val="00C856EE"/>
    <w:rsid w:val="00C856F9"/>
    <w:rsid w:val="00C857D4"/>
    <w:rsid w:val="00C857F1"/>
    <w:rsid w:val="00C858EE"/>
    <w:rsid w:val="00C85C32"/>
    <w:rsid w:val="00C85CA7"/>
    <w:rsid w:val="00C85E10"/>
    <w:rsid w:val="00C861F0"/>
    <w:rsid w:val="00C8622A"/>
    <w:rsid w:val="00C8666B"/>
    <w:rsid w:val="00C86C9E"/>
    <w:rsid w:val="00C86CDA"/>
    <w:rsid w:val="00C86EAE"/>
    <w:rsid w:val="00C875B4"/>
    <w:rsid w:val="00C875E1"/>
    <w:rsid w:val="00C87F96"/>
    <w:rsid w:val="00C90215"/>
    <w:rsid w:val="00C9051E"/>
    <w:rsid w:val="00C90611"/>
    <w:rsid w:val="00C90775"/>
    <w:rsid w:val="00C90942"/>
    <w:rsid w:val="00C90AC4"/>
    <w:rsid w:val="00C9143F"/>
    <w:rsid w:val="00C9144F"/>
    <w:rsid w:val="00C9185A"/>
    <w:rsid w:val="00C918DF"/>
    <w:rsid w:val="00C91960"/>
    <w:rsid w:val="00C91961"/>
    <w:rsid w:val="00C91D50"/>
    <w:rsid w:val="00C91E28"/>
    <w:rsid w:val="00C91EF5"/>
    <w:rsid w:val="00C92136"/>
    <w:rsid w:val="00C92163"/>
    <w:rsid w:val="00C92414"/>
    <w:rsid w:val="00C92492"/>
    <w:rsid w:val="00C925A4"/>
    <w:rsid w:val="00C92684"/>
    <w:rsid w:val="00C9286B"/>
    <w:rsid w:val="00C93337"/>
    <w:rsid w:val="00C934A5"/>
    <w:rsid w:val="00C93913"/>
    <w:rsid w:val="00C93CB8"/>
    <w:rsid w:val="00C94208"/>
    <w:rsid w:val="00C94262"/>
    <w:rsid w:val="00C942B4"/>
    <w:rsid w:val="00C94755"/>
    <w:rsid w:val="00C948A3"/>
    <w:rsid w:val="00C9556D"/>
    <w:rsid w:val="00C9557E"/>
    <w:rsid w:val="00C95690"/>
    <w:rsid w:val="00C95B51"/>
    <w:rsid w:val="00C95B6F"/>
    <w:rsid w:val="00C95C61"/>
    <w:rsid w:val="00C9604D"/>
    <w:rsid w:val="00C9608B"/>
    <w:rsid w:val="00C96217"/>
    <w:rsid w:val="00C96A7F"/>
    <w:rsid w:val="00C96DEE"/>
    <w:rsid w:val="00C96F96"/>
    <w:rsid w:val="00C97354"/>
    <w:rsid w:val="00C97383"/>
    <w:rsid w:val="00C973D3"/>
    <w:rsid w:val="00C976BE"/>
    <w:rsid w:val="00C977A1"/>
    <w:rsid w:val="00C97ADB"/>
    <w:rsid w:val="00C97DD3"/>
    <w:rsid w:val="00CA037C"/>
    <w:rsid w:val="00CA0499"/>
    <w:rsid w:val="00CA05EE"/>
    <w:rsid w:val="00CA07D4"/>
    <w:rsid w:val="00CA1058"/>
    <w:rsid w:val="00CA16EC"/>
    <w:rsid w:val="00CA1962"/>
    <w:rsid w:val="00CA19D4"/>
    <w:rsid w:val="00CA1E55"/>
    <w:rsid w:val="00CA1F9A"/>
    <w:rsid w:val="00CA26F6"/>
    <w:rsid w:val="00CA2984"/>
    <w:rsid w:val="00CA2C8D"/>
    <w:rsid w:val="00CA2D22"/>
    <w:rsid w:val="00CA2F64"/>
    <w:rsid w:val="00CA2FBF"/>
    <w:rsid w:val="00CA3512"/>
    <w:rsid w:val="00CA38D7"/>
    <w:rsid w:val="00CA39D1"/>
    <w:rsid w:val="00CA3BBF"/>
    <w:rsid w:val="00CA3F83"/>
    <w:rsid w:val="00CA4083"/>
    <w:rsid w:val="00CA40D1"/>
    <w:rsid w:val="00CA4263"/>
    <w:rsid w:val="00CA4603"/>
    <w:rsid w:val="00CA4ABD"/>
    <w:rsid w:val="00CA4DAA"/>
    <w:rsid w:val="00CA4DB7"/>
    <w:rsid w:val="00CA4DE1"/>
    <w:rsid w:val="00CA4E6B"/>
    <w:rsid w:val="00CA542E"/>
    <w:rsid w:val="00CA5547"/>
    <w:rsid w:val="00CA5567"/>
    <w:rsid w:val="00CA5671"/>
    <w:rsid w:val="00CA5753"/>
    <w:rsid w:val="00CA5AAC"/>
    <w:rsid w:val="00CA5ED9"/>
    <w:rsid w:val="00CA5FE8"/>
    <w:rsid w:val="00CA6646"/>
    <w:rsid w:val="00CA67E7"/>
    <w:rsid w:val="00CA6D7D"/>
    <w:rsid w:val="00CA73AC"/>
    <w:rsid w:val="00CA743D"/>
    <w:rsid w:val="00CA77E3"/>
    <w:rsid w:val="00CA79D1"/>
    <w:rsid w:val="00CA7CEA"/>
    <w:rsid w:val="00CA7D04"/>
    <w:rsid w:val="00CB0A7B"/>
    <w:rsid w:val="00CB0B2B"/>
    <w:rsid w:val="00CB0F1D"/>
    <w:rsid w:val="00CB1093"/>
    <w:rsid w:val="00CB1386"/>
    <w:rsid w:val="00CB147D"/>
    <w:rsid w:val="00CB14B4"/>
    <w:rsid w:val="00CB1BA6"/>
    <w:rsid w:val="00CB1D45"/>
    <w:rsid w:val="00CB21AB"/>
    <w:rsid w:val="00CB235E"/>
    <w:rsid w:val="00CB2579"/>
    <w:rsid w:val="00CB2D55"/>
    <w:rsid w:val="00CB30DC"/>
    <w:rsid w:val="00CB3386"/>
    <w:rsid w:val="00CB37A4"/>
    <w:rsid w:val="00CB3A24"/>
    <w:rsid w:val="00CB3AFE"/>
    <w:rsid w:val="00CB3B16"/>
    <w:rsid w:val="00CB3CA1"/>
    <w:rsid w:val="00CB3FB9"/>
    <w:rsid w:val="00CB4018"/>
    <w:rsid w:val="00CB4112"/>
    <w:rsid w:val="00CB4314"/>
    <w:rsid w:val="00CB468E"/>
    <w:rsid w:val="00CB4780"/>
    <w:rsid w:val="00CB47D5"/>
    <w:rsid w:val="00CB4A68"/>
    <w:rsid w:val="00CB4C5F"/>
    <w:rsid w:val="00CB5105"/>
    <w:rsid w:val="00CB52EC"/>
    <w:rsid w:val="00CB5BC5"/>
    <w:rsid w:val="00CB5BE7"/>
    <w:rsid w:val="00CB5E9A"/>
    <w:rsid w:val="00CB64B5"/>
    <w:rsid w:val="00CB664C"/>
    <w:rsid w:val="00CB69B6"/>
    <w:rsid w:val="00CB69EB"/>
    <w:rsid w:val="00CB6C95"/>
    <w:rsid w:val="00CB7014"/>
    <w:rsid w:val="00CB7059"/>
    <w:rsid w:val="00CB713B"/>
    <w:rsid w:val="00CB7203"/>
    <w:rsid w:val="00CB7335"/>
    <w:rsid w:val="00CB74C4"/>
    <w:rsid w:val="00CB7902"/>
    <w:rsid w:val="00CB7FDB"/>
    <w:rsid w:val="00CB7FF8"/>
    <w:rsid w:val="00CC0142"/>
    <w:rsid w:val="00CC05D1"/>
    <w:rsid w:val="00CC05E3"/>
    <w:rsid w:val="00CC0656"/>
    <w:rsid w:val="00CC0A24"/>
    <w:rsid w:val="00CC0D2C"/>
    <w:rsid w:val="00CC10F3"/>
    <w:rsid w:val="00CC128F"/>
    <w:rsid w:val="00CC17FD"/>
    <w:rsid w:val="00CC1A7C"/>
    <w:rsid w:val="00CC1C3B"/>
    <w:rsid w:val="00CC2053"/>
    <w:rsid w:val="00CC2236"/>
    <w:rsid w:val="00CC230A"/>
    <w:rsid w:val="00CC247A"/>
    <w:rsid w:val="00CC287C"/>
    <w:rsid w:val="00CC2B36"/>
    <w:rsid w:val="00CC3154"/>
    <w:rsid w:val="00CC383C"/>
    <w:rsid w:val="00CC3B66"/>
    <w:rsid w:val="00CC43DE"/>
    <w:rsid w:val="00CC460D"/>
    <w:rsid w:val="00CC4872"/>
    <w:rsid w:val="00CC49AA"/>
    <w:rsid w:val="00CC4B66"/>
    <w:rsid w:val="00CC51FE"/>
    <w:rsid w:val="00CC5265"/>
    <w:rsid w:val="00CC579E"/>
    <w:rsid w:val="00CC5B8F"/>
    <w:rsid w:val="00CC694A"/>
    <w:rsid w:val="00CC6A1F"/>
    <w:rsid w:val="00CC6A9D"/>
    <w:rsid w:val="00CC6FB0"/>
    <w:rsid w:val="00CC716E"/>
    <w:rsid w:val="00CC71B2"/>
    <w:rsid w:val="00CC73F5"/>
    <w:rsid w:val="00CC74AE"/>
    <w:rsid w:val="00CC7697"/>
    <w:rsid w:val="00CC79D3"/>
    <w:rsid w:val="00CC7E67"/>
    <w:rsid w:val="00CC7F31"/>
    <w:rsid w:val="00CC7FE7"/>
    <w:rsid w:val="00CD0066"/>
    <w:rsid w:val="00CD01DF"/>
    <w:rsid w:val="00CD06F1"/>
    <w:rsid w:val="00CD0782"/>
    <w:rsid w:val="00CD0AC9"/>
    <w:rsid w:val="00CD0D00"/>
    <w:rsid w:val="00CD122C"/>
    <w:rsid w:val="00CD130A"/>
    <w:rsid w:val="00CD13A5"/>
    <w:rsid w:val="00CD13D7"/>
    <w:rsid w:val="00CD1451"/>
    <w:rsid w:val="00CD15F5"/>
    <w:rsid w:val="00CD1A5E"/>
    <w:rsid w:val="00CD1DAB"/>
    <w:rsid w:val="00CD1FDA"/>
    <w:rsid w:val="00CD2094"/>
    <w:rsid w:val="00CD242C"/>
    <w:rsid w:val="00CD262F"/>
    <w:rsid w:val="00CD2818"/>
    <w:rsid w:val="00CD2C0D"/>
    <w:rsid w:val="00CD3276"/>
    <w:rsid w:val="00CD34AD"/>
    <w:rsid w:val="00CD377B"/>
    <w:rsid w:val="00CD38F0"/>
    <w:rsid w:val="00CD3CFE"/>
    <w:rsid w:val="00CD3E42"/>
    <w:rsid w:val="00CD3E59"/>
    <w:rsid w:val="00CD3EEA"/>
    <w:rsid w:val="00CD3FC9"/>
    <w:rsid w:val="00CD3FD4"/>
    <w:rsid w:val="00CD410F"/>
    <w:rsid w:val="00CD411F"/>
    <w:rsid w:val="00CD43EB"/>
    <w:rsid w:val="00CD47D9"/>
    <w:rsid w:val="00CD48B3"/>
    <w:rsid w:val="00CD48F0"/>
    <w:rsid w:val="00CD4BB4"/>
    <w:rsid w:val="00CD4C32"/>
    <w:rsid w:val="00CD4D13"/>
    <w:rsid w:val="00CD4D9B"/>
    <w:rsid w:val="00CD50F1"/>
    <w:rsid w:val="00CD5307"/>
    <w:rsid w:val="00CD5342"/>
    <w:rsid w:val="00CD5423"/>
    <w:rsid w:val="00CD5512"/>
    <w:rsid w:val="00CD5663"/>
    <w:rsid w:val="00CD59FC"/>
    <w:rsid w:val="00CD5AF5"/>
    <w:rsid w:val="00CD5C11"/>
    <w:rsid w:val="00CD5C4C"/>
    <w:rsid w:val="00CD5E76"/>
    <w:rsid w:val="00CD60BB"/>
    <w:rsid w:val="00CD6153"/>
    <w:rsid w:val="00CD64BE"/>
    <w:rsid w:val="00CD6739"/>
    <w:rsid w:val="00CD6981"/>
    <w:rsid w:val="00CD6C20"/>
    <w:rsid w:val="00CD728D"/>
    <w:rsid w:val="00CD7BC7"/>
    <w:rsid w:val="00CD7DF9"/>
    <w:rsid w:val="00CD7E82"/>
    <w:rsid w:val="00CE049C"/>
    <w:rsid w:val="00CE0831"/>
    <w:rsid w:val="00CE0AA2"/>
    <w:rsid w:val="00CE0C15"/>
    <w:rsid w:val="00CE0C62"/>
    <w:rsid w:val="00CE1210"/>
    <w:rsid w:val="00CE1906"/>
    <w:rsid w:val="00CE1D91"/>
    <w:rsid w:val="00CE20AB"/>
    <w:rsid w:val="00CE2523"/>
    <w:rsid w:val="00CE275F"/>
    <w:rsid w:val="00CE27AF"/>
    <w:rsid w:val="00CE2A21"/>
    <w:rsid w:val="00CE2AD4"/>
    <w:rsid w:val="00CE2C65"/>
    <w:rsid w:val="00CE34E7"/>
    <w:rsid w:val="00CE3645"/>
    <w:rsid w:val="00CE3C62"/>
    <w:rsid w:val="00CE3D23"/>
    <w:rsid w:val="00CE3D63"/>
    <w:rsid w:val="00CE3D6B"/>
    <w:rsid w:val="00CE3F91"/>
    <w:rsid w:val="00CE4055"/>
    <w:rsid w:val="00CE4255"/>
    <w:rsid w:val="00CE461C"/>
    <w:rsid w:val="00CE47DD"/>
    <w:rsid w:val="00CE49DB"/>
    <w:rsid w:val="00CE4A78"/>
    <w:rsid w:val="00CE4DC8"/>
    <w:rsid w:val="00CE51CC"/>
    <w:rsid w:val="00CE5299"/>
    <w:rsid w:val="00CE548A"/>
    <w:rsid w:val="00CE5545"/>
    <w:rsid w:val="00CE5624"/>
    <w:rsid w:val="00CE5A4A"/>
    <w:rsid w:val="00CE5B80"/>
    <w:rsid w:val="00CE5C46"/>
    <w:rsid w:val="00CE5C52"/>
    <w:rsid w:val="00CE5CE2"/>
    <w:rsid w:val="00CE5DA1"/>
    <w:rsid w:val="00CE5DD4"/>
    <w:rsid w:val="00CE60AE"/>
    <w:rsid w:val="00CE6397"/>
    <w:rsid w:val="00CE6614"/>
    <w:rsid w:val="00CE67EA"/>
    <w:rsid w:val="00CE6861"/>
    <w:rsid w:val="00CE6902"/>
    <w:rsid w:val="00CE6A60"/>
    <w:rsid w:val="00CE6B5B"/>
    <w:rsid w:val="00CE6D64"/>
    <w:rsid w:val="00CE707C"/>
    <w:rsid w:val="00CE74F7"/>
    <w:rsid w:val="00CE7D48"/>
    <w:rsid w:val="00CE7F26"/>
    <w:rsid w:val="00CE7FC4"/>
    <w:rsid w:val="00CF00CF"/>
    <w:rsid w:val="00CF028D"/>
    <w:rsid w:val="00CF0390"/>
    <w:rsid w:val="00CF039B"/>
    <w:rsid w:val="00CF0435"/>
    <w:rsid w:val="00CF0742"/>
    <w:rsid w:val="00CF098C"/>
    <w:rsid w:val="00CF0DBD"/>
    <w:rsid w:val="00CF15B8"/>
    <w:rsid w:val="00CF1627"/>
    <w:rsid w:val="00CF163F"/>
    <w:rsid w:val="00CF16BD"/>
    <w:rsid w:val="00CF1709"/>
    <w:rsid w:val="00CF1735"/>
    <w:rsid w:val="00CF1C07"/>
    <w:rsid w:val="00CF1DED"/>
    <w:rsid w:val="00CF21BF"/>
    <w:rsid w:val="00CF2267"/>
    <w:rsid w:val="00CF2280"/>
    <w:rsid w:val="00CF238B"/>
    <w:rsid w:val="00CF23D9"/>
    <w:rsid w:val="00CF25B6"/>
    <w:rsid w:val="00CF2B94"/>
    <w:rsid w:val="00CF2C7F"/>
    <w:rsid w:val="00CF2C94"/>
    <w:rsid w:val="00CF3192"/>
    <w:rsid w:val="00CF32B3"/>
    <w:rsid w:val="00CF3522"/>
    <w:rsid w:val="00CF3BB4"/>
    <w:rsid w:val="00CF3E77"/>
    <w:rsid w:val="00CF3EDF"/>
    <w:rsid w:val="00CF4121"/>
    <w:rsid w:val="00CF4398"/>
    <w:rsid w:val="00CF45C6"/>
    <w:rsid w:val="00CF492D"/>
    <w:rsid w:val="00CF4AC4"/>
    <w:rsid w:val="00CF4AC5"/>
    <w:rsid w:val="00CF4AEA"/>
    <w:rsid w:val="00CF4BF2"/>
    <w:rsid w:val="00CF4F73"/>
    <w:rsid w:val="00CF57C4"/>
    <w:rsid w:val="00CF5B0E"/>
    <w:rsid w:val="00CF5B78"/>
    <w:rsid w:val="00CF5BF1"/>
    <w:rsid w:val="00CF5D92"/>
    <w:rsid w:val="00CF5E40"/>
    <w:rsid w:val="00CF62CA"/>
    <w:rsid w:val="00CF6658"/>
    <w:rsid w:val="00CF675B"/>
    <w:rsid w:val="00CF6854"/>
    <w:rsid w:val="00CF6978"/>
    <w:rsid w:val="00CF6B6A"/>
    <w:rsid w:val="00CF6C50"/>
    <w:rsid w:val="00CF70FE"/>
    <w:rsid w:val="00CF71CC"/>
    <w:rsid w:val="00CF72E6"/>
    <w:rsid w:val="00CF7A0F"/>
    <w:rsid w:val="00CF7CF6"/>
    <w:rsid w:val="00D0001F"/>
    <w:rsid w:val="00D0013D"/>
    <w:rsid w:val="00D00411"/>
    <w:rsid w:val="00D00E9A"/>
    <w:rsid w:val="00D014E4"/>
    <w:rsid w:val="00D01588"/>
    <w:rsid w:val="00D01754"/>
    <w:rsid w:val="00D018D5"/>
    <w:rsid w:val="00D01981"/>
    <w:rsid w:val="00D01AB3"/>
    <w:rsid w:val="00D01EB4"/>
    <w:rsid w:val="00D02374"/>
    <w:rsid w:val="00D02B54"/>
    <w:rsid w:val="00D02C3F"/>
    <w:rsid w:val="00D0363F"/>
    <w:rsid w:val="00D03758"/>
    <w:rsid w:val="00D038EA"/>
    <w:rsid w:val="00D03A17"/>
    <w:rsid w:val="00D03A88"/>
    <w:rsid w:val="00D03D8A"/>
    <w:rsid w:val="00D03E96"/>
    <w:rsid w:val="00D03EB6"/>
    <w:rsid w:val="00D041A8"/>
    <w:rsid w:val="00D04312"/>
    <w:rsid w:val="00D0468E"/>
    <w:rsid w:val="00D0477D"/>
    <w:rsid w:val="00D0477F"/>
    <w:rsid w:val="00D04A4E"/>
    <w:rsid w:val="00D04DF3"/>
    <w:rsid w:val="00D05000"/>
    <w:rsid w:val="00D05186"/>
    <w:rsid w:val="00D05190"/>
    <w:rsid w:val="00D052C5"/>
    <w:rsid w:val="00D05347"/>
    <w:rsid w:val="00D0560A"/>
    <w:rsid w:val="00D05616"/>
    <w:rsid w:val="00D05A48"/>
    <w:rsid w:val="00D05EB1"/>
    <w:rsid w:val="00D0613D"/>
    <w:rsid w:val="00D06383"/>
    <w:rsid w:val="00D0659B"/>
    <w:rsid w:val="00D06DE8"/>
    <w:rsid w:val="00D06E5F"/>
    <w:rsid w:val="00D07A60"/>
    <w:rsid w:val="00D07F23"/>
    <w:rsid w:val="00D07F32"/>
    <w:rsid w:val="00D102D5"/>
    <w:rsid w:val="00D1036E"/>
    <w:rsid w:val="00D104D1"/>
    <w:rsid w:val="00D10883"/>
    <w:rsid w:val="00D108D9"/>
    <w:rsid w:val="00D10905"/>
    <w:rsid w:val="00D1099E"/>
    <w:rsid w:val="00D10FF3"/>
    <w:rsid w:val="00D11035"/>
    <w:rsid w:val="00D114BB"/>
    <w:rsid w:val="00D114DA"/>
    <w:rsid w:val="00D119E6"/>
    <w:rsid w:val="00D119FF"/>
    <w:rsid w:val="00D11EF5"/>
    <w:rsid w:val="00D1204C"/>
    <w:rsid w:val="00D122AB"/>
    <w:rsid w:val="00D12B47"/>
    <w:rsid w:val="00D12DC9"/>
    <w:rsid w:val="00D12DD4"/>
    <w:rsid w:val="00D12EC5"/>
    <w:rsid w:val="00D1318F"/>
    <w:rsid w:val="00D13876"/>
    <w:rsid w:val="00D139C3"/>
    <w:rsid w:val="00D13A51"/>
    <w:rsid w:val="00D13A7C"/>
    <w:rsid w:val="00D13E52"/>
    <w:rsid w:val="00D1411D"/>
    <w:rsid w:val="00D14217"/>
    <w:rsid w:val="00D14485"/>
    <w:rsid w:val="00D144AD"/>
    <w:rsid w:val="00D1471B"/>
    <w:rsid w:val="00D147C2"/>
    <w:rsid w:val="00D149C8"/>
    <w:rsid w:val="00D14A44"/>
    <w:rsid w:val="00D14C29"/>
    <w:rsid w:val="00D14EDD"/>
    <w:rsid w:val="00D15304"/>
    <w:rsid w:val="00D1584E"/>
    <w:rsid w:val="00D15AAA"/>
    <w:rsid w:val="00D15B5C"/>
    <w:rsid w:val="00D15B6D"/>
    <w:rsid w:val="00D15B8B"/>
    <w:rsid w:val="00D15CD9"/>
    <w:rsid w:val="00D15F34"/>
    <w:rsid w:val="00D161A3"/>
    <w:rsid w:val="00D16DAE"/>
    <w:rsid w:val="00D17377"/>
    <w:rsid w:val="00D17813"/>
    <w:rsid w:val="00D17B0E"/>
    <w:rsid w:val="00D17D5B"/>
    <w:rsid w:val="00D17FB8"/>
    <w:rsid w:val="00D200AB"/>
    <w:rsid w:val="00D200D4"/>
    <w:rsid w:val="00D20324"/>
    <w:rsid w:val="00D20563"/>
    <w:rsid w:val="00D207CE"/>
    <w:rsid w:val="00D21203"/>
    <w:rsid w:val="00D2122C"/>
    <w:rsid w:val="00D21264"/>
    <w:rsid w:val="00D21D3E"/>
    <w:rsid w:val="00D22413"/>
    <w:rsid w:val="00D22CC5"/>
    <w:rsid w:val="00D22EBD"/>
    <w:rsid w:val="00D22FAE"/>
    <w:rsid w:val="00D2301A"/>
    <w:rsid w:val="00D23092"/>
    <w:rsid w:val="00D231DB"/>
    <w:rsid w:val="00D23330"/>
    <w:rsid w:val="00D23B14"/>
    <w:rsid w:val="00D23CB1"/>
    <w:rsid w:val="00D2401B"/>
    <w:rsid w:val="00D24197"/>
    <w:rsid w:val="00D247DD"/>
    <w:rsid w:val="00D24910"/>
    <w:rsid w:val="00D24B40"/>
    <w:rsid w:val="00D24C7E"/>
    <w:rsid w:val="00D24EC2"/>
    <w:rsid w:val="00D24F94"/>
    <w:rsid w:val="00D24FEA"/>
    <w:rsid w:val="00D24FFA"/>
    <w:rsid w:val="00D252B5"/>
    <w:rsid w:val="00D25331"/>
    <w:rsid w:val="00D2548B"/>
    <w:rsid w:val="00D2571A"/>
    <w:rsid w:val="00D25975"/>
    <w:rsid w:val="00D25B99"/>
    <w:rsid w:val="00D25CFC"/>
    <w:rsid w:val="00D25E3D"/>
    <w:rsid w:val="00D2600D"/>
    <w:rsid w:val="00D263D4"/>
    <w:rsid w:val="00D26462"/>
    <w:rsid w:val="00D2648D"/>
    <w:rsid w:val="00D267C2"/>
    <w:rsid w:val="00D26804"/>
    <w:rsid w:val="00D26B2E"/>
    <w:rsid w:val="00D27382"/>
    <w:rsid w:val="00D273B0"/>
    <w:rsid w:val="00D274D6"/>
    <w:rsid w:val="00D27501"/>
    <w:rsid w:val="00D27582"/>
    <w:rsid w:val="00D278B9"/>
    <w:rsid w:val="00D27BDD"/>
    <w:rsid w:val="00D27E98"/>
    <w:rsid w:val="00D27EB9"/>
    <w:rsid w:val="00D30431"/>
    <w:rsid w:val="00D304B2"/>
    <w:rsid w:val="00D3057A"/>
    <w:rsid w:val="00D30634"/>
    <w:rsid w:val="00D30886"/>
    <w:rsid w:val="00D30A0B"/>
    <w:rsid w:val="00D30BB7"/>
    <w:rsid w:val="00D30DBA"/>
    <w:rsid w:val="00D30E1D"/>
    <w:rsid w:val="00D31107"/>
    <w:rsid w:val="00D312FB"/>
    <w:rsid w:val="00D3150F"/>
    <w:rsid w:val="00D315FA"/>
    <w:rsid w:val="00D31909"/>
    <w:rsid w:val="00D31AD6"/>
    <w:rsid w:val="00D320CD"/>
    <w:rsid w:val="00D32396"/>
    <w:rsid w:val="00D328F6"/>
    <w:rsid w:val="00D32E1B"/>
    <w:rsid w:val="00D332D1"/>
    <w:rsid w:val="00D33301"/>
    <w:rsid w:val="00D333C6"/>
    <w:rsid w:val="00D3345B"/>
    <w:rsid w:val="00D33512"/>
    <w:rsid w:val="00D3380B"/>
    <w:rsid w:val="00D33A5D"/>
    <w:rsid w:val="00D33DF9"/>
    <w:rsid w:val="00D33EF1"/>
    <w:rsid w:val="00D33F12"/>
    <w:rsid w:val="00D34389"/>
    <w:rsid w:val="00D3457C"/>
    <w:rsid w:val="00D34699"/>
    <w:rsid w:val="00D34ADA"/>
    <w:rsid w:val="00D34AE0"/>
    <w:rsid w:val="00D34BDC"/>
    <w:rsid w:val="00D35AD7"/>
    <w:rsid w:val="00D36358"/>
    <w:rsid w:val="00D365B6"/>
    <w:rsid w:val="00D3668F"/>
    <w:rsid w:val="00D36778"/>
    <w:rsid w:val="00D367CE"/>
    <w:rsid w:val="00D3688D"/>
    <w:rsid w:val="00D36AB0"/>
    <w:rsid w:val="00D37097"/>
    <w:rsid w:val="00D37272"/>
    <w:rsid w:val="00D374BB"/>
    <w:rsid w:val="00D376F9"/>
    <w:rsid w:val="00D37709"/>
    <w:rsid w:val="00D37D38"/>
    <w:rsid w:val="00D37E54"/>
    <w:rsid w:val="00D37EB0"/>
    <w:rsid w:val="00D404F0"/>
    <w:rsid w:val="00D405D5"/>
    <w:rsid w:val="00D4082A"/>
    <w:rsid w:val="00D408AB"/>
    <w:rsid w:val="00D40B3A"/>
    <w:rsid w:val="00D40F42"/>
    <w:rsid w:val="00D41584"/>
    <w:rsid w:val="00D41596"/>
    <w:rsid w:val="00D41635"/>
    <w:rsid w:val="00D4180C"/>
    <w:rsid w:val="00D41A0E"/>
    <w:rsid w:val="00D41B0D"/>
    <w:rsid w:val="00D41DB8"/>
    <w:rsid w:val="00D41DE0"/>
    <w:rsid w:val="00D41F8A"/>
    <w:rsid w:val="00D4208A"/>
    <w:rsid w:val="00D420B4"/>
    <w:rsid w:val="00D4221A"/>
    <w:rsid w:val="00D42504"/>
    <w:rsid w:val="00D427E6"/>
    <w:rsid w:val="00D42C82"/>
    <w:rsid w:val="00D42C8E"/>
    <w:rsid w:val="00D42CDA"/>
    <w:rsid w:val="00D4301C"/>
    <w:rsid w:val="00D43103"/>
    <w:rsid w:val="00D4326B"/>
    <w:rsid w:val="00D434B3"/>
    <w:rsid w:val="00D4389E"/>
    <w:rsid w:val="00D43DA0"/>
    <w:rsid w:val="00D43DCE"/>
    <w:rsid w:val="00D43E95"/>
    <w:rsid w:val="00D44152"/>
    <w:rsid w:val="00D44157"/>
    <w:rsid w:val="00D442D2"/>
    <w:rsid w:val="00D44642"/>
    <w:rsid w:val="00D44BF0"/>
    <w:rsid w:val="00D44C4F"/>
    <w:rsid w:val="00D44D24"/>
    <w:rsid w:val="00D44D44"/>
    <w:rsid w:val="00D4527C"/>
    <w:rsid w:val="00D4539C"/>
    <w:rsid w:val="00D458FA"/>
    <w:rsid w:val="00D46161"/>
    <w:rsid w:val="00D467DC"/>
    <w:rsid w:val="00D46B39"/>
    <w:rsid w:val="00D46BE4"/>
    <w:rsid w:val="00D46F83"/>
    <w:rsid w:val="00D4727A"/>
    <w:rsid w:val="00D47778"/>
    <w:rsid w:val="00D47916"/>
    <w:rsid w:val="00D47946"/>
    <w:rsid w:val="00D47C86"/>
    <w:rsid w:val="00D47FB0"/>
    <w:rsid w:val="00D5018D"/>
    <w:rsid w:val="00D50310"/>
    <w:rsid w:val="00D504D4"/>
    <w:rsid w:val="00D509FD"/>
    <w:rsid w:val="00D50A05"/>
    <w:rsid w:val="00D50A78"/>
    <w:rsid w:val="00D50CAE"/>
    <w:rsid w:val="00D50F83"/>
    <w:rsid w:val="00D5132F"/>
    <w:rsid w:val="00D513D6"/>
    <w:rsid w:val="00D514C3"/>
    <w:rsid w:val="00D5189C"/>
    <w:rsid w:val="00D518DD"/>
    <w:rsid w:val="00D51CEB"/>
    <w:rsid w:val="00D51EE9"/>
    <w:rsid w:val="00D5214F"/>
    <w:rsid w:val="00D5239E"/>
    <w:rsid w:val="00D5265F"/>
    <w:rsid w:val="00D52741"/>
    <w:rsid w:val="00D5291C"/>
    <w:rsid w:val="00D529C4"/>
    <w:rsid w:val="00D52A7A"/>
    <w:rsid w:val="00D52AD3"/>
    <w:rsid w:val="00D52C51"/>
    <w:rsid w:val="00D52E73"/>
    <w:rsid w:val="00D52EA6"/>
    <w:rsid w:val="00D53061"/>
    <w:rsid w:val="00D53579"/>
    <w:rsid w:val="00D536A4"/>
    <w:rsid w:val="00D536EF"/>
    <w:rsid w:val="00D53C5F"/>
    <w:rsid w:val="00D53CBF"/>
    <w:rsid w:val="00D53E35"/>
    <w:rsid w:val="00D5420D"/>
    <w:rsid w:val="00D545EF"/>
    <w:rsid w:val="00D547E8"/>
    <w:rsid w:val="00D54970"/>
    <w:rsid w:val="00D54A5D"/>
    <w:rsid w:val="00D54DDF"/>
    <w:rsid w:val="00D54E9A"/>
    <w:rsid w:val="00D54EB7"/>
    <w:rsid w:val="00D55009"/>
    <w:rsid w:val="00D553D3"/>
    <w:rsid w:val="00D55490"/>
    <w:rsid w:val="00D555DB"/>
    <w:rsid w:val="00D555EE"/>
    <w:rsid w:val="00D55834"/>
    <w:rsid w:val="00D5595E"/>
    <w:rsid w:val="00D55DD6"/>
    <w:rsid w:val="00D56135"/>
    <w:rsid w:val="00D56198"/>
    <w:rsid w:val="00D563A8"/>
    <w:rsid w:val="00D56810"/>
    <w:rsid w:val="00D56E95"/>
    <w:rsid w:val="00D57007"/>
    <w:rsid w:val="00D5723D"/>
    <w:rsid w:val="00D574DC"/>
    <w:rsid w:val="00D575BB"/>
    <w:rsid w:val="00D57893"/>
    <w:rsid w:val="00D57D68"/>
    <w:rsid w:val="00D57F85"/>
    <w:rsid w:val="00D60439"/>
    <w:rsid w:val="00D6046C"/>
    <w:rsid w:val="00D606B6"/>
    <w:rsid w:val="00D609C6"/>
    <w:rsid w:val="00D60B6F"/>
    <w:rsid w:val="00D60D99"/>
    <w:rsid w:val="00D612DE"/>
    <w:rsid w:val="00D6202D"/>
    <w:rsid w:val="00D624ED"/>
    <w:rsid w:val="00D6261D"/>
    <w:rsid w:val="00D62FBB"/>
    <w:rsid w:val="00D63125"/>
    <w:rsid w:val="00D63507"/>
    <w:rsid w:val="00D63935"/>
    <w:rsid w:val="00D63B66"/>
    <w:rsid w:val="00D641E8"/>
    <w:rsid w:val="00D645CA"/>
    <w:rsid w:val="00D647DB"/>
    <w:rsid w:val="00D6480D"/>
    <w:rsid w:val="00D649E0"/>
    <w:rsid w:val="00D64B0B"/>
    <w:rsid w:val="00D64CAE"/>
    <w:rsid w:val="00D6505B"/>
    <w:rsid w:val="00D650C1"/>
    <w:rsid w:val="00D65454"/>
    <w:rsid w:val="00D6547F"/>
    <w:rsid w:val="00D654CE"/>
    <w:rsid w:val="00D6567D"/>
    <w:rsid w:val="00D65680"/>
    <w:rsid w:val="00D65FAC"/>
    <w:rsid w:val="00D660EB"/>
    <w:rsid w:val="00D66117"/>
    <w:rsid w:val="00D6660B"/>
    <w:rsid w:val="00D666AC"/>
    <w:rsid w:val="00D66B28"/>
    <w:rsid w:val="00D66D7D"/>
    <w:rsid w:val="00D6730F"/>
    <w:rsid w:val="00D6746A"/>
    <w:rsid w:val="00D675D8"/>
    <w:rsid w:val="00D6782C"/>
    <w:rsid w:val="00D678A5"/>
    <w:rsid w:val="00D67EA5"/>
    <w:rsid w:val="00D67FCE"/>
    <w:rsid w:val="00D70010"/>
    <w:rsid w:val="00D70136"/>
    <w:rsid w:val="00D7029F"/>
    <w:rsid w:val="00D70619"/>
    <w:rsid w:val="00D70754"/>
    <w:rsid w:val="00D7082B"/>
    <w:rsid w:val="00D70DB6"/>
    <w:rsid w:val="00D71153"/>
    <w:rsid w:val="00D7158C"/>
    <w:rsid w:val="00D718B3"/>
    <w:rsid w:val="00D71A21"/>
    <w:rsid w:val="00D71C0A"/>
    <w:rsid w:val="00D71E62"/>
    <w:rsid w:val="00D7210E"/>
    <w:rsid w:val="00D7285A"/>
    <w:rsid w:val="00D7296D"/>
    <w:rsid w:val="00D72A1E"/>
    <w:rsid w:val="00D72A9F"/>
    <w:rsid w:val="00D72AE8"/>
    <w:rsid w:val="00D72AF8"/>
    <w:rsid w:val="00D72C14"/>
    <w:rsid w:val="00D72CF9"/>
    <w:rsid w:val="00D72D9B"/>
    <w:rsid w:val="00D72F52"/>
    <w:rsid w:val="00D72FB7"/>
    <w:rsid w:val="00D73484"/>
    <w:rsid w:val="00D734D6"/>
    <w:rsid w:val="00D735E3"/>
    <w:rsid w:val="00D736C2"/>
    <w:rsid w:val="00D7379D"/>
    <w:rsid w:val="00D738DD"/>
    <w:rsid w:val="00D73BF8"/>
    <w:rsid w:val="00D73C14"/>
    <w:rsid w:val="00D73DEB"/>
    <w:rsid w:val="00D73E7D"/>
    <w:rsid w:val="00D740EF"/>
    <w:rsid w:val="00D745A6"/>
    <w:rsid w:val="00D74A8A"/>
    <w:rsid w:val="00D74E0A"/>
    <w:rsid w:val="00D74EF2"/>
    <w:rsid w:val="00D751A1"/>
    <w:rsid w:val="00D753FB"/>
    <w:rsid w:val="00D75B0E"/>
    <w:rsid w:val="00D76268"/>
    <w:rsid w:val="00D763B8"/>
    <w:rsid w:val="00D765DC"/>
    <w:rsid w:val="00D7660F"/>
    <w:rsid w:val="00D766E0"/>
    <w:rsid w:val="00D769BA"/>
    <w:rsid w:val="00D76A57"/>
    <w:rsid w:val="00D76BAD"/>
    <w:rsid w:val="00D76CB8"/>
    <w:rsid w:val="00D76D8C"/>
    <w:rsid w:val="00D76E31"/>
    <w:rsid w:val="00D76E60"/>
    <w:rsid w:val="00D771A2"/>
    <w:rsid w:val="00D773F1"/>
    <w:rsid w:val="00D77543"/>
    <w:rsid w:val="00D7796D"/>
    <w:rsid w:val="00D7796E"/>
    <w:rsid w:val="00D803FC"/>
    <w:rsid w:val="00D80B16"/>
    <w:rsid w:val="00D80C00"/>
    <w:rsid w:val="00D80F33"/>
    <w:rsid w:val="00D80FFB"/>
    <w:rsid w:val="00D810CE"/>
    <w:rsid w:val="00D8121B"/>
    <w:rsid w:val="00D81783"/>
    <w:rsid w:val="00D81D3E"/>
    <w:rsid w:val="00D81D4D"/>
    <w:rsid w:val="00D81FC2"/>
    <w:rsid w:val="00D82135"/>
    <w:rsid w:val="00D82419"/>
    <w:rsid w:val="00D829C3"/>
    <w:rsid w:val="00D82DD9"/>
    <w:rsid w:val="00D82EE0"/>
    <w:rsid w:val="00D8305C"/>
    <w:rsid w:val="00D833E5"/>
    <w:rsid w:val="00D836DD"/>
    <w:rsid w:val="00D838D6"/>
    <w:rsid w:val="00D83AF7"/>
    <w:rsid w:val="00D83E4B"/>
    <w:rsid w:val="00D8412E"/>
    <w:rsid w:val="00D84180"/>
    <w:rsid w:val="00D84627"/>
    <w:rsid w:val="00D846BD"/>
    <w:rsid w:val="00D84D94"/>
    <w:rsid w:val="00D85048"/>
    <w:rsid w:val="00D85090"/>
    <w:rsid w:val="00D8516A"/>
    <w:rsid w:val="00D85416"/>
    <w:rsid w:val="00D85661"/>
    <w:rsid w:val="00D856D5"/>
    <w:rsid w:val="00D856D9"/>
    <w:rsid w:val="00D85FD8"/>
    <w:rsid w:val="00D8605E"/>
    <w:rsid w:val="00D8646E"/>
    <w:rsid w:val="00D867FA"/>
    <w:rsid w:val="00D868EF"/>
    <w:rsid w:val="00D86E91"/>
    <w:rsid w:val="00D876DC"/>
    <w:rsid w:val="00D87A9D"/>
    <w:rsid w:val="00D87DCD"/>
    <w:rsid w:val="00D90246"/>
    <w:rsid w:val="00D90625"/>
    <w:rsid w:val="00D9080E"/>
    <w:rsid w:val="00D90A85"/>
    <w:rsid w:val="00D90E7F"/>
    <w:rsid w:val="00D90F08"/>
    <w:rsid w:val="00D916AD"/>
    <w:rsid w:val="00D91742"/>
    <w:rsid w:val="00D918D5"/>
    <w:rsid w:val="00D91962"/>
    <w:rsid w:val="00D91F79"/>
    <w:rsid w:val="00D921E7"/>
    <w:rsid w:val="00D92A0F"/>
    <w:rsid w:val="00D93583"/>
    <w:rsid w:val="00D93947"/>
    <w:rsid w:val="00D94211"/>
    <w:rsid w:val="00D94611"/>
    <w:rsid w:val="00D9468C"/>
    <w:rsid w:val="00D948C9"/>
    <w:rsid w:val="00D94B36"/>
    <w:rsid w:val="00D950C2"/>
    <w:rsid w:val="00D953B9"/>
    <w:rsid w:val="00D95437"/>
    <w:rsid w:val="00D954E8"/>
    <w:rsid w:val="00D954EC"/>
    <w:rsid w:val="00D956F5"/>
    <w:rsid w:val="00D95753"/>
    <w:rsid w:val="00D95A2D"/>
    <w:rsid w:val="00D95CEA"/>
    <w:rsid w:val="00D963A1"/>
    <w:rsid w:val="00D964A8"/>
    <w:rsid w:val="00D96792"/>
    <w:rsid w:val="00D96871"/>
    <w:rsid w:val="00D969DF"/>
    <w:rsid w:val="00D96B47"/>
    <w:rsid w:val="00D96FDA"/>
    <w:rsid w:val="00D970D1"/>
    <w:rsid w:val="00D97220"/>
    <w:rsid w:val="00D9752B"/>
    <w:rsid w:val="00DA0102"/>
    <w:rsid w:val="00DA0314"/>
    <w:rsid w:val="00DA0746"/>
    <w:rsid w:val="00DA0910"/>
    <w:rsid w:val="00DA097A"/>
    <w:rsid w:val="00DA09A7"/>
    <w:rsid w:val="00DA09B2"/>
    <w:rsid w:val="00DA1232"/>
    <w:rsid w:val="00DA12BA"/>
    <w:rsid w:val="00DA13A1"/>
    <w:rsid w:val="00DA18E6"/>
    <w:rsid w:val="00DA1914"/>
    <w:rsid w:val="00DA1BE0"/>
    <w:rsid w:val="00DA1BEC"/>
    <w:rsid w:val="00DA21E6"/>
    <w:rsid w:val="00DA2F05"/>
    <w:rsid w:val="00DA2FFE"/>
    <w:rsid w:val="00DA30E1"/>
    <w:rsid w:val="00DA31DD"/>
    <w:rsid w:val="00DA3AD8"/>
    <w:rsid w:val="00DA3B20"/>
    <w:rsid w:val="00DA3C68"/>
    <w:rsid w:val="00DA3D7C"/>
    <w:rsid w:val="00DA3FFF"/>
    <w:rsid w:val="00DA4039"/>
    <w:rsid w:val="00DA4483"/>
    <w:rsid w:val="00DA468B"/>
    <w:rsid w:val="00DA469D"/>
    <w:rsid w:val="00DA4E99"/>
    <w:rsid w:val="00DA4EFF"/>
    <w:rsid w:val="00DA4F06"/>
    <w:rsid w:val="00DA4F8B"/>
    <w:rsid w:val="00DA53AB"/>
    <w:rsid w:val="00DA5482"/>
    <w:rsid w:val="00DA5647"/>
    <w:rsid w:val="00DA5735"/>
    <w:rsid w:val="00DA5C74"/>
    <w:rsid w:val="00DA5D1C"/>
    <w:rsid w:val="00DA5DC1"/>
    <w:rsid w:val="00DA609D"/>
    <w:rsid w:val="00DA60C6"/>
    <w:rsid w:val="00DA632A"/>
    <w:rsid w:val="00DA65AA"/>
    <w:rsid w:val="00DA681A"/>
    <w:rsid w:val="00DA6C42"/>
    <w:rsid w:val="00DA6C57"/>
    <w:rsid w:val="00DA6D36"/>
    <w:rsid w:val="00DA6EB8"/>
    <w:rsid w:val="00DA7139"/>
    <w:rsid w:val="00DA7399"/>
    <w:rsid w:val="00DA740B"/>
    <w:rsid w:val="00DA78AE"/>
    <w:rsid w:val="00DA7B6C"/>
    <w:rsid w:val="00DA7C4E"/>
    <w:rsid w:val="00DA7C78"/>
    <w:rsid w:val="00DA7DCE"/>
    <w:rsid w:val="00DB021A"/>
    <w:rsid w:val="00DB0A3A"/>
    <w:rsid w:val="00DB0C19"/>
    <w:rsid w:val="00DB11BD"/>
    <w:rsid w:val="00DB1D08"/>
    <w:rsid w:val="00DB21D6"/>
    <w:rsid w:val="00DB26AC"/>
    <w:rsid w:val="00DB2775"/>
    <w:rsid w:val="00DB2988"/>
    <w:rsid w:val="00DB2BB1"/>
    <w:rsid w:val="00DB2FFB"/>
    <w:rsid w:val="00DB3519"/>
    <w:rsid w:val="00DB3A6D"/>
    <w:rsid w:val="00DB3B12"/>
    <w:rsid w:val="00DB3C5C"/>
    <w:rsid w:val="00DB3EEE"/>
    <w:rsid w:val="00DB43DF"/>
    <w:rsid w:val="00DB45B2"/>
    <w:rsid w:val="00DB4630"/>
    <w:rsid w:val="00DB473B"/>
    <w:rsid w:val="00DB4D07"/>
    <w:rsid w:val="00DB4EFC"/>
    <w:rsid w:val="00DB4F07"/>
    <w:rsid w:val="00DB4F12"/>
    <w:rsid w:val="00DB50B4"/>
    <w:rsid w:val="00DB547A"/>
    <w:rsid w:val="00DB569A"/>
    <w:rsid w:val="00DB5869"/>
    <w:rsid w:val="00DB5954"/>
    <w:rsid w:val="00DB5B42"/>
    <w:rsid w:val="00DB5BE0"/>
    <w:rsid w:val="00DB5D72"/>
    <w:rsid w:val="00DB62EB"/>
    <w:rsid w:val="00DB63F2"/>
    <w:rsid w:val="00DB67BD"/>
    <w:rsid w:val="00DB696E"/>
    <w:rsid w:val="00DB69E3"/>
    <w:rsid w:val="00DB6C1D"/>
    <w:rsid w:val="00DB6E9A"/>
    <w:rsid w:val="00DB70A7"/>
    <w:rsid w:val="00DB719D"/>
    <w:rsid w:val="00DB71C0"/>
    <w:rsid w:val="00DB7566"/>
    <w:rsid w:val="00DB7694"/>
    <w:rsid w:val="00DB7749"/>
    <w:rsid w:val="00DB7E49"/>
    <w:rsid w:val="00DB7F4D"/>
    <w:rsid w:val="00DC03CA"/>
    <w:rsid w:val="00DC0805"/>
    <w:rsid w:val="00DC0938"/>
    <w:rsid w:val="00DC0CE3"/>
    <w:rsid w:val="00DC0D86"/>
    <w:rsid w:val="00DC0E85"/>
    <w:rsid w:val="00DC0EE6"/>
    <w:rsid w:val="00DC0EFC"/>
    <w:rsid w:val="00DC118F"/>
    <w:rsid w:val="00DC1378"/>
    <w:rsid w:val="00DC13B6"/>
    <w:rsid w:val="00DC1447"/>
    <w:rsid w:val="00DC145F"/>
    <w:rsid w:val="00DC1A77"/>
    <w:rsid w:val="00DC1B60"/>
    <w:rsid w:val="00DC1B62"/>
    <w:rsid w:val="00DC1D22"/>
    <w:rsid w:val="00DC1EEB"/>
    <w:rsid w:val="00DC21F8"/>
    <w:rsid w:val="00DC2440"/>
    <w:rsid w:val="00DC24DA"/>
    <w:rsid w:val="00DC29EB"/>
    <w:rsid w:val="00DC2A6C"/>
    <w:rsid w:val="00DC2DC4"/>
    <w:rsid w:val="00DC2ED7"/>
    <w:rsid w:val="00DC3359"/>
    <w:rsid w:val="00DC3B55"/>
    <w:rsid w:val="00DC40F6"/>
    <w:rsid w:val="00DC4A03"/>
    <w:rsid w:val="00DC4A70"/>
    <w:rsid w:val="00DC50B7"/>
    <w:rsid w:val="00DC51BE"/>
    <w:rsid w:val="00DC52CB"/>
    <w:rsid w:val="00DC52F0"/>
    <w:rsid w:val="00DC54E4"/>
    <w:rsid w:val="00DC5CB0"/>
    <w:rsid w:val="00DC5D85"/>
    <w:rsid w:val="00DC5EE8"/>
    <w:rsid w:val="00DC62D1"/>
    <w:rsid w:val="00DC64D7"/>
    <w:rsid w:val="00DC67DC"/>
    <w:rsid w:val="00DC6C91"/>
    <w:rsid w:val="00DC6D05"/>
    <w:rsid w:val="00DC6E99"/>
    <w:rsid w:val="00DC706A"/>
    <w:rsid w:val="00DC738E"/>
    <w:rsid w:val="00DC753D"/>
    <w:rsid w:val="00DC7ADA"/>
    <w:rsid w:val="00DD0487"/>
    <w:rsid w:val="00DD1167"/>
    <w:rsid w:val="00DD1523"/>
    <w:rsid w:val="00DD1991"/>
    <w:rsid w:val="00DD1DE6"/>
    <w:rsid w:val="00DD1FF9"/>
    <w:rsid w:val="00DD21CC"/>
    <w:rsid w:val="00DD27EF"/>
    <w:rsid w:val="00DD2A36"/>
    <w:rsid w:val="00DD2A41"/>
    <w:rsid w:val="00DD2C4D"/>
    <w:rsid w:val="00DD2CE1"/>
    <w:rsid w:val="00DD33F3"/>
    <w:rsid w:val="00DD390A"/>
    <w:rsid w:val="00DD3A21"/>
    <w:rsid w:val="00DD3B77"/>
    <w:rsid w:val="00DD3E2B"/>
    <w:rsid w:val="00DD3FCB"/>
    <w:rsid w:val="00DD408C"/>
    <w:rsid w:val="00DD4361"/>
    <w:rsid w:val="00DD4718"/>
    <w:rsid w:val="00DD4805"/>
    <w:rsid w:val="00DD4A00"/>
    <w:rsid w:val="00DD4AC8"/>
    <w:rsid w:val="00DD4C36"/>
    <w:rsid w:val="00DD4DFD"/>
    <w:rsid w:val="00DD5041"/>
    <w:rsid w:val="00DD5367"/>
    <w:rsid w:val="00DD56CF"/>
    <w:rsid w:val="00DD58BE"/>
    <w:rsid w:val="00DD5FBE"/>
    <w:rsid w:val="00DD5FC2"/>
    <w:rsid w:val="00DD6023"/>
    <w:rsid w:val="00DD66AE"/>
    <w:rsid w:val="00DD670E"/>
    <w:rsid w:val="00DD6BA4"/>
    <w:rsid w:val="00DD6CE0"/>
    <w:rsid w:val="00DD6DD4"/>
    <w:rsid w:val="00DD72A8"/>
    <w:rsid w:val="00DD72EF"/>
    <w:rsid w:val="00DD75AD"/>
    <w:rsid w:val="00DD7EB0"/>
    <w:rsid w:val="00DD7FB4"/>
    <w:rsid w:val="00DE048C"/>
    <w:rsid w:val="00DE07D4"/>
    <w:rsid w:val="00DE07ED"/>
    <w:rsid w:val="00DE083B"/>
    <w:rsid w:val="00DE0862"/>
    <w:rsid w:val="00DE08D9"/>
    <w:rsid w:val="00DE0C79"/>
    <w:rsid w:val="00DE0F7E"/>
    <w:rsid w:val="00DE1899"/>
    <w:rsid w:val="00DE1C07"/>
    <w:rsid w:val="00DE1D84"/>
    <w:rsid w:val="00DE1E47"/>
    <w:rsid w:val="00DE1EAC"/>
    <w:rsid w:val="00DE24FB"/>
    <w:rsid w:val="00DE2514"/>
    <w:rsid w:val="00DE2BF3"/>
    <w:rsid w:val="00DE2F40"/>
    <w:rsid w:val="00DE304A"/>
    <w:rsid w:val="00DE32FF"/>
    <w:rsid w:val="00DE33C6"/>
    <w:rsid w:val="00DE3529"/>
    <w:rsid w:val="00DE38A6"/>
    <w:rsid w:val="00DE3922"/>
    <w:rsid w:val="00DE3BFE"/>
    <w:rsid w:val="00DE41B9"/>
    <w:rsid w:val="00DE4275"/>
    <w:rsid w:val="00DE47CC"/>
    <w:rsid w:val="00DE47D6"/>
    <w:rsid w:val="00DE496B"/>
    <w:rsid w:val="00DE49AD"/>
    <w:rsid w:val="00DE4AA5"/>
    <w:rsid w:val="00DE53B0"/>
    <w:rsid w:val="00DE59D3"/>
    <w:rsid w:val="00DE5A7E"/>
    <w:rsid w:val="00DE5AFC"/>
    <w:rsid w:val="00DE5FDF"/>
    <w:rsid w:val="00DE6085"/>
    <w:rsid w:val="00DE6404"/>
    <w:rsid w:val="00DE6604"/>
    <w:rsid w:val="00DE6B55"/>
    <w:rsid w:val="00DE701D"/>
    <w:rsid w:val="00DE7436"/>
    <w:rsid w:val="00DE76B6"/>
    <w:rsid w:val="00DE78D5"/>
    <w:rsid w:val="00DE7981"/>
    <w:rsid w:val="00DE7CD0"/>
    <w:rsid w:val="00DF0116"/>
    <w:rsid w:val="00DF01F9"/>
    <w:rsid w:val="00DF02DF"/>
    <w:rsid w:val="00DF0590"/>
    <w:rsid w:val="00DF0934"/>
    <w:rsid w:val="00DF0AE0"/>
    <w:rsid w:val="00DF0D9A"/>
    <w:rsid w:val="00DF11E9"/>
    <w:rsid w:val="00DF1502"/>
    <w:rsid w:val="00DF15D2"/>
    <w:rsid w:val="00DF18CC"/>
    <w:rsid w:val="00DF19F0"/>
    <w:rsid w:val="00DF1A5B"/>
    <w:rsid w:val="00DF1ED8"/>
    <w:rsid w:val="00DF2079"/>
    <w:rsid w:val="00DF2130"/>
    <w:rsid w:val="00DF22D1"/>
    <w:rsid w:val="00DF2B50"/>
    <w:rsid w:val="00DF2C61"/>
    <w:rsid w:val="00DF2D34"/>
    <w:rsid w:val="00DF2DA9"/>
    <w:rsid w:val="00DF3063"/>
    <w:rsid w:val="00DF351C"/>
    <w:rsid w:val="00DF363F"/>
    <w:rsid w:val="00DF36AD"/>
    <w:rsid w:val="00DF36B1"/>
    <w:rsid w:val="00DF3F6E"/>
    <w:rsid w:val="00DF402B"/>
    <w:rsid w:val="00DF4400"/>
    <w:rsid w:val="00DF4A51"/>
    <w:rsid w:val="00DF4AD2"/>
    <w:rsid w:val="00DF4CF2"/>
    <w:rsid w:val="00DF54CD"/>
    <w:rsid w:val="00DF555B"/>
    <w:rsid w:val="00DF55C6"/>
    <w:rsid w:val="00DF571A"/>
    <w:rsid w:val="00DF57FD"/>
    <w:rsid w:val="00DF5889"/>
    <w:rsid w:val="00DF59C3"/>
    <w:rsid w:val="00DF5C93"/>
    <w:rsid w:val="00DF5FFC"/>
    <w:rsid w:val="00DF6684"/>
    <w:rsid w:val="00DF66D5"/>
    <w:rsid w:val="00DF6790"/>
    <w:rsid w:val="00DF68F8"/>
    <w:rsid w:val="00DF6F32"/>
    <w:rsid w:val="00DF72E6"/>
    <w:rsid w:val="00DF74F7"/>
    <w:rsid w:val="00DF7A8F"/>
    <w:rsid w:val="00DF7B31"/>
    <w:rsid w:val="00DF7F10"/>
    <w:rsid w:val="00DF7FB1"/>
    <w:rsid w:val="00DF7FF2"/>
    <w:rsid w:val="00E0021C"/>
    <w:rsid w:val="00E00248"/>
    <w:rsid w:val="00E002AB"/>
    <w:rsid w:val="00E00722"/>
    <w:rsid w:val="00E008B7"/>
    <w:rsid w:val="00E00949"/>
    <w:rsid w:val="00E00982"/>
    <w:rsid w:val="00E00A4E"/>
    <w:rsid w:val="00E00B48"/>
    <w:rsid w:val="00E00DCC"/>
    <w:rsid w:val="00E01385"/>
    <w:rsid w:val="00E01502"/>
    <w:rsid w:val="00E016A6"/>
    <w:rsid w:val="00E017B5"/>
    <w:rsid w:val="00E01822"/>
    <w:rsid w:val="00E01954"/>
    <w:rsid w:val="00E0197C"/>
    <w:rsid w:val="00E01A44"/>
    <w:rsid w:val="00E01BE8"/>
    <w:rsid w:val="00E01D58"/>
    <w:rsid w:val="00E029BA"/>
    <w:rsid w:val="00E02DD7"/>
    <w:rsid w:val="00E02EC6"/>
    <w:rsid w:val="00E02FBF"/>
    <w:rsid w:val="00E03048"/>
    <w:rsid w:val="00E03752"/>
    <w:rsid w:val="00E03A5D"/>
    <w:rsid w:val="00E03AF4"/>
    <w:rsid w:val="00E03B83"/>
    <w:rsid w:val="00E03B9B"/>
    <w:rsid w:val="00E03D8E"/>
    <w:rsid w:val="00E03F97"/>
    <w:rsid w:val="00E040BF"/>
    <w:rsid w:val="00E042BD"/>
    <w:rsid w:val="00E044E6"/>
    <w:rsid w:val="00E0474A"/>
    <w:rsid w:val="00E04B0B"/>
    <w:rsid w:val="00E04F26"/>
    <w:rsid w:val="00E050B9"/>
    <w:rsid w:val="00E05222"/>
    <w:rsid w:val="00E05286"/>
    <w:rsid w:val="00E05828"/>
    <w:rsid w:val="00E0584C"/>
    <w:rsid w:val="00E05BD5"/>
    <w:rsid w:val="00E05DF0"/>
    <w:rsid w:val="00E06476"/>
    <w:rsid w:val="00E064B2"/>
    <w:rsid w:val="00E065F0"/>
    <w:rsid w:val="00E06642"/>
    <w:rsid w:val="00E06A2F"/>
    <w:rsid w:val="00E07041"/>
    <w:rsid w:val="00E07689"/>
    <w:rsid w:val="00E07B7C"/>
    <w:rsid w:val="00E07BFF"/>
    <w:rsid w:val="00E07D38"/>
    <w:rsid w:val="00E07E74"/>
    <w:rsid w:val="00E1082F"/>
    <w:rsid w:val="00E1091A"/>
    <w:rsid w:val="00E109C5"/>
    <w:rsid w:val="00E10A23"/>
    <w:rsid w:val="00E10BC3"/>
    <w:rsid w:val="00E10E16"/>
    <w:rsid w:val="00E10EC4"/>
    <w:rsid w:val="00E10F5F"/>
    <w:rsid w:val="00E10FAF"/>
    <w:rsid w:val="00E1138D"/>
    <w:rsid w:val="00E1154B"/>
    <w:rsid w:val="00E1156B"/>
    <w:rsid w:val="00E11623"/>
    <w:rsid w:val="00E11656"/>
    <w:rsid w:val="00E1166B"/>
    <w:rsid w:val="00E11730"/>
    <w:rsid w:val="00E117E3"/>
    <w:rsid w:val="00E11CFA"/>
    <w:rsid w:val="00E12007"/>
    <w:rsid w:val="00E12228"/>
    <w:rsid w:val="00E1262C"/>
    <w:rsid w:val="00E1295B"/>
    <w:rsid w:val="00E12991"/>
    <w:rsid w:val="00E12A3C"/>
    <w:rsid w:val="00E12CDA"/>
    <w:rsid w:val="00E12E47"/>
    <w:rsid w:val="00E13370"/>
    <w:rsid w:val="00E137EE"/>
    <w:rsid w:val="00E13D51"/>
    <w:rsid w:val="00E13DAC"/>
    <w:rsid w:val="00E140AD"/>
    <w:rsid w:val="00E14204"/>
    <w:rsid w:val="00E14462"/>
    <w:rsid w:val="00E149EF"/>
    <w:rsid w:val="00E15518"/>
    <w:rsid w:val="00E1560C"/>
    <w:rsid w:val="00E15775"/>
    <w:rsid w:val="00E159F2"/>
    <w:rsid w:val="00E15A08"/>
    <w:rsid w:val="00E15AD6"/>
    <w:rsid w:val="00E15BA5"/>
    <w:rsid w:val="00E15BE3"/>
    <w:rsid w:val="00E15E91"/>
    <w:rsid w:val="00E164FD"/>
    <w:rsid w:val="00E16581"/>
    <w:rsid w:val="00E16697"/>
    <w:rsid w:val="00E168E3"/>
    <w:rsid w:val="00E16B90"/>
    <w:rsid w:val="00E16EFC"/>
    <w:rsid w:val="00E176D0"/>
    <w:rsid w:val="00E17749"/>
    <w:rsid w:val="00E179D2"/>
    <w:rsid w:val="00E17AD5"/>
    <w:rsid w:val="00E17C73"/>
    <w:rsid w:val="00E17E5C"/>
    <w:rsid w:val="00E17F8E"/>
    <w:rsid w:val="00E17FCC"/>
    <w:rsid w:val="00E20167"/>
    <w:rsid w:val="00E2036B"/>
    <w:rsid w:val="00E203DD"/>
    <w:rsid w:val="00E20572"/>
    <w:rsid w:val="00E21029"/>
    <w:rsid w:val="00E21637"/>
    <w:rsid w:val="00E218A2"/>
    <w:rsid w:val="00E21961"/>
    <w:rsid w:val="00E21A21"/>
    <w:rsid w:val="00E21A8E"/>
    <w:rsid w:val="00E21AAC"/>
    <w:rsid w:val="00E21BE2"/>
    <w:rsid w:val="00E21F87"/>
    <w:rsid w:val="00E22008"/>
    <w:rsid w:val="00E225AB"/>
    <w:rsid w:val="00E2262D"/>
    <w:rsid w:val="00E226A3"/>
    <w:rsid w:val="00E22A1A"/>
    <w:rsid w:val="00E22EBF"/>
    <w:rsid w:val="00E22F42"/>
    <w:rsid w:val="00E22F5F"/>
    <w:rsid w:val="00E22F96"/>
    <w:rsid w:val="00E23159"/>
    <w:rsid w:val="00E233AB"/>
    <w:rsid w:val="00E23F23"/>
    <w:rsid w:val="00E24812"/>
    <w:rsid w:val="00E24CC7"/>
    <w:rsid w:val="00E24FE7"/>
    <w:rsid w:val="00E253D1"/>
    <w:rsid w:val="00E25891"/>
    <w:rsid w:val="00E25B34"/>
    <w:rsid w:val="00E25BD1"/>
    <w:rsid w:val="00E25CD4"/>
    <w:rsid w:val="00E25DDC"/>
    <w:rsid w:val="00E264EC"/>
    <w:rsid w:val="00E2650C"/>
    <w:rsid w:val="00E266CF"/>
    <w:rsid w:val="00E269E7"/>
    <w:rsid w:val="00E26C98"/>
    <w:rsid w:val="00E27036"/>
    <w:rsid w:val="00E27055"/>
    <w:rsid w:val="00E27080"/>
    <w:rsid w:val="00E279E8"/>
    <w:rsid w:val="00E27AB9"/>
    <w:rsid w:val="00E27DC0"/>
    <w:rsid w:val="00E3000D"/>
    <w:rsid w:val="00E302EF"/>
    <w:rsid w:val="00E3050F"/>
    <w:rsid w:val="00E306DE"/>
    <w:rsid w:val="00E31362"/>
    <w:rsid w:val="00E3155B"/>
    <w:rsid w:val="00E315C0"/>
    <w:rsid w:val="00E315CA"/>
    <w:rsid w:val="00E31843"/>
    <w:rsid w:val="00E31A59"/>
    <w:rsid w:val="00E31B05"/>
    <w:rsid w:val="00E31BE5"/>
    <w:rsid w:val="00E31E32"/>
    <w:rsid w:val="00E31EE2"/>
    <w:rsid w:val="00E31EE6"/>
    <w:rsid w:val="00E322FA"/>
    <w:rsid w:val="00E323FF"/>
    <w:rsid w:val="00E3251B"/>
    <w:rsid w:val="00E32966"/>
    <w:rsid w:val="00E3299F"/>
    <w:rsid w:val="00E32CF1"/>
    <w:rsid w:val="00E32E8C"/>
    <w:rsid w:val="00E33228"/>
    <w:rsid w:val="00E334A3"/>
    <w:rsid w:val="00E33D10"/>
    <w:rsid w:val="00E33EDE"/>
    <w:rsid w:val="00E33F8B"/>
    <w:rsid w:val="00E34147"/>
    <w:rsid w:val="00E343DE"/>
    <w:rsid w:val="00E34F82"/>
    <w:rsid w:val="00E351F4"/>
    <w:rsid w:val="00E35602"/>
    <w:rsid w:val="00E35632"/>
    <w:rsid w:val="00E35634"/>
    <w:rsid w:val="00E35945"/>
    <w:rsid w:val="00E35A16"/>
    <w:rsid w:val="00E35B68"/>
    <w:rsid w:val="00E35E8D"/>
    <w:rsid w:val="00E361BB"/>
    <w:rsid w:val="00E363B3"/>
    <w:rsid w:val="00E36867"/>
    <w:rsid w:val="00E36930"/>
    <w:rsid w:val="00E36C81"/>
    <w:rsid w:val="00E371E8"/>
    <w:rsid w:val="00E37274"/>
    <w:rsid w:val="00E374EF"/>
    <w:rsid w:val="00E37C19"/>
    <w:rsid w:val="00E37CE0"/>
    <w:rsid w:val="00E37F65"/>
    <w:rsid w:val="00E4032A"/>
    <w:rsid w:val="00E40395"/>
    <w:rsid w:val="00E40740"/>
    <w:rsid w:val="00E40932"/>
    <w:rsid w:val="00E40CED"/>
    <w:rsid w:val="00E40D58"/>
    <w:rsid w:val="00E40F26"/>
    <w:rsid w:val="00E41063"/>
    <w:rsid w:val="00E41116"/>
    <w:rsid w:val="00E41152"/>
    <w:rsid w:val="00E4136E"/>
    <w:rsid w:val="00E418CD"/>
    <w:rsid w:val="00E41955"/>
    <w:rsid w:val="00E419FB"/>
    <w:rsid w:val="00E41CB9"/>
    <w:rsid w:val="00E41D12"/>
    <w:rsid w:val="00E41D57"/>
    <w:rsid w:val="00E41D98"/>
    <w:rsid w:val="00E41FB4"/>
    <w:rsid w:val="00E429D5"/>
    <w:rsid w:val="00E42B79"/>
    <w:rsid w:val="00E4310B"/>
    <w:rsid w:val="00E43141"/>
    <w:rsid w:val="00E4316F"/>
    <w:rsid w:val="00E43292"/>
    <w:rsid w:val="00E4332C"/>
    <w:rsid w:val="00E43A17"/>
    <w:rsid w:val="00E43D0F"/>
    <w:rsid w:val="00E43EDB"/>
    <w:rsid w:val="00E44075"/>
    <w:rsid w:val="00E44156"/>
    <w:rsid w:val="00E44259"/>
    <w:rsid w:val="00E44266"/>
    <w:rsid w:val="00E44F37"/>
    <w:rsid w:val="00E44FB9"/>
    <w:rsid w:val="00E450A0"/>
    <w:rsid w:val="00E451E0"/>
    <w:rsid w:val="00E4558D"/>
    <w:rsid w:val="00E45603"/>
    <w:rsid w:val="00E45707"/>
    <w:rsid w:val="00E45902"/>
    <w:rsid w:val="00E45C2F"/>
    <w:rsid w:val="00E45E85"/>
    <w:rsid w:val="00E45F62"/>
    <w:rsid w:val="00E46507"/>
    <w:rsid w:val="00E4672E"/>
    <w:rsid w:val="00E46825"/>
    <w:rsid w:val="00E4685F"/>
    <w:rsid w:val="00E47437"/>
    <w:rsid w:val="00E47FA2"/>
    <w:rsid w:val="00E50440"/>
    <w:rsid w:val="00E504AE"/>
    <w:rsid w:val="00E504F3"/>
    <w:rsid w:val="00E50546"/>
    <w:rsid w:val="00E50781"/>
    <w:rsid w:val="00E50786"/>
    <w:rsid w:val="00E5079E"/>
    <w:rsid w:val="00E5097A"/>
    <w:rsid w:val="00E50B1F"/>
    <w:rsid w:val="00E50B24"/>
    <w:rsid w:val="00E50CC1"/>
    <w:rsid w:val="00E50E63"/>
    <w:rsid w:val="00E50FDE"/>
    <w:rsid w:val="00E51140"/>
    <w:rsid w:val="00E511A2"/>
    <w:rsid w:val="00E512C8"/>
    <w:rsid w:val="00E514BF"/>
    <w:rsid w:val="00E5155F"/>
    <w:rsid w:val="00E51860"/>
    <w:rsid w:val="00E51933"/>
    <w:rsid w:val="00E519D5"/>
    <w:rsid w:val="00E51B76"/>
    <w:rsid w:val="00E51C67"/>
    <w:rsid w:val="00E5206B"/>
    <w:rsid w:val="00E52147"/>
    <w:rsid w:val="00E52586"/>
    <w:rsid w:val="00E52AEA"/>
    <w:rsid w:val="00E52C33"/>
    <w:rsid w:val="00E52C45"/>
    <w:rsid w:val="00E53164"/>
    <w:rsid w:val="00E5362B"/>
    <w:rsid w:val="00E536CB"/>
    <w:rsid w:val="00E53B0E"/>
    <w:rsid w:val="00E53E7D"/>
    <w:rsid w:val="00E53FCC"/>
    <w:rsid w:val="00E5403C"/>
    <w:rsid w:val="00E5414C"/>
    <w:rsid w:val="00E541FE"/>
    <w:rsid w:val="00E55202"/>
    <w:rsid w:val="00E552E5"/>
    <w:rsid w:val="00E554ED"/>
    <w:rsid w:val="00E555CB"/>
    <w:rsid w:val="00E55C81"/>
    <w:rsid w:val="00E55CBE"/>
    <w:rsid w:val="00E55F46"/>
    <w:rsid w:val="00E564A2"/>
    <w:rsid w:val="00E56508"/>
    <w:rsid w:val="00E567B8"/>
    <w:rsid w:val="00E56A13"/>
    <w:rsid w:val="00E56B7E"/>
    <w:rsid w:val="00E56C28"/>
    <w:rsid w:val="00E56D86"/>
    <w:rsid w:val="00E56EE0"/>
    <w:rsid w:val="00E573B7"/>
    <w:rsid w:val="00E575D9"/>
    <w:rsid w:val="00E577BB"/>
    <w:rsid w:val="00E57924"/>
    <w:rsid w:val="00E57A25"/>
    <w:rsid w:val="00E57DF4"/>
    <w:rsid w:val="00E57FB8"/>
    <w:rsid w:val="00E60215"/>
    <w:rsid w:val="00E60324"/>
    <w:rsid w:val="00E60417"/>
    <w:rsid w:val="00E6049E"/>
    <w:rsid w:val="00E6053C"/>
    <w:rsid w:val="00E605DC"/>
    <w:rsid w:val="00E60DB8"/>
    <w:rsid w:val="00E60E68"/>
    <w:rsid w:val="00E610A9"/>
    <w:rsid w:val="00E613AF"/>
    <w:rsid w:val="00E61504"/>
    <w:rsid w:val="00E6157B"/>
    <w:rsid w:val="00E61798"/>
    <w:rsid w:val="00E617A2"/>
    <w:rsid w:val="00E61AC6"/>
    <w:rsid w:val="00E61B81"/>
    <w:rsid w:val="00E620FD"/>
    <w:rsid w:val="00E622B4"/>
    <w:rsid w:val="00E62E96"/>
    <w:rsid w:val="00E62EB5"/>
    <w:rsid w:val="00E6321D"/>
    <w:rsid w:val="00E63222"/>
    <w:rsid w:val="00E634D6"/>
    <w:rsid w:val="00E63503"/>
    <w:rsid w:val="00E63892"/>
    <w:rsid w:val="00E63B67"/>
    <w:rsid w:val="00E6444F"/>
    <w:rsid w:val="00E645D3"/>
    <w:rsid w:val="00E64921"/>
    <w:rsid w:val="00E64927"/>
    <w:rsid w:val="00E64C35"/>
    <w:rsid w:val="00E64FCE"/>
    <w:rsid w:val="00E64FDF"/>
    <w:rsid w:val="00E651D8"/>
    <w:rsid w:val="00E651E7"/>
    <w:rsid w:val="00E653CA"/>
    <w:rsid w:val="00E657CA"/>
    <w:rsid w:val="00E65831"/>
    <w:rsid w:val="00E658E1"/>
    <w:rsid w:val="00E65946"/>
    <w:rsid w:val="00E65B14"/>
    <w:rsid w:val="00E65F1E"/>
    <w:rsid w:val="00E66335"/>
    <w:rsid w:val="00E6644B"/>
    <w:rsid w:val="00E66586"/>
    <w:rsid w:val="00E66BB9"/>
    <w:rsid w:val="00E66BF7"/>
    <w:rsid w:val="00E673DF"/>
    <w:rsid w:val="00E675BF"/>
    <w:rsid w:val="00E678B5"/>
    <w:rsid w:val="00E679EE"/>
    <w:rsid w:val="00E705D3"/>
    <w:rsid w:val="00E709E4"/>
    <w:rsid w:val="00E70CF7"/>
    <w:rsid w:val="00E70D8D"/>
    <w:rsid w:val="00E71119"/>
    <w:rsid w:val="00E71410"/>
    <w:rsid w:val="00E71538"/>
    <w:rsid w:val="00E716F3"/>
    <w:rsid w:val="00E71882"/>
    <w:rsid w:val="00E718CB"/>
    <w:rsid w:val="00E71AAF"/>
    <w:rsid w:val="00E71C35"/>
    <w:rsid w:val="00E72288"/>
    <w:rsid w:val="00E72681"/>
    <w:rsid w:val="00E72DED"/>
    <w:rsid w:val="00E72EAF"/>
    <w:rsid w:val="00E73127"/>
    <w:rsid w:val="00E73405"/>
    <w:rsid w:val="00E739D8"/>
    <w:rsid w:val="00E73DF3"/>
    <w:rsid w:val="00E741C3"/>
    <w:rsid w:val="00E74311"/>
    <w:rsid w:val="00E745D8"/>
    <w:rsid w:val="00E74906"/>
    <w:rsid w:val="00E74B76"/>
    <w:rsid w:val="00E74EC4"/>
    <w:rsid w:val="00E75339"/>
    <w:rsid w:val="00E753BD"/>
    <w:rsid w:val="00E759BE"/>
    <w:rsid w:val="00E759C6"/>
    <w:rsid w:val="00E75AAA"/>
    <w:rsid w:val="00E76289"/>
    <w:rsid w:val="00E76471"/>
    <w:rsid w:val="00E766C0"/>
    <w:rsid w:val="00E7671F"/>
    <w:rsid w:val="00E767D2"/>
    <w:rsid w:val="00E768F1"/>
    <w:rsid w:val="00E76A76"/>
    <w:rsid w:val="00E77013"/>
    <w:rsid w:val="00E7726B"/>
    <w:rsid w:val="00E773A0"/>
    <w:rsid w:val="00E778B8"/>
    <w:rsid w:val="00E778E7"/>
    <w:rsid w:val="00E77971"/>
    <w:rsid w:val="00E77A7C"/>
    <w:rsid w:val="00E77CA7"/>
    <w:rsid w:val="00E77DC1"/>
    <w:rsid w:val="00E77F18"/>
    <w:rsid w:val="00E77F52"/>
    <w:rsid w:val="00E80416"/>
    <w:rsid w:val="00E80987"/>
    <w:rsid w:val="00E80A2B"/>
    <w:rsid w:val="00E80B90"/>
    <w:rsid w:val="00E80EB0"/>
    <w:rsid w:val="00E81084"/>
    <w:rsid w:val="00E81202"/>
    <w:rsid w:val="00E81789"/>
    <w:rsid w:val="00E81894"/>
    <w:rsid w:val="00E81926"/>
    <w:rsid w:val="00E8194A"/>
    <w:rsid w:val="00E81C08"/>
    <w:rsid w:val="00E82718"/>
    <w:rsid w:val="00E8337B"/>
    <w:rsid w:val="00E835EA"/>
    <w:rsid w:val="00E839E3"/>
    <w:rsid w:val="00E84160"/>
    <w:rsid w:val="00E842DB"/>
    <w:rsid w:val="00E8442E"/>
    <w:rsid w:val="00E84536"/>
    <w:rsid w:val="00E845FF"/>
    <w:rsid w:val="00E848F7"/>
    <w:rsid w:val="00E84B90"/>
    <w:rsid w:val="00E84C14"/>
    <w:rsid w:val="00E851D3"/>
    <w:rsid w:val="00E85291"/>
    <w:rsid w:val="00E85518"/>
    <w:rsid w:val="00E85847"/>
    <w:rsid w:val="00E85B57"/>
    <w:rsid w:val="00E85C63"/>
    <w:rsid w:val="00E85D41"/>
    <w:rsid w:val="00E860BF"/>
    <w:rsid w:val="00E86166"/>
    <w:rsid w:val="00E86317"/>
    <w:rsid w:val="00E863D1"/>
    <w:rsid w:val="00E86404"/>
    <w:rsid w:val="00E865B9"/>
    <w:rsid w:val="00E8663B"/>
    <w:rsid w:val="00E867EF"/>
    <w:rsid w:val="00E86D74"/>
    <w:rsid w:val="00E87000"/>
    <w:rsid w:val="00E8725A"/>
    <w:rsid w:val="00E87304"/>
    <w:rsid w:val="00E87531"/>
    <w:rsid w:val="00E87BDF"/>
    <w:rsid w:val="00E87C2E"/>
    <w:rsid w:val="00E87DCD"/>
    <w:rsid w:val="00E87E3D"/>
    <w:rsid w:val="00E87E71"/>
    <w:rsid w:val="00E87F57"/>
    <w:rsid w:val="00E87F78"/>
    <w:rsid w:val="00E9035F"/>
    <w:rsid w:val="00E90942"/>
    <w:rsid w:val="00E90A1D"/>
    <w:rsid w:val="00E90DED"/>
    <w:rsid w:val="00E90E6F"/>
    <w:rsid w:val="00E91B15"/>
    <w:rsid w:val="00E91D23"/>
    <w:rsid w:val="00E91D37"/>
    <w:rsid w:val="00E91DDD"/>
    <w:rsid w:val="00E91F02"/>
    <w:rsid w:val="00E9227F"/>
    <w:rsid w:val="00E923CE"/>
    <w:rsid w:val="00E9273F"/>
    <w:rsid w:val="00E9278D"/>
    <w:rsid w:val="00E92F1A"/>
    <w:rsid w:val="00E93285"/>
    <w:rsid w:val="00E932C8"/>
    <w:rsid w:val="00E936B4"/>
    <w:rsid w:val="00E93D42"/>
    <w:rsid w:val="00E93DF0"/>
    <w:rsid w:val="00E943E0"/>
    <w:rsid w:val="00E948C8"/>
    <w:rsid w:val="00E94E1D"/>
    <w:rsid w:val="00E94EB5"/>
    <w:rsid w:val="00E94F63"/>
    <w:rsid w:val="00E94FB6"/>
    <w:rsid w:val="00E9508E"/>
    <w:rsid w:val="00E9544A"/>
    <w:rsid w:val="00E955F5"/>
    <w:rsid w:val="00E95B8D"/>
    <w:rsid w:val="00E95D49"/>
    <w:rsid w:val="00E95F4A"/>
    <w:rsid w:val="00E96067"/>
    <w:rsid w:val="00E968E0"/>
    <w:rsid w:val="00E96C51"/>
    <w:rsid w:val="00E96DBC"/>
    <w:rsid w:val="00E97114"/>
    <w:rsid w:val="00E974C9"/>
    <w:rsid w:val="00E9754D"/>
    <w:rsid w:val="00E97AD6"/>
    <w:rsid w:val="00E97B4D"/>
    <w:rsid w:val="00EA0143"/>
    <w:rsid w:val="00EA0482"/>
    <w:rsid w:val="00EA057A"/>
    <w:rsid w:val="00EA0A6D"/>
    <w:rsid w:val="00EA0B1B"/>
    <w:rsid w:val="00EA13DA"/>
    <w:rsid w:val="00EA18DD"/>
    <w:rsid w:val="00EA19DF"/>
    <w:rsid w:val="00EA1B8E"/>
    <w:rsid w:val="00EA1DAD"/>
    <w:rsid w:val="00EA27A6"/>
    <w:rsid w:val="00EA2891"/>
    <w:rsid w:val="00EA2BE6"/>
    <w:rsid w:val="00EA2D74"/>
    <w:rsid w:val="00EA2E27"/>
    <w:rsid w:val="00EA2E96"/>
    <w:rsid w:val="00EA2F2B"/>
    <w:rsid w:val="00EA3478"/>
    <w:rsid w:val="00EA35A6"/>
    <w:rsid w:val="00EA3745"/>
    <w:rsid w:val="00EA3894"/>
    <w:rsid w:val="00EA3AD8"/>
    <w:rsid w:val="00EA3CE2"/>
    <w:rsid w:val="00EA3F1B"/>
    <w:rsid w:val="00EA45A4"/>
    <w:rsid w:val="00EA466B"/>
    <w:rsid w:val="00EA46E9"/>
    <w:rsid w:val="00EA4A52"/>
    <w:rsid w:val="00EA4D79"/>
    <w:rsid w:val="00EA4DA2"/>
    <w:rsid w:val="00EA4F09"/>
    <w:rsid w:val="00EA511E"/>
    <w:rsid w:val="00EA5195"/>
    <w:rsid w:val="00EA51D5"/>
    <w:rsid w:val="00EA5834"/>
    <w:rsid w:val="00EA58E4"/>
    <w:rsid w:val="00EA59E4"/>
    <w:rsid w:val="00EA5AFD"/>
    <w:rsid w:val="00EA5DFF"/>
    <w:rsid w:val="00EA5E97"/>
    <w:rsid w:val="00EA6078"/>
    <w:rsid w:val="00EA6169"/>
    <w:rsid w:val="00EA618A"/>
    <w:rsid w:val="00EA66A9"/>
    <w:rsid w:val="00EA6C03"/>
    <w:rsid w:val="00EA7BEB"/>
    <w:rsid w:val="00EA7D21"/>
    <w:rsid w:val="00EA7EA0"/>
    <w:rsid w:val="00EB0076"/>
    <w:rsid w:val="00EB012B"/>
    <w:rsid w:val="00EB03A3"/>
    <w:rsid w:val="00EB084E"/>
    <w:rsid w:val="00EB09BF"/>
    <w:rsid w:val="00EB0CA4"/>
    <w:rsid w:val="00EB0E8C"/>
    <w:rsid w:val="00EB1240"/>
    <w:rsid w:val="00EB16A9"/>
    <w:rsid w:val="00EB2340"/>
    <w:rsid w:val="00EB280B"/>
    <w:rsid w:val="00EB2A0C"/>
    <w:rsid w:val="00EB2AB4"/>
    <w:rsid w:val="00EB2AC2"/>
    <w:rsid w:val="00EB2D41"/>
    <w:rsid w:val="00EB2D68"/>
    <w:rsid w:val="00EB2D9D"/>
    <w:rsid w:val="00EB3446"/>
    <w:rsid w:val="00EB36DB"/>
    <w:rsid w:val="00EB39DA"/>
    <w:rsid w:val="00EB3A57"/>
    <w:rsid w:val="00EB3A63"/>
    <w:rsid w:val="00EB3DC5"/>
    <w:rsid w:val="00EB3E92"/>
    <w:rsid w:val="00EB3FD6"/>
    <w:rsid w:val="00EB428C"/>
    <w:rsid w:val="00EB475F"/>
    <w:rsid w:val="00EB4762"/>
    <w:rsid w:val="00EB4805"/>
    <w:rsid w:val="00EB4A36"/>
    <w:rsid w:val="00EB4EA1"/>
    <w:rsid w:val="00EB532D"/>
    <w:rsid w:val="00EB5453"/>
    <w:rsid w:val="00EB56F1"/>
    <w:rsid w:val="00EB5EF9"/>
    <w:rsid w:val="00EB6295"/>
    <w:rsid w:val="00EB631E"/>
    <w:rsid w:val="00EB6323"/>
    <w:rsid w:val="00EB6363"/>
    <w:rsid w:val="00EB78BA"/>
    <w:rsid w:val="00EB7B6A"/>
    <w:rsid w:val="00EC009D"/>
    <w:rsid w:val="00EC00EE"/>
    <w:rsid w:val="00EC06F4"/>
    <w:rsid w:val="00EC0767"/>
    <w:rsid w:val="00EC0A08"/>
    <w:rsid w:val="00EC0AA9"/>
    <w:rsid w:val="00EC1210"/>
    <w:rsid w:val="00EC1D2A"/>
    <w:rsid w:val="00EC1E5A"/>
    <w:rsid w:val="00EC1F7F"/>
    <w:rsid w:val="00EC264B"/>
    <w:rsid w:val="00EC2680"/>
    <w:rsid w:val="00EC2690"/>
    <w:rsid w:val="00EC28B6"/>
    <w:rsid w:val="00EC296A"/>
    <w:rsid w:val="00EC2CB0"/>
    <w:rsid w:val="00EC2DB3"/>
    <w:rsid w:val="00EC336F"/>
    <w:rsid w:val="00EC34A7"/>
    <w:rsid w:val="00EC35EA"/>
    <w:rsid w:val="00EC43A4"/>
    <w:rsid w:val="00EC446B"/>
    <w:rsid w:val="00EC46DB"/>
    <w:rsid w:val="00EC46EA"/>
    <w:rsid w:val="00EC4837"/>
    <w:rsid w:val="00EC4892"/>
    <w:rsid w:val="00EC48EE"/>
    <w:rsid w:val="00EC49FF"/>
    <w:rsid w:val="00EC4AC0"/>
    <w:rsid w:val="00EC4B64"/>
    <w:rsid w:val="00EC4DC0"/>
    <w:rsid w:val="00EC4EC0"/>
    <w:rsid w:val="00EC59C6"/>
    <w:rsid w:val="00EC59E8"/>
    <w:rsid w:val="00EC5B1E"/>
    <w:rsid w:val="00EC5BB9"/>
    <w:rsid w:val="00EC5BD9"/>
    <w:rsid w:val="00EC5CA9"/>
    <w:rsid w:val="00EC5F48"/>
    <w:rsid w:val="00EC610E"/>
    <w:rsid w:val="00EC679F"/>
    <w:rsid w:val="00EC688C"/>
    <w:rsid w:val="00EC6D6E"/>
    <w:rsid w:val="00EC7114"/>
    <w:rsid w:val="00EC737C"/>
    <w:rsid w:val="00EC774A"/>
    <w:rsid w:val="00EC7AA2"/>
    <w:rsid w:val="00EC7AB4"/>
    <w:rsid w:val="00EC7AFB"/>
    <w:rsid w:val="00EC7C03"/>
    <w:rsid w:val="00ED0065"/>
    <w:rsid w:val="00ED06DF"/>
    <w:rsid w:val="00ED08A2"/>
    <w:rsid w:val="00ED0C46"/>
    <w:rsid w:val="00ED1499"/>
    <w:rsid w:val="00ED1565"/>
    <w:rsid w:val="00ED1680"/>
    <w:rsid w:val="00ED1721"/>
    <w:rsid w:val="00ED18E0"/>
    <w:rsid w:val="00ED1DD6"/>
    <w:rsid w:val="00ED232C"/>
    <w:rsid w:val="00ED2757"/>
    <w:rsid w:val="00ED2DE5"/>
    <w:rsid w:val="00ED2DEC"/>
    <w:rsid w:val="00ED2E17"/>
    <w:rsid w:val="00ED2F92"/>
    <w:rsid w:val="00ED30FD"/>
    <w:rsid w:val="00ED326C"/>
    <w:rsid w:val="00ED3289"/>
    <w:rsid w:val="00ED36F1"/>
    <w:rsid w:val="00ED3739"/>
    <w:rsid w:val="00ED394D"/>
    <w:rsid w:val="00ED3E0F"/>
    <w:rsid w:val="00ED3E13"/>
    <w:rsid w:val="00ED3E4F"/>
    <w:rsid w:val="00ED4384"/>
    <w:rsid w:val="00ED4B28"/>
    <w:rsid w:val="00ED4B55"/>
    <w:rsid w:val="00ED4E75"/>
    <w:rsid w:val="00ED522B"/>
    <w:rsid w:val="00ED54F4"/>
    <w:rsid w:val="00ED56D2"/>
    <w:rsid w:val="00ED5882"/>
    <w:rsid w:val="00ED5BF1"/>
    <w:rsid w:val="00ED5D89"/>
    <w:rsid w:val="00ED5FFB"/>
    <w:rsid w:val="00ED6197"/>
    <w:rsid w:val="00ED656E"/>
    <w:rsid w:val="00ED686B"/>
    <w:rsid w:val="00ED6F0E"/>
    <w:rsid w:val="00ED7456"/>
    <w:rsid w:val="00ED7521"/>
    <w:rsid w:val="00ED7824"/>
    <w:rsid w:val="00ED7ED8"/>
    <w:rsid w:val="00ED7F26"/>
    <w:rsid w:val="00EE0441"/>
    <w:rsid w:val="00EE05E6"/>
    <w:rsid w:val="00EE0870"/>
    <w:rsid w:val="00EE0CB6"/>
    <w:rsid w:val="00EE0DD6"/>
    <w:rsid w:val="00EE0EAD"/>
    <w:rsid w:val="00EE10BD"/>
    <w:rsid w:val="00EE1A4A"/>
    <w:rsid w:val="00EE2141"/>
    <w:rsid w:val="00EE2870"/>
    <w:rsid w:val="00EE2A78"/>
    <w:rsid w:val="00EE2E72"/>
    <w:rsid w:val="00EE2F50"/>
    <w:rsid w:val="00EE30CD"/>
    <w:rsid w:val="00EE32C2"/>
    <w:rsid w:val="00EE360A"/>
    <w:rsid w:val="00EE374D"/>
    <w:rsid w:val="00EE3764"/>
    <w:rsid w:val="00EE388C"/>
    <w:rsid w:val="00EE3C59"/>
    <w:rsid w:val="00EE3E27"/>
    <w:rsid w:val="00EE4850"/>
    <w:rsid w:val="00EE492E"/>
    <w:rsid w:val="00EE4A9A"/>
    <w:rsid w:val="00EE51E3"/>
    <w:rsid w:val="00EE51EB"/>
    <w:rsid w:val="00EE5607"/>
    <w:rsid w:val="00EE581F"/>
    <w:rsid w:val="00EE5A68"/>
    <w:rsid w:val="00EE5CE8"/>
    <w:rsid w:val="00EE5FEC"/>
    <w:rsid w:val="00EE6022"/>
    <w:rsid w:val="00EE61CA"/>
    <w:rsid w:val="00EE6296"/>
    <w:rsid w:val="00EE67E4"/>
    <w:rsid w:val="00EE686C"/>
    <w:rsid w:val="00EE68D4"/>
    <w:rsid w:val="00EE69F0"/>
    <w:rsid w:val="00EE6B24"/>
    <w:rsid w:val="00EE6CCB"/>
    <w:rsid w:val="00EE6DF0"/>
    <w:rsid w:val="00EE6F55"/>
    <w:rsid w:val="00EE707B"/>
    <w:rsid w:val="00EE7120"/>
    <w:rsid w:val="00EE74EE"/>
    <w:rsid w:val="00EE7592"/>
    <w:rsid w:val="00EE75D3"/>
    <w:rsid w:val="00EE7605"/>
    <w:rsid w:val="00EE7728"/>
    <w:rsid w:val="00EE78D3"/>
    <w:rsid w:val="00EE7AE5"/>
    <w:rsid w:val="00EE7DBA"/>
    <w:rsid w:val="00EF040C"/>
    <w:rsid w:val="00EF059F"/>
    <w:rsid w:val="00EF065B"/>
    <w:rsid w:val="00EF07F6"/>
    <w:rsid w:val="00EF0854"/>
    <w:rsid w:val="00EF15F3"/>
    <w:rsid w:val="00EF1739"/>
    <w:rsid w:val="00EF1E42"/>
    <w:rsid w:val="00EF24C4"/>
    <w:rsid w:val="00EF298A"/>
    <w:rsid w:val="00EF2B9C"/>
    <w:rsid w:val="00EF2DC0"/>
    <w:rsid w:val="00EF3149"/>
    <w:rsid w:val="00EF3302"/>
    <w:rsid w:val="00EF350C"/>
    <w:rsid w:val="00EF395C"/>
    <w:rsid w:val="00EF3979"/>
    <w:rsid w:val="00EF39A2"/>
    <w:rsid w:val="00EF3E9F"/>
    <w:rsid w:val="00EF44FD"/>
    <w:rsid w:val="00EF4586"/>
    <w:rsid w:val="00EF48E9"/>
    <w:rsid w:val="00EF4975"/>
    <w:rsid w:val="00EF4995"/>
    <w:rsid w:val="00EF4C78"/>
    <w:rsid w:val="00EF513C"/>
    <w:rsid w:val="00EF51C2"/>
    <w:rsid w:val="00EF52E5"/>
    <w:rsid w:val="00EF5393"/>
    <w:rsid w:val="00EF53A9"/>
    <w:rsid w:val="00EF5465"/>
    <w:rsid w:val="00EF59B3"/>
    <w:rsid w:val="00EF5AD4"/>
    <w:rsid w:val="00EF5C95"/>
    <w:rsid w:val="00EF6238"/>
    <w:rsid w:val="00EF6BF9"/>
    <w:rsid w:val="00EF6C09"/>
    <w:rsid w:val="00EF6EEA"/>
    <w:rsid w:val="00EF7103"/>
    <w:rsid w:val="00EF7172"/>
    <w:rsid w:val="00EF7277"/>
    <w:rsid w:val="00EF74F5"/>
    <w:rsid w:val="00EF7621"/>
    <w:rsid w:val="00EF778C"/>
    <w:rsid w:val="00EF78BA"/>
    <w:rsid w:val="00EF799F"/>
    <w:rsid w:val="00EF7A83"/>
    <w:rsid w:val="00EF7E25"/>
    <w:rsid w:val="00F006DB"/>
    <w:rsid w:val="00F0079C"/>
    <w:rsid w:val="00F008CA"/>
    <w:rsid w:val="00F009AC"/>
    <w:rsid w:val="00F00B5F"/>
    <w:rsid w:val="00F00BD1"/>
    <w:rsid w:val="00F00FC4"/>
    <w:rsid w:val="00F016AD"/>
    <w:rsid w:val="00F0186C"/>
    <w:rsid w:val="00F01A36"/>
    <w:rsid w:val="00F01CBD"/>
    <w:rsid w:val="00F01FDC"/>
    <w:rsid w:val="00F02623"/>
    <w:rsid w:val="00F02669"/>
    <w:rsid w:val="00F02C94"/>
    <w:rsid w:val="00F0331E"/>
    <w:rsid w:val="00F0336B"/>
    <w:rsid w:val="00F039FB"/>
    <w:rsid w:val="00F041F6"/>
    <w:rsid w:val="00F04223"/>
    <w:rsid w:val="00F04A89"/>
    <w:rsid w:val="00F04AAC"/>
    <w:rsid w:val="00F04C01"/>
    <w:rsid w:val="00F04FB0"/>
    <w:rsid w:val="00F051D2"/>
    <w:rsid w:val="00F0520A"/>
    <w:rsid w:val="00F05532"/>
    <w:rsid w:val="00F05B7B"/>
    <w:rsid w:val="00F05FF8"/>
    <w:rsid w:val="00F064A5"/>
    <w:rsid w:val="00F0650C"/>
    <w:rsid w:val="00F067AF"/>
    <w:rsid w:val="00F06960"/>
    <w:rsid w:val="00F06AEF"/>
    <w:rsid w:val="00F06D2C"/>
    <w:rsid w:val="00F06F0A"/>
    <w:rsid w:val="00F07390"/>
    <w:rsid w:val="00F07391"/>
    <w:rsid w:val="00F074FD"/>
    <w:rsid w:val="00F0763F"/>
    <w:rsid w:val="00F079E3"/>
    <w:rsid w:val="00F07EFA"/>
    <w:rsid w:val="00F101D3"/>
    <w:rsid w:val="00F10322"/>
    <w:rsid w:val="00F103AC"/>
    <w:rsid w:val="00F1043C"/>
    <w:rsid w:val="00F1091E"/>
    <w:rsid w:val="00F10CCA"/>
    <w:rsid w:val="00F118F7"/>
    <w:rsid w:val="00F11A42"/>
    <w:rsid w:val="00F11A8C"/>
    <w:rsid w:val="00F11DD4"/>
    <w:rsid w:val="00F12119"/>
    <w:rsid w:val="00F123A9"/>
    <w:rsid w:val="00F12522"/>
    <w:rsid w:val="00F1266C"/>
    <w:rsid w:val="00F1281B"/>
    <w:rsid w:val="00F12A77"/>
    <w:rsid w:val="00F12B9E"/>
    <w:rsid w:val="00F12C6C"/>
    <w:rsid w:val="00F12DF8"/>
    <w:rsid w:val="00F12F5F"/>
    <w:rsid w:val="00F12F63"/>
    <w:rsid w:val="00F12F82"/>
    <w:rsid w:val="00F134FC"/>
    <w:rsid w:val="00F13719"/>
    <w:rsid w:val="00F13904"/>
    <w:rsid w:val="00F13D16"/>
    <w:rsid w:val="00F14283"/>
    <w:rsid w:val="00F14490"/>
    <w:rsid w:val="00F1452C"/>
    <w:rsid w:val="00F1473F"/>
    <w:rsid w:val="00F14811"/>
    <w:rsid w:val="00F14A29"/>
    <w:rsid w:val="00F14A46"/>
    <w:rsid w:val="00F14D02"/>
    <w:rsid w:val="00F14E7A"/>
    <w:rsid w:val="00F14F63"/>
    <w:rsid w:val="00F157A7"/>
    <w:rsid w:val="00F15829"/>
    <w:rsid w:val="00F158A3"/>
    <w:rsid w:val="00F15A06"/>
    <w:rsid w:val="00F15A2E"/>
    <w:rsid w:val="00F15CAD"/>
    <w:rsid w:val="00F15D28"/>
    <w:rsid w:val="00F1636D"/>
    <w:rsid w:val="00F16B33"/>
    <w:rsid w:val="00F16DB5"/>
    <w:rsid w:val="00F1703E"/>
    <w:rsid w:val="00F17115"/>
    <w:rsid w:val="00F17B7A"/>
    <w:rsid w:val="00F17BC4"/>
    <w:rsid w:val="00F17C9E"/>
    <w:rsid w:val="00F17CF1"/>
    <w:rsid w:val="00F200D8"/>
    <w:rsid w:val="00F20280"/>
    <w:rsid w:val="00F20439"/>
    <w:rsid w:val="00F20712"/>
    <w:rsid w:val="00F20D95"/>
    <w:rsid w:val="00F21589"/>
    <w:rsid w:val="00F2176A"/>
    <w:rsid w:val="00F218DE"/>
    <w:rsid w:val="00F21AD0"/>
    <w:rsid w:val="00F21C27"/>
    <w:rsid w:val="00F21D81"/>
    <w:rsid w:val="00F21DA3"/>
    <w:rsid w:val="00F224CB"/>
    <w:rsid w:val="00F225ED"/>
    <w:rsid w:val="00F22BAB"/>
    <w:rsid w:val="00F22D29"/>
    <w:rsid w:val="00F22E85"/>
    <w:rsid w:val="00F23297"/>
    <w:rsid w:val="00F233B0"/>
    <w:rsid w:val="00F234F9"/>
    <w:rsid w:val="00F23AC3"/>
    <w:rsid w:val="00F240BE"/>
    <w:rsid w:val="00F24190"/>
    <w:rsid w:val="00F24629"/>
    <w:rsid w:val="00F24FBC"/>
    <w:rsid w:val="00F25607"/>
    <w:rsid w:val="00F256DB"/>
    <w:rsid w:val="00F25ABA"/>
    <w:rsid w:val="00F25C03"/>
    <w:rsid w:val="00F25D7C"/>
    <w:rsid w:val="00F25FE3"/>
    <w:rsid w:val="00F2608A"/>
    <w:rsid w:val="00F260E1"/>
    <w:rsid w:val="00F264A8"/>
    <w:rsid w:val="00F26628"/>
    <w:rsid w:val="00F2688E"/>
    <w:rsid w:val="00F270CD"/>
    <w:rsid w:val="00F2730B"/>
    <w:rsid w:val="00F275C3"/>
    <w:rsid w:val="00F27626"/>
    <w:rsid w:val="00F277C0"/>
    <w:rsid w:val="00F3023C"/>
    <w:rsid w:val="00F30241"/>
    <w:rsid w:val="00F303BD"/>
    <w:rsid w:val="00F30681"/>
    <w:rsid w:val="00F30923"/>
    <w:rsid w:val="00F30C98"/>
    <w:rsid w:val="00F30CEB"/>
    <w:rsid w:val="00F30D4C"/>
    <w:rsid w:val="00F30EB8"/>
    <w:rsid w:val="00F3138B"/>
    <w:rsid w:val="00F31485"/>
    <w:rsid w:val="00F317CB"/>
    <w:rsid w:val="00F31825"/>
    <w:rsid w:val="00F31B31"/>
    <w:rsid w:val="00F31C82"/>
    <w:rsid w:val="00F32318"/>
    <w:rsid w:val="00F32938"/>
    <w:rsid w:val="00F32A86"/>
    <w:rsid w:val="00F32B86"/>
    <w:rsid w:val="00F32D8F"/>
    <w:rsid w:val="00F32DFD"/>
    <w:rsid w:val="00F32F64"/>
    <w:rsid w:val="00F3316B"/>
    <w:rsid w:val="00F338AC"/>
    <w:rsid w:val="00F33B76"/>
    <w:rsid w:val="00F33DBA"/>
    <w:rsid w:val="00F3480A"/>
    <w:rsid w:val="00F34F63"/>
    <w:rsid w:val="00F34F8F"/>
    <w:rsid w:val="00F35067"/>
    <w:rsid w:val="00F3509E"/>
    <w:rsid w:val="00F351E2"/>
    <w:rsid w:val="00F355B2"/>
    <w:rsid w:val="00F35875"/>
    <w:rsid w:val="00F35A4D"/>
    <w:rsid w:val="00F35C56"/>
    <w:rsid w:val="00F35D82"/>
    <w:rsid w:val="00F35E14"/>
    <w:rsid w:val="00F35E3C"/>
    <w:rsid w:val="00F35E8D"/>
    <w:rsid w:val="00F3604B"/>
    <w:rsid w:val="00F36BB7"/>
    <w:rsid w:val="00F37016"/>
    <w:rsid w:val="00F3704E"/>
    <w:rsid w:val="00F370D0"/>
    <w:rsid w:val="00F37362"/>
    <w:rsid w:val="00F376D6"/>
    <w:rsid w:val="00F37A02"/>
    <w:rsid w:val="00F37EBF"/>
    <w:rsid w:val="00F40033"/>
    <w:rsid w:val="00F40105"/>
    <w:rsid w:val="00F40297"/>
    <w:rsid w:val="00F4032D"/>
    <w:rsid w:val="00F403CE"/>
    <w:rsid w:val="00F40486"/>
    <w:rsid w:val="00F40626"/>
    <w:rsid w:val="00F40704"/>
    <w:rsid w:val="00F40A53"/>
    <w:rsid w:val="00F40BAD"/>
    <w:rsid w:val="00F40E47"/>
    <w:rsid w:val="00F40F02"/>
    <w:rsid w:val="00F41281"/>
    <w:rsid w:val="00F413F0"/>
    <w:rsid w:val="00F416F6"/>
    <w:rsid w:val="00F417FB"/>
    <w:rsid w:val="00F41F9F"/>
    <w:rsid w:val="00F42065"/>
    <w:rsid w:val="00F4215A"/>
    <w:rsid w:val="00F4221B"/>
    <w:rsid w:val="00F422BD"/>
    <w:rsid w:val="00F4245F"/>
    <w:rsid w:val="00F4251F"/>
    <w:rsid w:val="00F425C5"/>
    <w:rsid w:val="00F429C3"/>
    <w:rsid w:val="00F42B09"/>
    <w:rsid w:val="00F42BDA"/>
    <w:rsid w:val="00F42C43"/>
    <w:rsid w:val="00F4301D"/>
    <w:rsid w:val="00F43123"/>
    <w:rsid w:val="00F43497"/>
    <w:rsid w:val="00F4355E"/>
    <w:rsid w:val="00F438FD"/>
    <w:rsid w:val="00F43D87"/>
    <w:rsid w:val="00F43DC6"/>
    <w:rsid w:val="00F44035"/>
    <w:rsid w:val="00F4430F"/>
    <w:rsid w:val="00F443BF"/>
    <w:rsid w:val="00F44487"/>
    <w:rsid w:val="00F447E7"/>
    <w:rsid w:val="00F44ADF"/>
    <w:rsid w:val="00F44B3E"/>
    <w:rsid w:val="00F44F3D"/>
    <w:rsid w:val="00F44FB8"/>
    <w:rsid w:val="00F45320"/>
    <w:rsid w:val="00F45406"/>
    <w:rsid w:val="00F4555B"/>
    <w:rsid w:val="00F45744"/>
    <w:rsid w:val="00F457E4"/>
    <w:rsid w:val="00F45B6B"/>
    <w:rsid w:val="00F45F53"/>
    <w:rsid w:val="00F46254"/>
    <w:rsid w:val="00F46689"/>
    <w:rsid w:val="00F46A91"/>
    <w:rsid w:val="00F46AB9"/>
    <w:rsid w:val="00F46ACF"/>
    <w:rsid w:val="00F46EBF"/>
    <w:rsid w:val="00F4710A"/>
    <w:rsid w:val="00F471E9"/>
    <w:rsid w:val="00F47710"/>
    <w:rsid w:val="00F478F9"/>
    <w:rsid w:val="00F47AA5"/>
    <w:rsid w:val="00F47AE8"/>
    <w:rsid w:val="00F47D27"/>
    <w:rsid w:val="00F47D4E"/>
    <w:rsid w:val="00F47FC1"/>
    <w:rsid w:val="00F50007"/>
    <w:rsid w:val="00F50047"/>
    <w:rsid w:val="00F50062"/>
    <w:rsid w:val="00F500FB"/>
    <w:rsid w:val="00F507D3"/>
    <w:rsid w:val="00F50A97"/>
    <w:rsid w:val="00F50E43"/>
    <w:rsid w:val="00F50F5B"/>
    <w:rsid w:val="00F51226"/>
    <w:rsid w:val="00F5133B"/>
    <w:rsid w:val="00F5139A"/>
    <w:rsid w:val="00F51484"/>
    <w:rsid w:val="00F51551"/>
    <w:rsid w:val="00F51644"/>
    <w:rsid w:val="00F51A9D"/>
    <w:rsid w:val="00F51D4B"/>
    <w:rsid w:val="00F52132"/>
    <w:rsid w:val="00F5218F"/>
    <w:rsid w:val="00F5248D"/>
    <w:rsid w:val="00F52536"/>
    <w:rsid w:val="00F52544"/>
    <w:rsid w:val="00F528DF"/>
    <w:rsid w:val="00F52F9E"/>
    <w:rsid w:val="00F5317E"/>
    <w:rsid w:val="00F53296"/>
    <w:rsid w:val="00F532DA"/>
    <w:rsid w:val="00F53AAC"/>
    <w:rsid w:val="00F53ABE"/>
    <w:rsid w:val="00F53F4D"/>
    <w:rsid w:val="00F54058"/>
    <w:rsid w:val="00F5445A"/>
    <w:rsid w:val="00F54575"/>
    <w:rsid w:val="00F547DD"/>
    <w:rsid w:val="00F548C7"/>
    <w:rsid w:val="00F54A4D"/>
    <w:rsid w:val="00F54C75"/>
    <w:rsid w:val="00F54E61"/>
    <w:rsid w:val="00F55211"/>
    <w:rsid w:val="00F55355"/>
    <w:rsid w:val="00F55359"/>
    <w:rsid w:val="00F55371"/>
    <w:rsid w:val="00F553C0"/>
    <w:rsid w:val="00F55535"/>
    <w:rsid w:val="00F5597B"/>
    <w:rsid w:val="00F55B98"/>
    <w:rsid w:val="00F55C32"/>
    <w:rsid w:val="00F56711"/>
    <w:rsid w:val="00F567B4"/>
    <w:rsid w:val="00F567B5"/>
    <w:rsid w:val="00F56AA0"/>
    <w:rsid w:val="00F56B48"/>
    <w:rsid w:val="00F576DD"/>
    <w:rsid w:val="00F5773A"/>
    <w:rsid w:val="00F5779B"/>
    <w:rsid w:val="00F57CB2"/>
    <w:rsid w:val="00F57DA6"/>
    <w:rsid w:val="00F57DA9"/>
    <w:rsid w:val="00F600B7"/>
    <w:rsid w:val="00F602E1"/>
    <w:rsid w:val="00F6094D"/>
    <w:rsid w:val="00F610B1"/>
    <w:rsid w:val="00F610E7"/>
    <w:rsid w:val="00F6184E"/>
    <w:rsid w:val="00F61926"/>
    <w:rsid w:val="00F61B64"/>
    <w:rsid w:val="00F62023"/>
    <w:rsid w:val="00F62249"/>
    <w:rsid w:val="00F6236C"/>
    <w:rsid w:val="00F62583"/>
    <w:rsid w:val="00F625B6"/>
    <w:rsid w:val="00F62723"/>
    <w:rsid w:val="00F62A87"/>
    <w:rsid w:val="00F62BD4"/>
    <w:rsid w:val="00F62D24"/>
    <w:rsid w:val="00F63257"/>
    <w:rsid w:val="00F63826"/>
    <w:rsid w:val="00F63948"/>
    <w:rsid w:val="00F63CB2"/>
    <w:rsid w:val="00F63D05"/>
    <w:rsid w:val="00F64383"/>
    <w:rsid w:val="00F64616"/>
    <w:rsid w:val="00F64A07"/>
    <w:rsid w:val="00F64A9D"/>
    <w:rsid w:val="00F64AC0"/>
    <w:rsid w:val="00F64CD1"/>
    <w:rsid w:val="00F64FD4"/>
    <w:rsid w:val="00F65409"/>
    <w:rsid w:val="00F65668"/>
    <w:rsid w:val="00F657E9"/>
    <w:rsid w:val="00F657ED"/>
    <w:rsid w:val="00F659CA"/>
    <w:rsid w:val="00F65FBC"/>
    <w:rsid w:val="00F66006"/>
    <w:rsid w:val="00F66077"/>
    <w:rsid w:val="00F66234"/>
    <w:rsid w:val="00F6648E"/>
    <w:rsid w:val="00F66517"/>
    <w:rsid w:val="00F665D8"/>
    <w:rsid w:val="00F6699C"/>
    <w:rsid w:val="00F669C6"/>
    <w:rsid w:val="00F66BBB"/>
    <w:rsid w:val="00F67088"/>
    <w:rsid w:val="00F67259"/>
    <w:rsid w:val="00F6729E"/>
    <w:rsid w:val="00F673FA"/>
    <w:rsid w:val="00F67619"/>
    <w:rsid w:val="00F67A29"/>
    <w:rsid w:val="00F67B9C"/>
    <w:rsid w:val="00F67FF0"/>
    <w:rsid w:val="00F70143"/>
    <w:rsid w:val="00F703AF"/>
    <w:rsid w:val="00F70513"/>
    <w:rsid w:val="00F70690"/>
    <w:rsid w:val="00F70F9E"/>
    <w:rsid w:val="00F71047"/>
    <w:rsid w:val="00F71183"/>
    <w:rsid w:val="00F71320"/>
    <w:rsid w:val="00F714E5"/>
    <w:rsid w:val="00F71619"/>
    <w:rsid w:val="00F7183A"/>
    <w:rsid w:val="00F71D31"/>
    <w:rsid w:val="00F71D33"/>
    <w:rsid w:val="00F71D8C"/>
    <w:rsid w:val="00F721DF"/>
    <w:rsid w:val="00F72617"/>
    <w:rsid w:val="00F727AA"/>
    <w:rsid w:val="00F728C2"/>
    <w:rsid w:val="00F729F0"/>
    <w:rsid w:val="00F72B6E"/>
    <w:rsid w:val="00F72BF2"/>
    <w:rsid w:val="00F72D6E"/>
    <w:rsid w:val="00F72E8C"/>
    <w:rsid w:val="00F73262"/>
    <w:rsid w:val="00F73649"/>
    <w:rsid w:val="00F736E5"/>
    <w:rsid w:val="00F73776"/>
    <w:rsid w:val="00F739E2"/>
    <w:rsid w:val="00F73A0C"/>
    <w:rsid w:val="00F73B97"/>
    <w:rsid w:val="00F73C11"/>
    <w:rsid w:val="00F73E4B"/>
    <w:rsid w:val="00F74120"/>
    <w:rsid w:val="00F74142"/>
    <w:rsid w:val="00F7416D"/>
    <w:rsid w:val="00F74504"/>
    <w:rsid w:val="00F7458B"/>
    <w:rsid w:val="00F74603"/>
    <w:rsid w:val="00F74850"/>
    <w:rsid w:val="00F7486B"/>
    <w:rsid w:val="00F74BD0"/>
    <w:rsid w:val="00F74CCC"/>
    <w:rsid w:val="00F74ECF"/>
    <w:rsid w:val="00F74EEE"/>
    <w:rsid w:val="00F75358"/>
    <w:rsid w:val="00F75621"/>
    <w:rsid w:val="00F75712"/>
    <w:rsid w:val="00F75C7C"/>
    <w:rsid w:val="00F75D79"/>
    <w:rsid w:val="00F75DC2"/>
    <w:rsid w:val="00F75DE8"/>
    <w:rsid w:val="00F75DF2"/>
    <w:rsid w:val="00F764A6"/>
    <w:rsid w:val="00F76578"/>
    <w:rsid w:val="00F76D8B"/>
    <w:rsid w:val="00F76E47"/>
    <w:rsid w:val="00F7719C"/>
    <w:rsid w:val="00F7723E"/>
    <w:rsid w:val="00F772BA"/>
    <w:rsid w:val="00F775D0"/>
    <w:rsid w:val="00F779A8"/>
    <w:rsid w:val="00F77B25"/>
    <w:rsid w:val="00F77F8E"/>
    <w:rsid w:val="00F80429"/>
    <w:rsid w:val="00F80502"/>
    <w:rsid w:val="00F806A5"/>
    <w:rsid w:val="00F80AB8"/>
    <w:rsid w:val="00F80DD1"/>
    <w:rsid w:val="00F81447"/>
    <w:rsid w:val="00F815E6"/>
    <w:rsid w:val="00F81954"/>
    <w:rsid w:val="00F81976"/>
    <w:rsid w:val="00F81D06"/>
    <w:rsid w:val="00F81EF0"/>
    <w:rsid w:val="00F81F31"/>
    <w:rsid w:val="00F82576"/>
    <w:rsid w:val="00F826F6"/>
    <w:rsid w:val="00F82780"/>
    <w:rsid w:val="00F82835"/>
    <w:rsid w:val="00F8291F"/>
    <w:rsid w:val="00F8292E"/>
    <w:rsid w:val="00F82C37"/>
    <w:rsid w:val="00F82DFB"/>
    <w:rsid w:val="00F832D7"/>
    <w:rsid w:val="00F83313"/>
    <w:rsid w:val="00F8380A"/>
    <w:rsid w:val="00F83874"/>
    <w:rsid w:val="00F839FF"/>
    <w:rsid w:val="00F83D86"/>
    <w:rsid w:val="00F83FD3"/>
    <w:rsid w:val="00F84241"/>
    <w:rsid w:val="00F8448B"/>
    <w:rsid w:val="00F84AF8"/>
    <w:rsid w:val="00F84CD4"/>
    <w:rsid w:val="00F84E6C"/>
    <w:rsid w:val="00F852CD"/>
    <w:rsid w:val="00F85588"/>
    <w:rsid w:val="00F857F2"/>
    <w:rsid w:val="00F85B3F"/>
    <w:rsid w:val="00F85BDE"/>
    <w:rsid w:val="00F85BF2"/>
    <w:rsid w:val="00F85F9D"/>
    <w:rsid w:val="00F86AAA"/>
    <w:rsid w:val="00F86BD3"/>
    <w:rsid w:val="00F8700D"/>
    <w:rsid w:val="00F871B7"/>
    <w:rsid w:val="00F872F0"/>
    <w:rsid w:val="00F875DE"/>
    <w:rsid w:val="00F876A9"/>
    <w:rsid w:val="00F8793B"/>
    <w:rsid w:val="00F879F8"/>
    <w:rsid w:val="00F87A86"/>
    <w:rsid w:val="00F900C0"/>
    <w:rsid w:val="00F9010A"/>
    <w:rsid w:val="00F901AB"/>
    <w:rsid w:val="00F904F0"/>
    <w:rsid w:val="00F90644"/>
    <w:rsid w:val="00F90661"/>
    <w:rsid w:val="00F906E1"/>
    <w:rsid w:val="00F90747"/>
    <w:rsid w:val="00F90FB1"/>
    <w:rsid w:val="00F912FF"/>
    <w:rsid w:val="00F91332"/>
    <w:rsid w:val="00F913F0"/>
    <w:rsid w:val="00F91660"/>
    <w:rsid w:val="00F91801"/>
    <w:rsid w:val="00F91999"/>
    <w:rsid w:val="00F91AAD"/>
    <w:rsid w:val="00F91ACA"/>
    <w:rsid w:val="00F91B84"/>
    <w:rsid w:val="00F92015"/>
    <w:rsid w:val="00F92140"/>
    <w:rsid w:val="00F92289"/>
    <w:rsid w:val="00F923AF"/>
    <w:rsid w:val="00F92D7B"/>
    <w:rsid w:val="00F92E44"/>
    <w:rsid w:val="00F93204"/>
    <w:rsid w:val="00F934FE"/>
    <w:rsid w:val="00F936ED"/>
    <w:rsid w:val="00F93A43"/>
    <w:rsid w:val="00F93AA8"/>
    <w:rsid w:val="00F93D03"/>
    <w:rsid w:val="00F94312"/>
    <w:rsid w:val="00F94469"/>
    <w:rsid w:val="00F94509"/>
    <w:rsid w:val="00F947FC"/>
    <w:rsid w:val="00F950A5"/>
    <w:rsid w:val="00F9521E"/>
    <w:rsid w:val="00F9559F"/>
    <w:rsid w:val="00F95663"/>
    <w:rsid w:val="00F95740"/>
    <w:rsid w:val="00F9579F"/>
    <w:rsid w:val="00F95841"/>
    <w:rsid w:val="00F958E0"/>
    <w:rsid w:val="00F958F9"/>
    <w:rsid w:val="00F95C3A"/>
    <w:rsid w:val="00F95CB8"/>
    <w:rsid w:val="00F95CF4"/>
    <w:rsid w:val="00F9611A"/>
    <w:rsid w:val="00F9618C"/>
    <w:rsid w:val="00F96461"/>
    <w:rsid w:val="00F96609"/>
    <w:rsid w:val="00F96964"/>
    <w:rsid w:val="00F96F86"/>
    <w:rsid w:val="00F9711C"/>
    <w:rsid w:val="00F9747C"/>
    <w:rsid w:val="00F97A2A"/>
    <w:rsid w:val="00FA0257"/>
    <w:rsid w:val="00FA0460"/>
    <w:rsid w:val="00FA0ABF"/>
    <w:rsid w:val="00FA0E9D"/>
    <w:rsid w:val="00FA11C3"/>
    <w:rsid w:val="00FA1782"/>
    <w:rsid w:val="00FA17A2"/>
    <w:rsid w:val="00FA1B1E"/>
    <w:rsid w:val="00FA1DFF"/>
    <w:rsid w:val="00FA2451"/>
    <w:rsid w:val="00FA247E"/>
    <w:rsid w:val="00FA2533"/>
    <w:rsid w:val="00FA2B00"/>
    <w:rsid w:val="00FA2B91"/>
    <w:rsid w:val="00FA2D25"/>
    <w:rsid w:val="00FA2E2B"/>
    <w:rsid w:val="00FA2F1B"/>
    <w:rsid w:val="00FA34F1"/>
    <w:rsid w:val="00FA3611"/>
    <w:rsid w:val="00FA373A"/>
    <w:rsid w:val="00FA3901"/>
    <w:rsid w:val="00FA3904"/>
    <w:rsid w:val="00FA434C"/>
    <w:rsid w:val="00FA461C"/>
    <w:rsid w:val="00FA4831"/>
    <w:rsid w:val="00FA4832"/>
    <w:rsid w:val="00FA4941"/>
    <w:rsid w:val="00FA4C93"/>
    <w:rsid w:val="00FA4FAD"/>
    <w:rsid w:val="00FA52DC"/>
    <w:rsid w:val="00FA5434"/>
    <w:rsid w:val="00FA554E"/>
    <w:rsid w:val="00FA56F6"/>
    <w:rsid w:val="00FA5802"/>
    <w:rsid w:val="00FA58AF"/>
    <w:rsid w:val="00FA5983"/>
    <w:rsid w:val="00FA5A66"/>
    <w:rsid w:val="00FA5E20"/>
    <w:rsid w:val="00FA5E96"/>
    <w:rsid w:val="00FA6511"/>
    <w:rsid w:val="00FA68E6"/>
    <w:rsid w:val="00FA69D2"/>
    <w:rsid w:val="00FA6AF6"/>
    <w:rsid w:val="00FA6BA8"/>
    <w:rsid w:val="00FA7389"/>
    <w:rsid w:val="00FA7897"/>
    <w:rsid w:val="00FA7AC7"/>
    <w:rsid w:val="00FA7DAD"/>
    <w:rsid w:val="00FA7EB7"/>
    <w:rsid w:val="00FA7FE8"/>
    <w:rsid w:val="00FB0152"/>
    <w:rsid w:val="00FB07FB"/>
    <w:rsid w:val="00FB0FCB"/>
    <w:rsid w:val="00FB1708"/>
    <w:rsid w:val="00FB1756"/>
    <w:rsid w:val="00FB178E"/>
    <w:rsid w:val="00FB1ACA"/>
    <w:rsid w:val="00FB1C82"/>
    <w:rsid w:val="00FB20D7"/>
    <w:rsid w:val="00FB2384"/>
    <w:rsid w:val="00FB2485"/>
    <w:rsid w:val="00FB2A54"/>
    <w:rsid w:val="00FB3147"/>
    <w:rsid w:val="00FB318D"/>
    <w:rsid w:val="00FB3192"/>
    <w:rsid w:val="00FB367A"/>
    <w:rsid w:val="00FB3851"/>
    <w:rsid w:val="00FB396B"/>
    <w:rsid w:val="00FB3971"/>
    <w:rsid w:val="00FB447F"/>
    <w:rsid w:val="00FB4716"/>
    <w:rsid w:val="00FB47CF"/>
    <w:rsid w:val="00FB481C"/>
    <w:rsid w:val="00FB4A8D"/>
    <w:rsid w:val="00FB4C01"/>
    <w:rsid w:val="00FB4DCD"/>
    <w:rsid w:val="00FB51E3"/>
    <w:rsid w:val="00FB564F"/>
    <w:rsid w:val="00FB588B"/>
    <w:rsid w:val="00FB58DE"/>
    <w:rsid w:val="00FB5ABC"/>
    <w:rsid w:val="00FB5FA8"/>
    <w:rsid w:val="00FB612B"/>
    <w:rsid w:val="00FB655B"/>
    <w:rsid w:val="00FB6596"/>
    <w:rsid w:val="00FB692C"/>
    <w:rsid w:val="00FB69D7"/>
    <w:rsid w:val="00FB6A59"/>
    <w:rsid w:val="00FB745B"/>
    <w:rsid w:val="00FB7682"/>
    <w:rsid w:val="00FB7729"/>
    <w:rsid w:val="00FB7D12"/>
    <w:rsid w:val="00FB7F19"/>
    <w:rsid w:val="00FC0318"/>
    <w:rsid w:val="00FC0416"/>
    <w:rsid w:val="00FC05C7"/>
    <w:rsid w:val="00FC07B8"/>
    <w:rsid w:val="00FC0885"/>
    <w:rsid w:val="00FC0AFA"/>
    <w:rsid w:val="00FC14AD"/>
    <w:rsid w:val="00FC15CD"/>
    <w:rsid w:val="00FC193D"/>
    <w:rsid w:val="00FC1B01"/>
    <w:rsid w:val="00FC1C9F"/>
    <w:rsid w:val="00FC1F79"/>
    <w:rsid w:val="00FC201E"/>
    <w:rsid w:val="00FC2084"/>
    <w:rsid w:val="00FC211F"/>
    <w:rsid w:val="00FC2553"/>
    <w:rsid w:val="00FC2CDB"/>
    <w:rsid w:val="00FC2D13"/>
    <w:rsid w:val="00FC3083"/>
    <w:rsid w:val="00FC389A"/>
    <w:rsid w:val="00FC3C6F"/>
    <w:rsid w:val="00FC3DC3"/>
    <w:rsid w:val="00FC3E31"/>
    <w:rsid w:val="00FC466E"/>
    <w:rsid w:val="00FC4836"/>
    <w:rsid w:val="00FC4A1A"/>
    <w:rsid w:val="00FC4C8A"/>
    <w:rsid w:val="00FC4E3C"/>
    <w:rsid w:val="00FC50E8"/>
    <w:rsid w:val="00FC5467"/>
    <w:rsid w:val="00FC5B46"/>
    <w:rsid w:val="00FC5C54"/>
    <w:rsid w:val="00FC5C88"/>
    <w:rsid w:val="00FC5C90"/>
    <w:rsid w:val="00FC60A4"/>
    <w:rsid w:val="00FC629E"/>
    <w:rsid w:val="00FC62AF"/>
    <w:rsid w:val="00FC6359"/>
    <w:rsid w:val="00FC6558"/>
    <w:rsid w:val="00FC6791"/>
    <w:rsid w:val="00FC69E3"/>
    <w:rsid w:val="00FC6C78"/>
    <w:rsid w:val="00FC7062"/>
    <w:rsid w:val="00FC7149"/>
    <w:rsid w:val="00FC7352"/>
    <w:rsid w:val="00FC746C"/>
    <w:rsid w:val="00FC74B1"/>
    <w:rsid w:val="00FC79D4"/>
    <w:rsid w:val="00FC7AB7"/>
    <w:rsid w:val="00FC7AB9"/>
    <w:rsid w:val="00FC7E0B"/>
    <w:rsid w:val="00FC7EB7"/>
    <w:rsid w:val="00FD04FB"/>
    <w:rsid w:val="00FD0614"/>
    <w:rsid w:val="00FD0A95"/>
    <w:rsid w:val="00FD1100"/>
    <w:rsid w:val="00FD14B1"/>
    <w:rsid w:val="00FD155C"/>
    <w:rsid w:val="00FD17CA"/>
    <w:rsid w:val="00FD17EB"/>
    <w:rsid w:val="00FD1950"/>
    <w:rsid w:val="00FD1A92"/>
    <w:rsid w:val="00FD1A98"/>
    <w:rsid w:val="00FD1BC5"/>
    <w:rsid w:val="00FD1CA6"/>
    <w:rsid w:val="00FD1EB0"/>
    <w:rsid w:val="00FD1F65"/>
    <w:rsid w:val="00FD25B4"/>
    <w:rsid w:val="00FD2602"/>
    <w:rsid w:val="00FD26AF"/>
    <w:rsid w:val="00FD2875"/>
    <w:rsid w:val="00FD2970"/>
    <w:rsid w:val="00FD2B56"/>
    <w:rsid w:val="00FD2DF1"/>
    <w:rsid w:val="00FD34CA"/>
    <w:rsid w:val="00FD3C21"/>
    <w:rsid w:val="00FD3ED1"/>
    <w:rsid w:val="00FD4416"/>
    <w:rsid w:val="00FD501C"/>
    <w:rsid w:val="00FD506B"/>
    <w:rsid w:val="00FD515B"/>
    <w:rsid w:val="00FD5227"/>
    <w:rsid w:val="00FD5361"/>
    <w:rsid w:val="00FD53C8"/>
    <w:rsid w:val="00FD5B9C"/>
    <w:rsid w:val="00FD5BBB"/>
    <w:rsid w:val="00FD5C47"/>
    <w:rsid w:val="00FD5C8D"/>
    <w:rsid w:val="00FD5DA3"/>
    <w:rsid w:val="00FD5E40"/>
    <w:rsid w:val="00FD5EBF"/>
    <w:rsid w:val="00FD5FAA"/>
    <w:rsid w:val="00FD5FF1"/>
    <w:rsid w:val="00FD627A"/>
    <w:rsid w:val="00FD6A96"/>
    <w:rsid w:val="00FD6B05"/>
    <w:rsid w:val="00FD6B49"/>
    <w:rsid w:val="00FD7027"/>
    <w:rsid w:val="00FD7162"/>
    <w:rsid w:val="00FD7214"/>
    <w:rsid w:val="00FD735C"/>
    <w:rsid w:val="00FD7484"/>
    <w:rsid w:val="00FD74B6"/>
    <w:rsid w:val="00FD7527"/>
    <w:rsid w:val="00FD7698"/>
    <w:rsid w:val="00FD775D"/>
    <w:rsid w:val="00FD782A"/>
    <w:rsid w:val="00FD786A"/>
    <w:rsid w:val="00FD7A80"/>
    <w:rsid w:val="00FD7D66"/>
    <w:rsid w:val="00FE04A8"/>
    <w:rsid w:val="00FE0622"/>
    <w:rsid w:val="00FE06F8"/>
    <w:rsid w:val="00FE08B1"/>
    <w:rsid w:val="00FE0B6A"/>
    <w:rsid w:val="00FE0D6D"/>
    <w:rsid w:val="00FE0D93"/>
    <w:rsid w:val="00FE0F52"/>
    <w:rsid w:val="00FE12EE"/>
    <w:rsid w:val="00FE1374"/>
    <w:rsid w:val="00FE14CA"/>
    <w:rsid w:val="00FE1590"/>
    <w:rsid w:val="00FE19A3"/>
    <w:rsid w:val="00FE19C1"/>
    <w:rsid w:val="00FE19CE"/>
    <w:rsid w:val="00FE1B5C"/>
    <w:rsid w:val="00FE1D16"/>
    <w:rsid w:val="00FE1E13"/>
    <w:rsid w:val="00FE223A"/>
    <w:rsid w:val="00FE235B"/>
    <w:rsid w:val="00FE246F"/>
    <w:rsid w:val="00FE27A3"/>
    <w:rsid w:val="00FE28BE"/>
    <w:rsid w:val="00FE28E4"/>
    <w:rsid w:val="00FE2EB3"/>
    <w:rsid w:val="00FE3074"/>
    <w:rsid w:val="00FE30BF"/>
    <w:rsid w:val="00FE336C"/>
    <w:rsid w:val="00FE34A2"/>
    <w:rsid w:val="00FE369B"/>
    <w:rsid w:val="00FE3BD0"/>
    <w:rsid w:val="00FE3CEA"/>
    <w:rsid w:val="00FE3CF6"/>
    <w:rsid w:val="00FE3E7E"/>
    <w:rsid w:val="00FE422A"/>
    <w:rsid w:val="00FE429F"/>
    <w:rsid w:val="00FE4755"/>
    <w:rsid w:val="00FE4781"/>
    <w:rsid w:val="00FE4E2E"/>
    <w:rsid w:val="00FE5A3F"/>
    <w:rsid w:val="00FE5B41"/>
    <w:rsid w:val="00FE5EEA"/>
    <w:rsid w:val="00FE6020"/>
    <w:rsid w:val="00FE609D"/>
    <w:rsid w:val="00FE618A"/>
    <w:rsid w:val="00FE66CF"/>
    <w:rsid w:val="00FE70E2"/>
    <w:rsid w:val="00FE72FC"/>
    <w:rsid w:val="00FE7476"/>
    <w:rsid w:val="00FE75A4"/>
    <w:rsid w:val="00FE7616"/>
    <w:rsid w:val="00FE7827"/>
    <w:rsid w:val="00FE7979"/>
    <w:rsid w:val="00FF0033"/>
    <w:rsid w:val="00FF004E"/>
    <w:rsid w:val="00FF0371"/>
    <w:rsid w:val="00FF05DE"/>
    <w:rsid w:val="00FF06B1"/>
    <w:rsid w:val="00FF06BF"/>
    <w:rsid w:val="00FF0A66"/>
    <w:rsid w:val="00FF0C05"/>
    <w:rsid w:val="00FF0C9F"/>
    <w:rsid w:val="00FF0EA5"/>
    <w:rsid w:val="00FF0FD9"/>
    <w:rsid w:val="00FF1225"/>
    <w:rsid w:val="00FF1230"/>
    <w:rsid w:val="00FF1487"/>
    <w:rsid w:val="00FF14B4"/>
    <w:rsid w:val="00FF1626"/>
    <w:rsid w:val="00FF1665"/>
    <w:rsid w:val="00FF1717"/>
    <w:rsid w:val="00FF1DFE"/>
    <w:rsid w:val="00FF20B1"/>
    <w:rsid w:val="00FF215F"/>
    <w:rsid w:val="00FF225B"/>
    <w:rsid w:val="00FF2499"/>
    <w:rsid w:val="00FF25D2"/>
    <w:rsid w:val="00FF2717"/>
    <w:rsid w:val="00FF2A87"/>
    <w:rsid w:val="00FF2BE5"/>
    <w:rsid w:val="00FF2CCA"/>
    <w:rsid w:val="00FF2D60"/>
    <w:rsid w:val="00FF322F"/>
    <w:rsid w:val="00FF333C"/>
    <w:rsid w:val="00FF3D08"/>
    <w:rsid w:val="00FF3E5D"/>
    <w:rsid w:val="00FF3FA0"/>
    <w:rsid w:val="00FF40C3"/>
    <w:rsid w:val="00FF424D"/>
    <w:rsid w:val="00FF42A1"/>
    <w:rsid w:val="00FF4833"/>
    <w:rsid w:val="00FF4AF6"/>
    <w:rsid w:val="00FF4B7C"/>
    <w:rsid w:val="00FF4D36"/>
    <w:rsid w:val="00FF4F4E"/>
    <w:rsid w:val="00FF54F1"/>
    <w:rsid w:val="00FF5545"/>
    <w:rsid w:val="00FF5703"/>
    <w:rsid w:val="00FF5A93"/>
    <w:rsid w:val="00FF5CCA"/>
    <w:rsid w:val="00FF5D9B"/>
    <w:rsid w:val="00FF6033"/>
    <w:rsid w:val="00FF6128"/>
    <w:rsid w:val="00FF622D"/>
    <w:rsid w:val="00FF64D9"/>
    <w:rsid w:val="00FF654F"/>
    <w:rsid w:val="00FF6A15"/>
    <w:rsid w:val="00FF6B1F"/>
    <w:rsid w:val="00FF6F3C"/>
    <w:rsid w:val="00FF7160"/>
    <w:rsid w:val="00FF7929"/>
    <w:rsid w:val="00FF7A11"/>
    <w:rsid w:val="00FF7B55"/>
    <w:rsid w:val="00FF7FA4"/>
    <w:rsid w:val="012C6BA6"/>
    <w:rsid w:val="024E0A4D"/>
    <w:rsid w:val="03EB5B04"/>
    <w:rsid w:val="043D5AF1"/>
    <w:rsid w:val="04651EF2"/>
    <w:rsid w:val="050DFE2A"/>
    <w:rsid w:val="0714FDE5"/>
    <w:rsid w:val="081A7530"/>
    <w:rsid w:val="08B704F6"/>
    <w:rsid w:val="09453257"/>
    <w:rsid w:val="09804515"/>
    <w:rsid w:val="09E25C51"/>
    <w:rsid w:val="0AA78686"/>
    <w:rsid w:val="0E0E898A"/>
    <w:rsid w:val="0E3F7725"/>
    <w:rsid w:val="0EF04656"/>
    <w:rsid w:val="0F98A7BB"/>
    <w:rsid w:val="10A384F7"/>
    <w:rsid w:val="10FEAFFB"/>
    <w:rsid w:val="1309735A"/>
    <w:rsid w:val="13A9C4DB"/>
    <w:rsid w:val="15AE8067"/>
    <w:rsid w:val="16165948"/>
    <w:rsid w:val="17A0E9E4"/>
    <w:rsid w:val="17B05690"/>
    <w:rsid w:val="18A912BC"/>
    <w:rsid w:val="191B7239"/>
    <w:rsid w:val="1CFDE0A0"/>
    <w:rsid w:val="1DB0F640"/>
    <w:rsid w:val="1DED488F"/>
    <w:rsid w:val="21D5C7BF"/>
    <w:rsid w:val="2248D006"/>
    <w:rsid w:val="227C1907"/>
    <w:rsid w:val="23204165"/>
    <w:rsid w:val="23D18E06"/>
    <w:rsid w:val="29E5F836"/>
    <w:rsid w:val="2A444843"/>
    <w:rsid w:val="2C5EA40F"/>
    <w:rsid w:val="2DCCD00E"/>
    <w:rsid w:val="2ED6D74A"/>
    <w:rsid w:val="3018248A"/>
    <w:rsid w:val="30379627"/>
    <w:rsid w:val="30728F87"/>
    <w:rsid w:val="30816FAC"/>
    <w:rsid w:val="30882A0C"/>
    <w:rsid w:val="30AB78E2"/>
    <w:rsid w:val="31B30399"/>
    <w:rsid w:val="3443DE10"/>
    <w:rsid w:val="35105326"/>
    <w:rsid w:val="3668DE10"/>
    <w:rsid w:val="368956B0"/>
    <w:rsid w:val="376E5A13"/>
    <w:rsid w:val="3851F35D"/>
    <w:rsid w:val="395395D3"/>
    <w:rsid w:val="398DDBA1"/>
    <w:rsid w:val="399D4858"/>
    <w:rsid w:val="3BCB7C79"/>
    <w:rsid w:val="3DD0AF57"/>
    <w:rsid w:val="3E0E3619"/>
    <w:rsid w:val="4005764A"/>
    <w:rsid w:val="40142A5E"/>
    <w:rsid w:val="413286F4"/>
    <w:rsid w:val="43E91784"/>
    <w:rsid w:val="4445D760"/>
    <w:rsid w:val="46764BBA"/>
    <w:rsid w:val="478017CA"/>
    <w:rsid w:val="480F2022"/>
    <w:rsid w:val="4949BCC5"/>
    <w:rsid w:val="4995335A"/>
    <w:rsid w:val="49E1D9B1"/>
    <w:rsid w:val="4A0D5A82"/>
    <w:rsid w:val="4AA77378"/>
    <w:rsid w:val="4F850CF5"/>
    <w:rsid w:val="5125A092"/>
    <w:rsid w:val="513CAB6C"/>
    <w:rsid w:val="51FED33F"/>
    <w:rsid w:val="52263418"/>
    <w:rsid w:val="52BCACC5"/>
    <w:rsid w:val="52BD141D"/>
    <w:rsid w:val="53B3F082"/>
    <w:rsid w:val="56066728"/>
    <w:rsid w:val="57A97060"/>
    <w:rsid w:val="57B2D1D6"/>
    <w:rsid w:val="58B838E8"/>
    <w:rsid w:val="59153830"/>
    <w:rsid w:val="5ACF4A58"/>
    <w:rsid w:val="5B6004C9"/>
    <w:rsid w:val="5C5C198A"/>
    <w:rsid w:val="5C6D648D"/>
    <w:rsid w:val="5D9E655F"/>
    <w:rsid w:val="5E523CA3"/>
    <w:rsid w:val="5E9F8B35"/>
    <w:rsid w:val="5EB83D0A"/>
    <w:rsid w:val="5FC219C3"/>
    <w:rsid w:val="60E2B569"/>
    <w:rsid w:val="6220C519"/>
    <w:rsid w:val="624935AE"/>
    <w:rsid w:val="62FAFA7D"/>
    <w:rsid w:val="6336E7B8"/>
    <w:rsid w:val="63AD446B"/>
    <w:rsid w:val="653B7CA5"/>
    <w:rsid w:val="673A8E69"/>
    <w:rsid w:val="67AA7B85"/>
    <w:rsid w:val="67D03174"/>
    <w:rsid w:val="6832DB68"/>
    <w:rsid w:val="684C9515"/>
    <w:rsid w:val="68789499"/>
    <w:rsid w:val="6983B9E5"/>
    <w:rsid w:val="6C594E03"/>
    <w:rsid w:val="6CF4677A"/>
    <w:rsid w:val="6CF93322"/>
    <w:rsid w:val="6E323B0B"/>
    <w:rsid w:val="6E57BBB5"/>
    <w:rsid w:val="6EE87235"/>
    <w:rsid w:val="6EEFB70E"/>
    <w:rsid w:val="6FDD074B"/>
    <w:rsid w:val="709DEE24"/>
    <w:rsid w:val="71B2625B"/>
    <w:rsid w:val="71B65FB2"/>
    <w:rsid w:val="71F15DDD"/>
    <w:rsid w:val="7282AB21"/>
    <w:rsid w:val="72FDEDBA"/>
    <w:rsid w:val="73ECE3F8"/>
    <w:rsid w:val="742AB72D"/>
    <w:rsid w:val="75BA3EC0"/>
    <w:rsid w:val="76015C24"/>
    <w:rsid w:val="770B5170"/>
    <w:rsid w:val="798338D9"/>
    <w:rsid w:val="7B138FA8"/>
    <w:rsid w:val="7B1A5A1C"/>
    <w:rsid w:val="7D434181"/>
    <w:rsid w:val="7F18D1D1"/>
  </w:rsids>
  <m:mathPr>
    <m:mathFont m:val="Cambria Math"/>
    <m:brkBin m:val="before"/>
    <m:brkBinSub m:val="--"/>
    <m:smallFrac m:val="0"/>
    <m:dispDef/>
    <m:lMargin m:val="0"/>
    <m:rMargin m:val="0"/>
    <m:defJc m:val="centerGroup"/>
    <m:wrapIndent m:val="1440"/>
    <m:intLim m:val="subSup"/>
    <m:naryLim m:val="undOvr"/>
  </m:mathPr>
  <w:themeFontLang w:val="en-US" w:eastAsia="ko-KR" w:bidi="mn-Mon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F6912F6"/>
  <w15:docId w15:val="{93FF3E46-C03E-4F3B-8096-DD8CDF3C7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ko-KR" w:bidi="th-TH"/>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5777"/>
    <w:rPr>
      <w:rFonts w:ascii="Calibri" w:eastAsia="Times New Roman" w:hAnsi="Calibri"/>
      <w:sz w:val="22"/>
      <w:szCs w:val="24"/>
      <w:lang w:eastAsia="en-US" w:bidi="ar-SA"/>
    </w:rPr>
  </w:style>
  <w:style w:type="paragraph" w:styleId="Heading1">
    <w:name w:val="heading 1"/>
    <w:aliases w:val="SC 1"/>
    <w:basedOn w:val="Normal"/>
    <w:next w:val="Normal"/>
    <w:link w:val="Heading1Char"/>
    <w:uiPriority w:val="9"/>
    <w:qFormat/>
    <w:rsid w:val="00D954EC"/>
    <w:pPr>
      <w:keepNext/>
      <w:keepLines/>
      <w:numPr>
        <w:numId w:val="4"/>
      </w:numPr>
      <w:spacing w:after="220"/>
      <w:jc w:val="center"/>
      <w:outlineLvl w:val="0"/>
    </w:pPr>
    <w:rPr>
      <w:rFonts w:eastAsiaTheme="majorEastAsia"/>
      <w:b/>
      <w:bCs/>
      <w:szCs w:val="22"/>
    </w:rPr>
  </w:style>
  <w:style w:type="paragraph" w:styleId="Heading2">
    <w:name w:val="heading 2"/>
    <w:aliases w:val="Heading a,b"/>
    <w:basedOn w:val="Normal"/>
    <w:next w:val="Normal"/>
    <w:link w:val="Heading2Char"/>
    <w:uiPriority w:val="9"/>
    <w:unhideWhenUsed/>
    <w:qFormat/>
    <w:rsid w:val="00077F19"/>
    <w:pPr>
      <w:spacing w:after="120"/>
      <w:outlineLvl w:val="1"/>
    </w:pPr>
    <w:rPr>
      <w:rFonts w:eastAsia="MS Mincho"/>
      <w:b/>
      <w:color w:val="000000"/>
      <w:lang w:eastAsia="ja-JP"/>
    </w:rPr>
  </w:style>
  <w:style w:type="paragraph" w:styleId="Heading3">
    <w:name w:val="heading 3"/>
    <w:basedOn w:val="Normal"/>
    <w:next w:val="Normal"/>
    <w:link w:val="Heading3Char"/>
    <w:uiPriority w:val="9"/>
    <w:unhideWhenUsed/>
    <w:qFormat/>
    <w:rsid w:val="00077F19"/>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77F1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qFormat/>
    <w:rsid w:val="00167860"/>
    <w:pPr>
      <w:keepNext/>
      <w:jc w:val="both"/>
      <w:outlineLvl w:val="4"/>
    </w:pPr>
    <w:rPr>
      <w:rFonts w:ascii="Arial" w:eastAsia="Batang" w:hAnsi="Arial" w:cs="Arial"/>
      <w:b/>
      <w:bCs/>
      <w:sz w:val="20"/>
      <w:szCs w:val="20"/>
    </w:rPr>
  </w:style>
  <w:style w:type="paragraph" w:styleId="Heading6">
    <w:name w:val="heading 6"/>
    <w:basedOn w:val="Normal"/>
    <w:next w:val="Normal"/>
    <w:link w:val="Heading6Char"/>
    <w:qFormat/>
    <w:rsid w:val="00167860"/>
    <w:pPr>
      <w:keepNext/>
      <w:outlineLvl w:val="5"/>
    </w:pPr>
    <w:rPr>
      <w:rFonts w:ascii="Arial" w:eastAsia="Batang" w:hAnsi="Arial" w:cs="Arial"/>
      <w:b/>
      <w:color w:val="FF0000"/>
      <w:sz w:val="16"/>
      <w:szCs w:val="20"/>
    </w:rPr>
  </w:style>
  <w:style w:type="paragraph" w:styleId="Heading7">
    <w:name w:val="heading 7"/>
    <w:basedOn w:val="Normal"/>
    <w:next w:val="Normal"/>
    <w:link w:val="Heading7Char"/>
    <w:uiPriority w:val="9"/>
    <w:unhideWhenUsed/>
    <w:qFormat/>
    <w:rsid w:val="00167860"/>
    <w:pPr>
      <w:keepNext/>
      <w:keepLines/>
      <w:spacing w:before="200"/>
      <w:jc w:val="both"/>
      <w:outlineLvl w:val="6"/>
    </w:pPr>
    <w:rPr>
      <w:rFonts w:ascii="Cambria" w:hAnsi="Cambria"/>
      <w:i/>
      <w:iCs/>
      <w:color w:val="404040"/>
      <w:szCs w:val="22"/>
    </w:rPr>
  </w:style>
  <w:style w:type="paragraph" w:styleId="Heading8">
    <w:name w:val="heading 8"/>
    <w:basedOn w:val="Normal"/>
    <w:next w:val="Normal"/>
    <w:link w:val="Heading8Char"/>
    <w:uiPriority w:val="9"/>
    <w:unhideWhenUsed/>
    <w:qFormat/>
    <w:rsid w:val="00167860"/>
    <w:pPr>
      <w:spacing w:before="240" w:after="60"/>
      <w:jc w:val="both"/>
      <w:outlineLvl w:val="7"/>
    </w:pPr>
    <w:rPr>
      <w:i/>
      <w:iCs/>
    </w:rPr>
  </w:style>
  <w:style w:type="paragraph" w:styleId="Heading9">
    <w:name w:val="heading 9"/>
    <w:basedOn w:val="Normal"/>
    <w:next w:val="Normal"/>
    <w:link w:val="Heading9Char"/>
    <w:uiPriority w:val="9"/>
    <w:semiHidden/>
    <w:unhideWhenUsed/>
    <w:qFormat/>
    <w:rsid w:val="0077252E"/>
    <w:pPr>
      <w:tabs>
        <w:tab w:val="num" w:pos="6480"/>
      </w:tabs>
      <w:spacing w:before="240" w:after="60"/>
      <w:ind w:left="6480" w:hanging="720"/>
      <w:outlineLvl w:val="8"/>
    </w:pPr>
    <w:rPr>
      <w:rFonts w:asciiTheme="majorHAnsi" w:eastAsiaTheme="majorEastAsia" w:hAnsiTheme="majorHAnsi" w:cstheme="majorBidi"/>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077F19"/>
    <w:pPr>
      <w:jc w:val="center"/>
    </w:pPr>
    <w:rPr>
      <w:lang w:val="en-GB"/>
    </w:rPr>
  </w:style>
  <w:style w:type="paragraph" w:styleId="Header">
    <w:name w:val="header"/>
    <w:basedOn w:val="Normal"/>
    <w:link w:val="HeaderChar"/>
    <w:uiPriority w:val="99"/>
    <w:rsid w:val="00A83306"/>
    <w:pPr>
      <w:tabs>
        <w:tab w:val="center" w:pos="4320"/>
        <w:tab w:val="right" w:pos="8640"/>
      </w:tabs>
    </w:pPr>
    <w:rPr>
      <w:lang w:val="en-GB"/>
    </w:rPr>
  </w:style>
  <w:style w:type="paragraph" w:styleId="Footer">
    <w:name w:val="footer"/>
    <w:basedOn w:val="Normal"/>
    <w:link w:val="FooterChar"/>
    <w:uiPriority w:val="99"/>
    <w:rsid w:val="00A83306"/>
    <w:pPr>
      <w:tabs>
        <w:tab w:val="center" w:pos="4320"/>
        <w:tab w:val="right" w:pos="8640"/>
      </w:tabs>
    </w:pPr>
    <w:rPr>
      <w:lang w:val="en-GB"/>
    </w:rPr>
  </w:style>
  <w:style w:type="character" w:styleId="PageNumber">
    <w:name w:val="page number"/>
    <w:basedOn w:val="DefaultParagraphFont"/>
    <w:uiPriority w:val="99"/>
    <w:rsid w:val="00A83306"/>
  </w:style>
  <w:style w:type="character" w:styleId="CommentReference">
    <w:name w:val="annotation reference"/>
    <w:uiPriority w:val="99"/>
    <w:rsid w:val="004D7DFC"/>
    <w:rPr>
      <w:sz w:val="16"/>
      <w:szCs w:val="16"/>
    </w:rPr>
  </w:style>
  <w:style w:type="paragraph" w:styleId="CommentText">
    <w:name w:val="annotation text"/>
    <w:basedOn w:val="Normal"/>
    <w:link w:val="CommentTextChar"/>
    <w:uiPriority w:val="99"/>
    <w:rsid w:val="004D7DFC"/>
    <w:rPr>
      <w:sz w:val="20"/>
      <w:szCs w:val="20"/>
    </w:rPr>
  </w:style>
  <w:style w:type="paragraph" w:styleId="CommentSubject">
    <w:name w:val="annotation subject"/>
    <w:basedOn w:val="CommentText"/>
    <w:next w:val="CommentText"/>
    <w:link w:val="CommentSubjectChar"/>
    <w:uiPriority w:val="99"/>
    <w:semiHidden/>
    <w:rsid w:val="004D7DFC"/>
    <w:rPr>
      <w:b/>
      <w:bCs/>
    </w:rPr>
  </w:style>
  <w:style w:type="paragraph" w:styleId="BalloonText">
    <w:name w:val="Balloon Text"/>
    <w:basedOn w:val="Normal"/>
    <w:link w:val="BalloonTextChar"/>
    <w:uiPriority w:val="99"/>
    <w:semiHidden/>
    <w:rsid w:val="004D7DFC"/>
    <w:rPr>
      <w:rFonts w:ascii="Tahoma" w:hAnsi="Tahoma" w:cs="Tahoma"/>
      <w:sz w:val="16"/>
      <w:szCs w:val="16"/>
    </w:rPr>
  </w:style>
  <w:style w:type="character" w:styleId="Hyperlink">
    <w:name w:val="Hyperlink"/>
    <w:uiPriority w:val="99"/>
    <w:rsid w:val="00A94CA6"/>
    <w:rPr>
      <w:color w:val="0000FF"/>
      <w:u w:val="single"/>
    </w:rPr>
  </w:style>
  <w:style w:type="character" w:styleId="FollowedHyperlink">
    <w:name w:val="FollowedHyperlink"/>
    <w:rsid w:val="000F3915"/>
    <w:rPr>
      <w:color w:val="800080"/>
      <w:u w:val="single"/>
    </w:rPr>
  </w:style>
  <w:style w:type="paragraph" w:customStyle="1" w:styleId="Default">
    <w:name w:val="Default"/>
    <w:link w:val="DefaultChar"/>
    <w:rsid w:val="002277AC"/>
    <w:pPr>
      <w:autoSpaceDE w:val="0"/>
      <w:autoSpaceDN w:val="0"/>
      <w:adjustRightInd w:val="0"/>
    </w:pPr>
    <w:rPr>
      <w:rFonts w:eastAsia="Times New Roman"/>
      <w:color w:val="000000"/>
      <w:sz w:val="24"/>
      <w:szCs w:val="24"/>
      <w:lang w:eastAsia="en-US" w:bidi="ar-SA"/>
    </w:rPr>
  </w:style>
  <w:style w:type="paragraph" w:styleId="ListParagraph">
    <w:name w:val="List Paragraph"/>
    <w:aliases w:val="123 List Paragraph,List Paragraph1,Recommendation,List Paragraph11,List Paragraph2,Colorful List - Accent 11,Colorful List - Accent 12,NAFO PR List Paragraph,ADB paragraph numbering,Liste 1,Bullets,List Paragraph nowy,References,ANNEX"/>
    <w:basedOn w:val="Normal"/>
    <w:link w:val="ListParagraphChar"/>
    <w:uiPriority w:val="34"/>
    <w:qFormat/>
    <w:rsid w:val="00077F19"/>
    <w:pPr>
      <w:ind w:left="720"/>
    </w:pPr>
  </w:style>
  <w:style w:type="paragraph" w:styleId="FootnoteText">
    <w:name w:val="footnote text"/>
    <w:basedOn w:val="Normal"/>
    <w:link w:val="FootnoteTextChar"/>
    <w:uiPriority w:val="99"/>
    <w:rsid w:val="00AC218A"/>
    <w:rPr>
      <w:rFonts w:cs="Angsana New"/>
      <w:sz w:val="20"/>
      <w:szCs w:val="20"/>
      <w:lang w:bidi="th-TH"/>
    </w:rPr>
  </w:style>
  <w:style w:type="character" w:customStyle="1" w:styleId="FootnoteTextChar">
    <w:name w:val="Footnote Text Char"/>
    <w:link w:val="FootnoteText"/>
    <w:uiPriority w:val="99"/>
    <w:rsid w:val="00AC218A"/>
    <w:rPr>
      <w:rFonts w:eastAsia="Times New Roman"/>
    </w:rPr>
  </w:style>
  <w:style w:type="character" w:styleId="FootnoteReference">
    <w:name w:val="footnote reference"/>
    <w:rsid w:val="00AC218A"/>
    <w:rPr>
      <w:vertAlign w:val="superscript"/>
    </w:rPr>
  </w:style>
  <w:style w:type="table" w:styleId="TableGrid">
    <w:name w:val="Table Grid"/>
    <w:basedOn w:val="TableNormal"/>
    <w:uiPriority w:val="39"/>
    <w:rsid w:val="00B07CAC"/>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006EB8"/>
  </w:style>
  <w:style w:type="character" w:customStyle="1" w:styleId="DateChar">
    <w:name w:val="Date Char"/>
    <w:basedOn w:val="DefaultParagraphFont"/>
    <w:link w:val="Date"/>
    <w:rsid w:val="00006EB8"/>
    <w:rPr>
      <w:rFonts w:eastAsia="Times New Roman"/>
      <w:sz w:val="24"/>
      <w:szCs w:val="24"/>
      <w:lang w:eastAsia="en-US" w:bidi="ar-SA"/>
    </w:rPr>
  </w:style>
  <w:style w:type="character" w:customStyle="1" w:styleId="DefaultChar">
    <w:name w:val="Default Char"/>
    <w:basedOn w:val="DefaultParagraphFont"/>
    <w:link w:val="Default"/>
    <w:locked/>
    <w:rsid w:val="00C30A8B"/>
    <w:rPr>
      <w:rFonts w:eastAsia="Times New Roman"/>
      <w:color w:val="000000"/>
      <w:sz w:val="24"/>
      <w:szCs w:val="24"/>
      <w:lang w:eastAsia="en-US" w:bidi="ar-SA"/>
    </w:rPr>
  </w:style>
  <w:style w:type="character" w:styleId="Emphasis">
    <w:name w:val="Emphasis"/>
    <w:basedOn w:val="DefaultParagraphFont"/>
    <w:uiPriority w:val="20"/>
    <w:qFormat/>
    <w:rsid w:val="00077F19"/>
    <w:rPr>
      <w:i/>
      <w:iCs/>
    </w:rPr>
  </w:style>
  <w:style w:type="character" w:customStyle="1" w:styleId="ListParagraphChar">
    <w:name w:val="List Paragraph Char"/>
    <w:aliases w:val="123 List Paragraph Char,List Paragraph1 Char,Recommendation Char,List Paragraph11 Char,List Paragraph2 Char,Colorful List - Accent 11 Char,Colorful List - Accent 12 Char,NAFO PR List Paragraph Char,ADB paragraph numbering Char"/>
    <w:link w:val="ListParagraph"/>
    <w:uiPriority w:val="34"/>
    <w:qFormat/>
    <w:locked/>
    <w:rsid w:val="00077F19"/>
    <w:rPr>
      <w:rFonts w:eastAsia="Times New Roman"/>
      <w:sz w:val="24"/>
      <w:szCs w:val="24"/>
      <w:lang w:eastAsia="en-US" w:bidi="ar-SA"/>
    </w:rPr>
  </w:style>
  <w:style w:type="paragraph" w:customStyle="1" w:styleId="favourite">
    <w:name w:val="favourite"/>
    <w:basedOn w:val="Default"/>
    <w:link w:val="favouriteChar"/>
    <w:qFormat/>
    <w:rsid w:val="00077F19"/>
    <w:pPr>
      <w:numPr>
        <w:numId w:val="2"/>
      </w:numPr>
    </w:pPr>
    <w:rPr>
      <w:rFonts w:eastAsiaTheme="minorEastAsia"/>
      <w:sz w:val="22"/>
      <w:szCs w:val="22"/>
      <w:lang w:val="en-NZ" w:eastAsia="en-NZ"/>
    </w:rPr>
  </w:style>
  <w:style w:type="character" w:customStyle="1" w:styleId="favouriteChar">
    <w:name w:val="favourite Char"/>
    <w:basedOn w:val="DefaultChar"/>
    <w:link w:val="favourite"/>
    <w:rsid w:val="00077F19"/>
    <w:rPr>
      <w:rFonts w:eastAsiaTheme="minorEastAsia"/>
      <w:color w:val="000000"/>
      <w:sz w:val="22"/>
      <w:szCs w:val="22"/>
      <w:lang w:val="en-NZ" w:eastAsia="en-NZ" w:bidi="ar-SA"/>
    </w:rPr>
  </w:style>
  <w:style w:type="paragraph" w:styleId="PlainText">
    <w:name w:val="Plain Text"/>
    <w:basedOn w:val="Normal"/>
    <w:link w:val="PlainTextChar"/>
    <w:uiPriority w:val="99"/>
    <w:unhideWhenUsed/>
    <w:rsid w:val="00C05C70"/>
    <w:rPr>
      <w:rFonts w:eastAsiaTheme="minorEastAsia"/>
      <w:szCs w:val="22"/>
    </w:rPr>
  </w:style>
  <w:style w:type="character" w:customStyle="1" w:styleId="PlainTextChar">
    <w:name w:val="Plain Text Char"/>
    <w:basedOn w:val="DefaultParagraphFont"/>
    <w:link w:val="PlainText"/>
    <w:uiPriority w:val="99"/>
    <w:rsid w:val="00C05C70"/>
    <w:rPr>
      <w:rFonts w:ascii="Calibri" w:eastAsiaTheme="minorEastAsia" w:hAnsi="Calibri"/>
      <w:sz w:val="22"/>
      <w:szCs w:val="22"/>
      <w:lang w:eastAsia="en-US" w:bidi="ar-SA"/>
    </w:rPr>
  </w:style>
  <w:style w:type="paragraph" w:customStyle="1" w:styleId="Best2">
    <w:name w:val="Best2"/>
    <w:basedOn w:val="Normal"/>
    <w:link w:val="Best2Char"/>
    <w:qFormat/>
    <w:rsid w:val="00077F19"/>
    <w:pPr>
      <w:numPr>
        <w:numId w:val="3"/>
      </w:numPr>
      <w:spacing w:after="120" w:line="300" w:lineRule="exact"/>
      <w:jc w:val="both"/>
    </w:pPr>
    <w:rPr>
      <w:rFonts w:eastAsiaTheme="minorEastAsia" w:cstheme="minorBidi"/>
      <w:szCs w:val="22"/>
      <w:lang w:eastAsia="en-NZ"/>
    </w:rPr>
  </w:style>
  <w:style w:type="character" w:customStyle="1" w:styleId="Best2Char">
    <w:name w:val="Best2 Char"/>
    <w:basedOn w:val="DefaultParagraphFont"/>
    <w:link w:val="Best2"/>
    <w:rsid w:val="00077F19"/>
    <w:rPr>
      <w:rFonts w:ascii="Calibri" w:eastAsiaTheme="minorEastAsia" w:hAnsi="Calibri" w:cstheme="minorBidi"/>
      <w:sz w:val="22"/>
      <w:szCs w:val="22"/>
      <w:lang w:val="en-NZ" w:eastAsia="en-NZ" w:bidi="ar-SA"/>
    </w:rPr>
  </w:style>
  <w:style w:type="character" w:customStyle="1" w:styleId="Heading2Char">
    <w:name w:val="Heading 2 Char"/>
    <w:aliases w:val="Heading a Char,b Char"/>
    <w:basedOn w:val="DefaultParagraphFont"/>
    <w:link w:val="Heading2"/>
    <w:uiPriority w:val="9"/>
    <w:rsid w:val="00077F19"/>
    <w:rPr>
      <w:rFonts w:eastAsia="MS Mincho"/>
      <w:b/>
      <w:color w:val="000000"/>
      <w:sz w:val="22"/>
      <w:szCs w:val="24"/>
      <w:lang w:val="en-NZ" w:eastAsia="ja-JP" w:bidi="ar-SA"/>
    </w:rPr>
  </w:style>
  <w:style w:type="character" w:customStyle="1" w:styleId="CommentTextChar">
    <w:name w:val="Comment Text Char"/>
    <w:basedOn w:val="DefaultParagraphFont"/>
    <w:link w:val="CommentText"/>
    <w:uiPriority w:val="99"/>
    <w:rsid w:val="000140A6"/>
    <w:rPr>
      <w:rFonts w:eastAsia="Times New Roman"/>
      <w:lang w:eastAsia="en-US" w:bidi="ar-SA"/>
    </w:rPr>
  </w:style>
  <w:style w:type="character" w:customStyle="1" w:styleId="Heading4Char">
    <w:name w:val="Heading 4 Char"/>
    <w:basedOn w:val="DefaultParagraphFont"/>
    <w:link w:val="Heading4"/>
    <w:uiPriority w:val="9"/>
    <w:rsid w:val="00077F19"/>
    <w:rPr>
      <w:rFonts w:asciiTheme="majorHAnsi" w:eastAsiaTheme="majorEastAsia" w:hAnsiTheme="majorHAnsi" w:cstheme="majorBidi"/>
      <w:b/>
      <w:bCs/>
      <w:i/>
      <w:iCs/>
      <w:color w:val="4F81BD" w:themeColor="accent1"/>
      <w:sz w:val="24"/>
      <w:szCs w:val="24"/>
      <w:lang w:eastAsia="en-US" w:bidi="ar-SA"/>
    </w:rPr>
  </w:style>
  <w:style w:type="character" w:customStyle="1" w:styleId="Heading1Char">
    <w:name w:val="Heading 1 Char"/>
    <w:aliases w:val="SC 1 Char"/>
    <w:basedOn w:val="DefaultParagraphFont"/>
    <w:link w:val="Heading1"/>
    <w:uiPriority w:val="9"/>
    <w:rsid w:val="00D954EC"/>
    <w:rPr>
      <w:rFonts w:ascii="Calibri" w:eastAsiaTheme="majorEastAsia" w:hAnsi="Calibri"/>
      <w:b/>
      <w:bCs/>
      <w:sz w:val="22"/>
      <w:szCs w:val="22"/>
      <w:lang w:val="en-NZ" w:eastAsia="en-US" w:bidi="ar-SA"/>
    </w:rPr>
  </w:style>
  <w:style w:type="character" w:customStyle="1" w:styleId="Heading3Char">
    <w:name w:val="Heading 3 Char"/>
    <w:basedOn w:val="DefaultParagraphFont"/>
    <w:link w:val="Heading3"/>
    <w:uiPriority w:val="9"/>
    <w:rsid w:val="00077F19"/>
    <w:rPr>
      <w:rFonts w:asciiTheme="majorHAnsi" w:eastAsiaTheme="majorEastAsia" w:hAnsiTheme="majorHAnsi" w:cstheme="majorBidi"/>
      <w:b/>
      <w:bCs/>
      <w:color w:val="4F81BD" w:themeColor="accent1"/>
      <w:sz w:val="24"/>
      <w:szCs w:val="24"/>
      <w:lang w:eastAsia="en-US" w:bidi="ar-SA"/>
    </w:rPr>
  </w:style>
  <w:style w:type="paragraph" w:styleId="BodyText3">
    <w:name w:val="Body Text 3"/>
    <w:basedOn w:val="Normal"/>
    <w:link w:val="BodyText3Char"/>
    <w:uiPriority w:val="99"/>
    <w:unhideWhenUsed/>
    <w:rsid w:val="00DC2440"/>
    <w:pPr>
      <w:spacing w:after="120" w:line="259" w:lineRule="auto"/>
    </w:pPr>
    <w:rPr>
      <w:rFonts w:asciiTheme="minorHAnsi" w:eastAsiaTheme="minorHAnsi" w:hAnsiTheme="minorHAnsi" w:cstheme="minorBidi"/>
      <w:sz w:val="16"/>
      <w:szCs w:val="16"/>
      <w:lang w:val="en-AU"/>
    </w:rPr>
  </w:style>
  <w:style w:type="character" w:customStyle="1" w:styleId="BodyText3Char">
    <w:name w:val="Body Text 3 Char"/>
    <w:basedOn w:val="DefaultParagraphFont"/>
    <w:link w:val="BodyText3"/>
    <w:uiPriority w:val="99"/>
    <w:rsid w:val="00DC2440"/>
    <w:rPr>
      <w:rFonts w:asciiTheme="minorHAnsi" w:eastAsiaTheme="minorHAnsi" w:hAnsiTheme="minorHAnsi" w:cstheme="minorBidi"/>
      <w:sz w:val="16"/>
      <w:szCs w:val="16"/>
      <w:lang w:val="en-AU" w:eastAsia="en-US" w:bidi="ar-SA"/>
    </w:rPr>
  </w:style>
  <w:style w:type="character" w:customStyle="1" w:styleId="FooterChar">
    <w:name w:val="Footer Char"/>
    <w:basedOn w:val="DefaultParagraphFont"/>
    <w:link w:val="Footer"/>
    <w:uiPriority w:val="99"/>
    <w:rsid w:val="00F74142"/>
    <w:rPr>
      <w:rFonts w:eastAsia="Times New Roman"/>
      <w:sz w:val="24"/>
      <w:szCs w:val="24"/>
      <w:lang w:val="en-GB" w:eastAsia="en-US" w:bidi="ar-SA"/>
    </w:rPr>
  </w:style>
  <w:style w:type="paragraph" w:customStyle="1" w:styleId="WCPFC">
    <w:name w:val="WCPFC"/>
    <w:link w:val="WCPFCChar"/>
    <w:qFormat/>
    <w:rsid w:val="003025F0"/>
    <w:pPr>
      <w:snapToGrid w:val="0"/>
      <w:ind w:left="360" w:hanging="360"/>
      <w:jc w:val="both"/>
    </w:pPr>
    <w:rPr>
      <w:rFonts w:eastAsiaTheme="minorEastAsia" w:cstheme="minorBidi"/>
      <w:color w:val="000000"/>
      <w:sz w:val="22"/>
      <w:szCs w:val="22"/>
      <w:lang w:val="en-NZ" w:eastAsia="en-NZ" w:bidi="ar-SA"/>
    </w:rPr>
  </w:style>
  <w:style w:type="character" w:customStyle="1" w:styleId="WCPFCChar">
    <w:name w:val="WCPFC Char"/>
    <w:basedOn w:val="DefaultChar"/>
    <w:link w:val="WCPFC"/>
    <w:rsid w:val="003025F0"/>
    <w:rPr>
      <w:rFonts w:eastAsiaTheme="minorEastAsia" w:cstheme="minorBidi"/>
      <w:color w:val="000000"/>
      <w:sz w:val="22"/>
      <w:szCs w:val="22"/>
      <w:lang w:val="en-NZ" w:eastAsia="en-NZ" w:bidi="ar-SA"/>
    </w:rPr>
  </w:style>
  <w:style w:type="character" w:customStyle="1" w:styleId="BalloonTextChar">
    <w:name w:val="Balloon Text Char"/>
    <w:basedOn w:val="DefaultParagraphFont"/>
    <w:link w:val="BalloonText"/>
    <w:uiPriority w:val="99"/>
    <w:semiHidden/>
    <w:rsid w:val="00AC5C5F"/>
    <w:rPr>
      <w:rFonts w:ascii="Tahoma" w:eastAsia="Times New Roman" w:hAnsi="Tahoma" w:cs="Tahoma"/>
      <w:sz w:val="16"/>
      <w:szCs w:val="16"/>
      <w:lang w:eastAsia="en-US" w:bidi="ar-SA"/>
    </w:rPr>
  </w:style>
  <w:style w:type="paragraph" w:styleId="NormalWeb">
    <w:name w:val="Normal (Web)"/>
    <w:basedOn w:val="Normal"/>
    <w:uiPriority w:val="99"/>
    <w:unhideWhenUsed/>
    <w:rsid w:val="0071470C"/>
    <w:pPr>
      <w:spacing w:before="100" w:beforeAutospacing="1" w:after="100" w:afterAutospacing="1"/>
    </w:pPr>
    <w:rPr>
      <w:lang w:eastAsia="ko-KR"/>
    </w:rPr>
  </w:style>
  <w:style w:type="character" w:customStyle="1" w:styleId="w8qarf">
    <w:name w:val="w8qarf"/>
    <w:basedOn w:val="DefaultParagraphFont"/>
    <w:rsid w:val="0025641A"/>
  </w:style>
  <w:style w:type="character" w:customStyle="1" w:styleId="lrzxr">
    <w:name w:val="lrzxr"/>
    <w:basedOn w:val="DefaultParagraphFont"/>
    <w:rsid w:val="0025641A"/>
  </w:style>
  <w:style w:type="paragraph" w:styleId="Revision">
    <w:name w:val="Revision"/>
    <w:hidden/>
    <w:uiPriority w:val="99"/>
    <w:semiHidden/>
    <w:rsid w:val="00DE76B6"/>
    <w:rPr>
      <w:rFonts w:eastAsia="Times New Roman"/>
      <w:sz w:val="24"/>
      <w:szCs w:val="24"/>
      <w:lang w:eastAsia="en-US" w:bidi="ar-SA"/>
    </w:rPr>
  </w:style>
  <w:style w:type="paragraph" w:styleId="NoSpacing">
    <w:name w:val="No Spacing"/>
    <w:uiPriority w:val="1"/>
    <w:qFormat/>
    <w:rsid w:val="00077F19"/>
    <w:rPr>
      <w:rFonts w:asciiTheme="minorHAnsi" w:eastAsiaTheme="minorHAnsi" w:hAnsiTheme="minorHAnsi" w:cstheme="minorBidi"/>
      <w:sz w:val="22"/>
      <w:szCs w:val="22"/>
      <w:lang w:val="en-PH" w:eastAsia="en-US" w:bidi="ar-SA"/>
    </w:rPr>
  </w:style>
  <w:style w:type="paragraph" w:customStyle="1" w:styleId="WP">
    <w:name w:val="WP"/>
    <w:basedOn w:val="Normal"/>
    <w:uiPriority w:val="99"/>
    <w:rsid w:val="00FD5C8D"/>
    <w:pPr>
      <w:keepLines/>
      <w:tabs>
        <w:tab w:val="left" w:pos="1021"/>
        <w:tab w:val="left" w:pos="1560"/>
        <w:tab w:val="left" w:pos="1588"/>
        <w:tab w:val="left" w:pos="1985"/>
      </w:tabs>
      <w:spacing w:before="240"/>
      <w:ind w:left="1588" w:hanging="1588"/>
      <w:jc w:val="both"/>
    </w:pPr>
    <w:rPr>
      <w:sz w:val="20"/>
      <w:szCs w:val="20"/>
      <w:lang w:val="en-GB"/>
    </w:rPr>
  </w:style>
  <w:style w:type="paragraph" w:customStyle="1" w:styleId="m-4158761630292766844briefpara">
    <w:name w:val="m_-4158761630292766844briefpara"/>
    <w:basedOn w:val="Normal"/>
    <w:rsid w:val="0098401C"/>
    <w:pPr>
      <w:spacing w:before="100" w:beforeAutospacing="1" w:after="100" w:afterAutospacing="1"/>
    </w:pPr>
  </w:style>
  <w:style w:type="paragraph" w:styleId="Caption">
    <w:name w:val="caption"/>
    <w:basedOn w:val="Normal"/>
    <w:next w:val="Normal"/>
    <w:link w:val="CaptionChar"/>
    <w:uiPriority w:val="35"/>
    <w:qFormat/>
    <w:rsid w:val="00077F19"/>
    <w:pPr>
      <w:jc w:val="center"/>
    </w:pPr>
    <w:rPr>
      <w:b/>
      <w:szCs w:val="20"/>
    </w:rPr>
  </w:style>
  <w:style w:type="character" w:customStyle="1" w:styleId="CaptionChar">
    <w:name w:val="Caption Char"/>
    <w:link w:val="Caption"/>
    <w:uiPriority w:val="35"/>
    <w:locked/>
    <w:rsid w:val="00077F19"/>
    <w:rPr>
      <w:rFonts w:eastAsia="Times New Roman"/>
      <w:b/>
      <w:sz w:val="22"/>
      <w:lang w:eastAsia="en-US" w:bidi="ar-SA"/>
    </w:rPr>
  </w:style>
  <w:style w:type="table" w:customStyle="1" w:styleId="TableGrid1">
    <w:name w:val="Table Grid1"/>
    <w:basedOn w:val="TableNormal"/>
    <w:next w:val="TableGrid"/>
    <w:rsid w:val="000232E7"/>
    <w:rPr>
      <w:rFonts w:eastAsia="Times New Roman"/>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cience1">
    <w:name w:val="Simple science 1"/>
    <w:basedOn w:val="TableNormal"/>
    <w:uiPriority w:val="99"/>
    <w:rsid w:val="00B172C6"/>
    <w:rPr>
      <w:rFonts w:ascii="Calibri" w:eastAsia="Calibri" w:hAnsi="Calibri"/>
      <w:sz w:val="22"/>
      <w:szCs w:val="22"/>
      <w:lang w:eastAsia="zh-CN" w:bidi="ar-SA"/>
    </w:rPr>
    <w:tblPr>
      <w:tblBorders>
        <w:bottom w:val="double" w:sz="4" w:space="0" w:color="000000"/>
      </w:tblBorders>
    </w:tblPr>
    <w:tblStylePr w:type="firstRow">
      <w:rPr>
        <w:b/>
      </w:rPr>
      <w:tblPr/>
      <w:tcPr>
        <w:tcBorders>
          <w:top w:val="double" w:sz="4" w:space="0" w:color="000000"/>
          <w:left w:val="nil"/>
          <w:bottom w:val="single" w:sz="4" w:space="0" w:color="000000"/>
          <w:right w:val="nil"/>
          <w:insideH w:val="nil"/>
          <w:insideV w:val="nil"/>
          <w:tl2br w:val="nil"/>
          <w:tr2bl w:val="nil"/>
        </w:tcBorders>
      </w:tcPr>
    </w:tblStylePr>
    <w:tblStylePr w:type="lastRow">
      <w:tblPr/>
      <w:tcPr>
        <w:tcBorders>
          <w:bottom w:val="double" w:sz="4" w:space="0" w:color="000000"/>
        </w:tcBorders>
      </w:tcPr>
    </w:tblStylePr>
  </w:style>
  <w:style w:type="paragraph" w:customStyle="1" w:styleId="m5034176475003679229briefpara">
    <w:name w:val="m_5034176475003679229briefpara"/>
    <w:basedOn w:val="Normal"/>
    <w:rsid w:val="0063255B"/>
    <w:pPr>
      <w:spacing w:before="100" w:beforeAutospacing="1" w:after="100" w:afterAutospacing="1"/>
    </w:pPr>
  </w:style>
  <w:style w:type="paragraph" w:customStyle="1" w:styleId="m5256710388491436337msolistparagraph">
    <w:name w:val="m_5256710388491436337msolistparagraph"/>
    <w:basedOn w:val="Normal"/>
    <w:rsid w:val="00436192"/>
    <w:pPr>
      <w:spacing w:before="100" w:beforeAutospacing="1" w:after="100" w:afterAutospacing="1"/>
    </w:pPr>
  </w:style>
  <w:style w:type="paragraph" w:customStyle="1" w:styleId="m-9168421834186174049briefpara">
    <w:name w:val="m_-9168421834186174049briefpara"/>
    <w:basedOn w:val="Normal"/>
    <w:rsid w:val="009A6093"/>
    <w:pPr>
      <w:spacing w:before="100" w:beforeAutospacing="1" w:after="100" w:afterAutospacing="1"/>
    </w:pPr>
  </w:style>
  <w:style w:type="table" w:customStyle="1" w:styleId="TableGrid2">
    <w:name w:val="Table Grid2"/>
    <w:basedOn w:val="TableNormal"/>
    <w:next w:val="TableGrid"/>
    <w:uiPriority w:val="39"/>
    <w:rsid w:val="002C5A25"/>
    <w:rPr>
      <w:rFonts w:ascii="Calibri" w:eastAsia="Yu Mincho" w:hAnsi="Calibri" w:cs="Calibri"/>
      <w:sz w:val="22"/>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92D88"/>
    <w:rPr>
      <w:color w:val="808080"/>
    </w:rPr>
  </w:style>
  <w:style w:type="character" w:customStyle="1" w:styleId="BodyTextChar">
    <w:name w:val="Body Text Char"/>
    <w:basedOn w:val="DefaultParagraphFont"/>
    <w:link w:val="BodyText"/>
    <w:rsid w:val="00077F19"/>
    <w:rPr>
      <w:rFonts w:eastAsia="Times New Roman"/>
      <w:sz w:val="24"/>
      <w:szCs w:val="24"/>
      <w:lang w:val="en-GB" w:eastAsia="en-US" w:bidi="ar-SA"/>
    </w:rPr>
  </w:style>
  <w:style w:type="paragraph" w:customStyle="1" w:styleId="TableParagraph">
    <w:name w:val="Table Paragraph"/>
    <w:basedOn w:val="Normal"/>
    <w:uiPriority w:val="1"/>
    <w:qFormat/>
    <w:rsid w:val="00077F19"/>
    <w:pPr>
      <w:widowControl w:val="0"/>
      <w:autoSpaceDE w:val="0"/>
      <w:autoSpaceDN w:val="0"/>
      <w:spacing w:line="247" w:lineRule="exact"/>
      <w:ind w:left="191"/>
    </w:pPr>
    <w:rPr>
      <w:szCs w:val="22"/>
    </w:rPr>
  </w:style>
  <w:style w:type="character" w:customStyle="1" w:styleId="fontstyle01">
    <w:name w:val="fontstyle01"/>
    <w:basedOn w:val="DefaultParagraphFont"/>
    <w:qFormat/>
    <w:rsid w:val="001B22F5"/>
    <w:rPr>
      <w:rFonts w:ascii="CMR10" w:hAnsi="CMR10" w:hint="default"/>
      <w:b w:val="0"/>
      <w:bCs w:val="0"/>
      <w:i w:val="0"/>
      <w:iCs w:val="0"/>
      <w:color w:val="008A73"/>
      <w:sz w:val="22"/>
      <w:szCs w:val="22"/>
    </w:rPr>
  </w:style>
  <w:style w:type="character" w:customStyle="1" w:styleId="fontstyle21">
    <w:name w:val="fontstyle21"/>
    <w:basedOn w:val="DefaultParagraphFont"/>
    <w:rsid w:val="001B22F5"/>
    <w:rPr>
      <w:rFonts w:ascii="CMTI10" w:hAnsi="CMTI10" w:hint="default"/>
      <w:b w:val="0"/>
      <w:bCs w:val="0"/>
      <w:i/>
      <w:iCs/>
      <w:color w:val="008A73"/>
      <w:sz w:val="22"/>
      <w:szCs w:val="22"/>
    </w:rPr>
  </w:style>
  <w:style w:type="character" w:customStyle="1" w:styleId="fontstyle31">
    <w:name w:val="fontstyle31"/>
    <w:basedOn w:val="DefaultParagraphFont"/>
    <w:rsid w:val="001B22F5"/>
    <w:rPr>
      <w:rFonts w:ascii="CMMI8" w:hAnsi="CMMI8" w:hint="default"/>
      <w:b w:val="0"/>
      <w:bCs w:val="0"/>
      <w:i/>
      <w:iCs/>
      <w:color w:val="008A73"/>
      <w:sz w:val="16"/>
      <w:szCs w:val="16"/>
    </w:rPr>
  </w:style>
  <w:style w:type="character" w:customStyle="1" w:styleId="fontstyle41">
    <w:name w:val="fontstyle41"/>
    <w:basedOn w:val="DefaultParagraphFont"/>
    <w:rsid w:val="001B22F5"/>
    <w:rPr>
      <w:rFonts w:ascii="CMMI10" w:hAnsi="CMMI10" w:hint="default"/>
      <w:b w:val="0"/>
      <w:bCs w:val="0"/>
      <w:i/>
      <w:iCs/>
      <w:color w:val="008A73"/>
      <w:sz w:val="22"/>
      <w:szCs w:val="22"/>
    </w:rPr>
  </w:style>
  <w:style w:type="character" w:customStyle="1" w:styleId="fontstyle51">
    <w:name w:val="fontstyle51"/>
    <w:basedOn w:val="DefaultParagraphFont"/>
    <w:rsid w:val="001B22F5"/>
    <w:rPr>
      <w:rFonts w:ascii="CMR8" w:hAnsi="CMR8" w:hint="default"/>
      <w:b w:val="0"/>
      <w:bCs w:val="0"/>
      <w:i w:val="0"/>
      <w:iCs w:val="0"/>
      <w:color w:val="008A73"/>
      <w:sz w:val="16"/>
      <w:szCs w:val="16"/>
    </w:rPr>
  </w:style>
  <w:style w:type="character" w:customStyle="1" w:styleId="fontstyle61">
    <w:name w:val="fontstyle61"/>
    <w:basedOn w:val="DefaultParagraphFont"/>
    <w:rsid w:val="001B22F5"/>
    <w:rPr>
      <w:rFonts w:ascii="CMR8" w:hAnsi="CMR8" w:hint="default"/>
      <w:b w:val="0"/>
      <w:bCs w:val="0"/>
      <w:i w:val="0"/>
      <w:iCs w:val="0"/>
      <w:color w:val="008A73"/>
      <w:sz w:val="16"/>
      <w:szCs w:val="16"/>
    </w:rPr>
  </w:style>
  <w:style w:type="table" w:customStyle="1" w:styleId="TableGrid3">
    <w:name w:val="Table Grid3"/>
    <w:basedOn w:val="TableNormal"/>
    <w:next w:val="TableGrid"/>
    <w:uiPriority w:val="39"/>
    <w:rsid w:val="00CB1BA6"/>
    <w:rPr>
      <w:rFonts w:eastAsia="MS Mincho"/>
      <w:kern w:val="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2669E4"/>
    <w:rPr>
      <w:rFonts w:eastAsia="MS PMincho"/>
      <w:kern w:val="2"/>
      <w:sz w:val="21"/>
      <w:szCs w:val="22"/>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implescience11">
    <w:name w:val="Simple science 11"/>
    <w:basedOn w:val="TableNormal"/>
    <w:uiPriority w:val="99"/>
    <w:rsid w:val="0041235F"/>
    <w:rPr>
      <w:rFonts w:ascii="Calibri" w:eastAsia="Calibri" w:hAnsi="Calibri"/>
      <w:lang w:eastAsia="zh-CN"/>
    </w:rPr>
    <w:tblPr>
      <w:tblBorders>
        <w:bottom w:val="double" w:sz="4" w:space="0" w:color="000000"/>
      </w:tblBorders>
    </w:tblPr>
    <w:tblStylePr w:type="firstRow">
      <w:rPr>
        <w:b/>
      </w:rPr>
      <w:tblPr/>
      <w:tcPr>
        <w:tcBorders>
          <w:top w:val="double" w:sz="4" w:space="0" w:color="000000"/>
          <w:left w:val="nil"/>
          <w:bottom w:val="single" w:sz="4" w:space="0" w:color="000000"/>
          <w:right w:val="nil"/>
          <w:insideH w:val="nil"/>
          <w:insideV w:val="nil"/>
          <w:tl2br w:val="nil"/>
          <w:tr2bl w:val="nil"/>
        </w:tcBorders>
      </w:tcPr>
    </w:tblStylePr>
    <w:tblStylePr w:type="lastRow">
      <w:tblPr/>
      <w:tcPr>
        <w:tcBorders>
          <w:bottom w:val="double" w:sz="4" w:space="0" w:color="000000"/>
        </w:tcBorders>
      </w:tcPr>
    </w:tblStylePr>
  </w:style>
  <w:style w:type="character" w:customStyle="1" w:styleId="CommentSubjectChar">
    <w:name w:val="Comment Subject Char"/>
    <w:basedOn w:val="CommentTextChar"/>
    <w:link w:val="CommentSubject"/>
    <w:uiPriority w:val="99"/>
    <w:semiHidden/>
    <w:rsid w:val="00BA4FCE"/>
    <w:rPr>
      <w:rFonts w:eastAsia="Times New Roman"/>
      <w:b/>
      <w:bCs/>
      <w:lang w:eastAsia="en-US" w:bidi="ar-SA"/>
    </w:rPr>
  </w:style>
  <w:style w:type="table" w:customStyle="1" w:styleId="TableGrid5">
    <w:name w:val="Table Grid5"/>
    <w:basedOn w:val="TableNormal"/>
    <w:next w:val="TableGrid"/>
    <w:uiPriority w:val="59"/>
    <w:rsid w:val="00BA4FCE"/>
    <w:rPr>
      <w:rFonts w:eastAsia="Times New Roman"/>
      <w:sz w:val="22"/>
      <w:szCs w:val="22"/>
      <w:lang w:val="en-A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3623038302119416282msonormal">
    <w:name w:val="m_-3623038302119416282msonormal"/>
    <w:basedOn w:val="Normal"/>
    <w:rsid w:val="00F17BC4"/>
    <w:pPr>
      <w:spacing w:before="100" w:beforeAutospacing="1" w:after="100" w:afterAutospacing="1"/>
    </w:pPr>
  </w:style>
  <w:style w:type="paragraph" w:styleId="TOCHeading">
    <w:name w:val="TOC Heading"/>
    <w:basedOn w:val="Heading1"/>
    <w:next w:val="Normal"/>
    <w:uiPriority w:val="39"/>
    <w:unhideWhenUsed/>
    <w:qFormat/>
    <w:rsid w:val="00235F75"/>
    <w:pPr>
      <w:outlineLvl w:val="9"/>
    </w:pPr>
  </w:style>
  <w:style w:type="paragraph" w:customStyle="1" w:styleId="SC2">
    <w:name w:val="SC 2"/>
    <w:basedOn w:val="Normal"/>
    <w:link w:val="SC2Char"/>
    <w:qFormat/>
    <w:rsid w:val="007437B2"/>
    <w:pPr>
      <w:keepNext/>
      <w:numPr>
        <w:ilvl w:val="1"/>
        <w:numId w:val="7"/>
      </w:numPr>
      <w:suppressLineNumbers/>
      <w:adjustRightInd w:val="0"/>
      <w:snapToGrid w:val="0"/>
      <w:spacing w:after="220"/>
      <w:jc w:val="both"/>
      <w:outlineLvl w:val="1"/>
    </w:pPr>
    <w:rPr>
      <w:b/>
      <w:szCs w:val="22"/>
    </w:rPr>
  </w:style>
  <w:style w:type="numbering" w:customStyle="1" w:styleId="SCList">
    <w:name w:val="SC List"/>
    <w:uiPriority w:val="99"/>
    <w:rsid w:val="00B56855"/>
  </w:style>
  <w:style w:type="character" w:customStyle="1" w:styleId="SC2Char">
    <w:name w:val="SC 2 Char"/>
    <w:basedOn w:val="DefaultParagraphFont"/>
    <w:link w:val="SC2"/>
    <w:rsid w:val="007437B2"/>
    <w:rPr>
      <w:rFonts w:ascii="Calibri" w:eastAsia="Times New Roman" w:hAnsi="Calibri"/>
      <w:b/>
      <w:sz w:val="22"/>
      <w:szCs w:val="22"/>
      <w:lang w:val="en-NZ" w:eastAsia="en-US" w:bidi="ar-SA"/>
    </w:rPr>
  </w:style>
  <w:style w:type="numbering" w:customStyle="1" w:styleId="Style1">
    <w:name w:val="Style1"/>
    <w:uiPriority w:val="99"/>
    <w:rsid w:val="00400689"/>
  </w:style>
  <w:style w:type="paragraph" w:customStyle="1" w:styleId="SC3">
    <w:name w:val="SC 3"/>
    <w:basedOn w:val="SC2"/>
    <w:link w:val="SC3Char"/>
    <w:qFormat/>
    <w:rsid w:val="00D161A3"/>
    <w:pPr>
      <w:numPr>
        <w:ilvl w:val="2"/>
      </w:numPr>
      <w:ind w:left="720" w:hanging="720"/>
      <w:outlineLvl w:val="2"/>
    </w:pPr>
    <w:rPr>
      <w:rFonts w:eastAsia="Batang"/>
      <w:lang w:eastAsia="ko-KR"/>
    </w:rPr>
  </w:style>
  <w:style w:type="paragraph" w:customStyle="1" w:styleId="SCa">
    <w:name w:val="SC a"/>
    <w:basedOn w:val="ListParagraph"/>
    <w:link w:val="SCaChar"/>
    <w:qFormat/>
    <w:rsid w:val="00F73262"/>
    <w:pPr>
      <w:tabs>
        <w:tab w:val="left" w:pos="1080"/>
      </w:tabs>
      <w:adjustRightInd w:val="0"/>
      <w:snapToGrid w:val="0"/>
      <w:spacing w:after="240"/>
      <w:ind w:left="1080"/>
      <w:jc w:val="both"/>
    </w:pPr>
    <w:rPr>
      <w:rFonts w:eastAsia="Batang"/>
      <w:b/>
      <w:szCs w:val="22"/>
      <w:lang w:eastAsia="ko-KR"/>
    </w:rPr>
  </w:style>
  <w:style w:type="character" w:customStyle="1" w:styleId="SC3Char">
    <w:name w:val="SC 3 Char"/>
    <w:basedOn w:val="SC2Char"/>
    <w:link w:val="SC3"/>
    <w:rsid w:val="00D161A3"/>
    <w:rPr>
      <w:rFonts w:ascii="Calibri" w:eastAsia="Times New Roman" w:hAnsi="Calibri"/>
      <w:b/>
      <w:sz w:val="22"/>
      <w:szCs w:val="22"/>
      <w:lang w:val="en-NZ" w:eastAsia="en-US" w:bidi="ar-SA"/>
    </w:rPr>
  </w:style>
  <w:style w:type="paragraph" w:customStyle="1" w:styleId="SCa1">
    <w:name w:val="SC a1"/>
    <w:basedOn w:val="SCa"/>
    <w:link w:val="SCa1Char"/>
    <w:qFormat/>
    <w:rsid w:val="00F93D03"/>
    <w:pPr>
      <w:numPr>
        <w:numId w:val="8"/>
      </w:numPr>
      <w:ind w:left="1440"/>
    </w:pPr>
  </w:style>
  <w:style w:type="character" w:customStyle="1" w:styleId="SCaChar">
    <w:name w:val="SC a Char"/>
    <w:basedOn w:val="ListParagraphChar"/>
    <w:link w:val="SCa"/>
    <w:rsid w:val="00510F75"/>
    <w:rPr>
      <w:rFonts w:eastAsia="Times New Roman"/>
      <w:b/>
      <w:sz w:val="22"/>
      <w:szCs w:val="22"/>
      <w:lang w:eastAsia="en-US" w:bidi="ar-SA"/>
    </w:rPr>
  </w:style>
  <w:style w:type="paragraph" w:customStyle="1" w:styleId="SC4">
    <w:name w:val="SC 4"/>
    <w:basedOn w:val="ListParagraph"/>
    <w:link w:val="SC4Char"/>
    <w:qFormat/>
    <w:rsid w:val="00DD1167"/>
    <w:pPr>
      <w:numPr>
        <w:ilvl w:val="3"/>
        <w:numId w:val="1"/>
      </w:numPr>
      <w:adjustRightInd w:val="0"/>
      <w:snapToGrid w:val="0"/>
      <w:spacing w:after="220"/>
      <w:jc w:val="both"/>
    </w:pPr>
    <w:rPr>
      <w:rFonts w:eastAsia="Batang"/>
      <w:b/>
      <w:szCs w:val="22"/>
      <w:lang w:eastAsia="ko-KR"/>
    </w:rPr>
  </w:style>
  <w:style w:type="character" w:customStyle="1" w:styleId="SCa1Char">
    <w:name w:val="SC a1 Char"/>
    <w:basedOn w:val="SCaChar"/>
    <w:link w:val="SCa1"/>
    <w:rsid w:val="00510F75"/>
    <w:rPr>
      <w:rFonts w:ascii="Calibri" w:eastAsia="Times New Roman" w:hAnsi="Calibri"/>
      <w:b/>
      <w:sz w:val="22"/>
      <w:szCs w:val="22"/>
      <w:lang w:val="en-NZ" w:eastAsia="en-US" w:bidi="ar-SA"/>
    </w:rPr>
  </w:style>
  <w:style w:type="paragraph" w:customStyle="1" w:styleId="HeaderFooter">
    <w:name w:val="Header &amp; Footer"/>
    <w:rsid w:val="00BA3E50"/>
    <w:pPr>
      <w:pBdr>
        <w:top w:val="nil"/>
        <w:left w:val="nil"/>
        <w:bottom w:val="nil"/>
        <w:right w:val="nil"/>
        <w:between w:val="nil"/>
        <w:bar w:val="nil"/>
      </w:pBdr>
      <w:tabs>
        <w:tab w:val="right" w:pos="9020"/>
      </w:tabs>
    </w:pPr>
    <w:rPr>
      <w:rFonts w:ascii="Helvetica" w:eastAsia="Arial Unicode MS" w:hAnsi="Helvetica" w:cs="Arial Unicode MS"/>
      <w:color w:val="000000"/>
      <w:sz w:val="24"/>
      <w:szCs w:val="24"/>
      <w:bdr w:val="nil"/>
      <w:lang w:eastAsia="en-US" w:bidi="ar-SA"/>
    </w:rPr>
  </w:style>
  <w:style w:type="character" w:customStyle="1" w:styleId="SC4Char">
    <w:name w:val="SC 4 Char"/>
    <w:basedOn w:val="ListParagraphChar"/>
    <w:link w:val="SC4"/>
    <w:rsid w:val="00510F75"/>
    <w:rPr>
      <w:rFonts w:ascii="Calibri" w:eastAsia="Times New Roman" w:hAnsi="Calibri"/>
      <w:b/>
      <w:sz w:val="22"/>
      <w:szCs w:val="22"/>
      <w:lang w:val="en-NZ" w:eastAsia="en-US" w:bidi="ar-SA"/>
    </w:rPr>
  </w:style>
  <w:style w:type="numbering" w:customStyle="1" w:styleId="ImportedStyle1">
    <w:name w:val="Imported Style 1"/>
    <w:rsid w:val="00BA3E50"/>
  </w:style>
  <w:style w:type="numbering" w:customStyle="1" w:styleId="ImportedStyle2">
    <w:name w:val="Imported Style 2"/>
    <w:rsid w:val="00BA3E50"/>
  </w:style>
  <w:style w:type="numbering" w:customStyle="1" w:styleId="ImportedStyle3">
    <w:name w:val="Imported Style 3"/>
    <w:rsid w:val="00BA3E50"/>
  </w:style>
  <w:style w:type="numbering" w:customStyle="1" w:styleId="ImportedStyle4">
    <w:name w:val="Imported Style 4"/>
    <w:rsid w:val="00BA3E50"/>
  </w:style>
  <w:style w:type="table" w:customStyle="1" w:styleId="TableGrid6">
    <w:name w:val="Table Grid6"/>
    <w:basedOn w:val="TableNormal"/>
    <w:next w:val="TableGrid"/>
    <w:uiPriority w:val="59"/>
    <w:rsid w:val="00BA3E50"/>
    <w:rPr>
      <w:rFonts w:ascii="Calibri" w:eastAsia="SimSun" w:hAnsi="Calibri"/>
      <w:sz w:val="22"/>
      <w:szCs w:val="22"/>
      <w:lang w:val="en-AU"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A3E50"/>
    <w:rPr>
      <w:rFonts w:eastAsia="SimSun" w:cs="Batang"/>
      <w:color w:val="000000"/>
      <w:sz w:val="22"/>
      <w:szCs w:val="22"/>
      <w:lang w:eastAsia="zh-CN"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1Left0">
    <w:name w:val="Style Heading 1 + Left:  0&quot;"/>
    <w:basedOn w:val="Heading1"/>
    <w:rsid w:val="00BA3E50"/>
    <w:pPr>
      <w:keepLines w:val="0"/>
      <w:numPr>
        <w:numId w:val="0"/>
      </w:numPr>
      <w:spacing w:before="240" w:after="60"/>
      <w:jc w:val="left"/>
    </w:pPr>
    <w:rPr>
      <w:rFonts w:ascii="Times New (W1)" w:eastAsia="Times New Roman" w:hAnsi="Times New (W1)"/>
      <w:caps/>
      <w:sz w:val="24"/>
      <w:szCs w:val="24"/>
    </w:rPr>
  </w:style>
  <w:style w:type="character" w:customStyle="1" w:styleId="HeaderChar">
    <w:name w:val="Header Char"/>
    <w:basedOn w:val="DefaultParagraphFont"/>
    <w:link w:val="Header"/>
    <w:uiPriority w:val="99"/>
    <w:rsid w:val="00BA3E50"/>
    <w:rPr>
      <w:rFonts w:eastAsia="Times New Roman"/>
      <w:sz w:val="24"/>
      <w:szCs w:val="24"/>
      <w:lang w:val="en-GB" w:eastAsia="en-US" w:bidi="ar-SA"/>
    </w:rPr>
  </w:style>
  <w:style w:type="table" w:customStyle="1" w:styleId="TableNormal1">
    <w:name w:val="Table Normal1"/>
    <w:uiPriority w:val="2"/>
    <w:semiHidden/>
    <w:unhideWhenUsed/>
    <w:qFormat/>
    <w:rsid w:val="00BA3E50"/>
    <w:pPr>
      <w:widowControl w:val="0"/>
      <w:autoSpaceDE w:val="0"/>
      <w:autoSpaceDN w:val="0"/>
    </w:pPr>
    <w:rPr>
      <w:rFonts w:ascii="Calibri" w:eastAsia="Calibri" w:hAnsi="Calibri" w:cs="Mongolian Baiti"/>
      <w:sz w:val="22"/>
      <w:szCs w:val="22"/>
      <w:lang w:eastAsia="en-US" w:bidi="ar-SA"/>
    </w:rPr>
    <w:tblPr>
      <w:tblInd w:w="0" w:type="dxa"/>
      <w:tblCellMar>
        <w:top w:w="0" w:type="dxa"/>
        <w:left w:w="0" w:type="dxa"/>
        <w:bottom w:w="0" w:type="dxa"/>
        <w:right w:w="0" w:type="dxa"/>
      </w:tblCellMar>
    </w:tblPr>
  </w:style>
  <w:style w:type="table" w:customStyle="1" w:styleId="TableGrid11">
    <w:name w:val="Table Grid11"/>
    <w:basedOn w:val="TableNormal"/>
    <w:next w:val="TableGrid"/>
    <w:uiPriority w:val="59"/>
    <w:rsid w:val="00BA3E50"/>
    <w:rPr>
      <w:rFonts w:eastAsia="Times New Roman"/>
      <w:color w:val="000000"/>
      <w:lang w:eastAsia="en-A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37274"/>
    <w:pPr>
      <w:spacing w:after="100"/>
    </w:pPr>
  </w:style>
  <w:style w:type="paragraph" w:styleId="TOC3">
    <w:name w:val="toc 3"/>
    <w:basedOn w:val="Normal"/>
    <w:next w:val="Normal"/>
    <w:autoRedefine/>
    <w:uiPriority w:val="39"/>
    <w:unhideWhenUsed/>
    <w:rsid w:val="00540A6E"/>
    <w:pPr>
      <w:spacing w:after="100"/>
      <w:ind w:left="480"/>
    </w:pPr>
  </w:style>
  <w:style w:type="character" w:customStyle="1" w:styleId="Heading5Char">
    <w:name w:val="Heading 5 Char"/>
    <w:basedOn w:val="DefaultParagraphFont"/>
    <w:link w:val="Heading5"/>
    <w:uiPriority w:val="9"/>
    <w:rsid w:val="00167860"/>
    <w:rPr>
      <w:rFonts w:ascii="Arial" w:hAnsi="Arial" w:cs="Arial"/>
      <w:b/>
      <w:bCs/>
      <w:lang w:eastAsia="en-US" w:bidi="ar-SA"/>
    </w:rPr>
  </w:style>
  <w:style w:type="character" w:customStyle="1" w:styleId="Heading6Char">
    <w:name w:val="Heading 6 Char"/>
    <w:basedOn w:val="DefaultParagraphFont"/>
    <w:link w:val="Heading6"/>
    <w:rsid w:val="00167860"/>
    <w:rPr>
      <w:rFonts w:ascii="Arial" w:hAnsi="Arial" w:cs="Arial"/>
      <w:b/>
      <w:color w:val="FF0000"/>
      <w:sz w:val="16"/>
      <w:lang w:eastAsia="en-US" w:bidi="ar-SA"/>
    </w:rPr>
  </w:style>
  <w:style w:type="character" w:customStyle="1" w:styleId="Heading7Char">
    <w:name w:val="Heading 7 Char"/>
    <w:basedOn w:val="DefaultParagraphFont"/>
    <w:link w:val="Heading7"/>
    <w:uiPriority w:val="9"/>
    <w:rsid w:val="00167860"/>
    <w:rPr>
      <w:rFonts w:ascii="Cambria" w:eastAsia="Times New Roman" w:hAnsi="Cambria"/>
      <w:i/>
      <w:iCs/>
      <w:color w:val="404040"/>
      <w:sz w:val="22"/>
      <w:szCs w:val="22"/>
      <w:lang w:val="en-NZ" w:eastAsia="en-US" w:bidi="ar-SA"/>
    </w:rPr>
  </w:style>
  <w:style w:type="character" w:customStyle="1" w:styleId="Heading8Char">
    <w:name w:val="Heading 8 Char"/>
    <w:basedOn w:val="DefaultParagraphFont"/>
    <w:link w:val="Heading8"/>
    <w:uiPriority w:val="9"/>
    <w:rsid w:val="00167860"/>
    <w:rPr>
      <w:rFonts w:ascii="Calibri" w:eastAsia="Times New Roman" w:hAnsi="Calibri"/>
      <w:i/>
      <w:iCs/>
      <w:sz w:val="24"/>
      <w:szCs w:val="24"/>
      <w:lang w:val="en-NZ" w:eastAsia="en-US" w:bidi="ar-SA"/>
    </w:rPr>
  </w:style>
  <w:style w:type="paragraph" w:customStyle="1" w:styleId="WCPFCSUBHEADING0">
    <w:name w:val="WCPFC SUBHEADING"/>
    <w:basedOn w:val="Normal"/>
    <w:link w:val="WCPFCSUBHEADINGChar"/>
    <w:autoRedefine/>
    <w:qFormat/>
    <w:rsid w:val="00167860"/>
    <w:pPr>
      <w:spacing w:after="240"/>
      <w:ind w:left="720" w:hanging="720"/>
      <w:jc w:val="both"/>
    </w:pPr>
    <w:rPr>
      <w:rFonts w:eastAsiaTheme="minorEastAsia"/>
      <w:b/>
      <w:szCs w:val="22"/>
    </w:rPr>
  </w:style>
  <w:style w:type="character" w:customStyle="1" w:styleId="WCPFCSUBHEADINGChar">
    <w:name w:val="WCPFC SUBHEADING Char"/>
    <w:link w:val="WCPFCSUBHEADING0"/>
    <w:rsid w:val="00167860"/>
    <w:rPr>
      <w:rFonts w:eastAsiaTheme="minorEastAsia"/>
      <w:b/>
      <w:sz w:val="22"/>
      <w:szCs w:val="22"/>
      <w:lang w:val="en-NZ" w:eastAsia="en-US" w:bidi="ar-SA"/>
    </w:rPr>
  </w:style>
  <w:style w:type="paragraph" w:customStyle="1" w:styleId="wcpfcsubheading">
    <w:name w:val="wcpfc subheading"/>
    <w:basedOn w:val="ListParagraph"/>
    <w:link w:val="wcpfcsubheadingChar0"/>
    <w:qFormat/>
    <w:rsid w:val="00167860"/>
    <w:pPr>
      <w:numPr>
        <w:ilvl w:val="2"/>
        <w:numId w:val="13"/>
      </w:numPr>
      <w:adjustRightInd w:val="0"/>
      <w:snapToGrid w:val="0"/>
      <w:contextualSpacing/>
      <w:jc w:val="both"/>
    </w:pPr>
    <w:rPr>
      <w:rFonts w:eastAsia="Batang"/>
      <w:b/>
      <w:bCs/>
      <w:szCs w:val="22"/>
      <w:lang w:eastAsia="ko-KR"/>
    </w:rPr>
  </w:style>
  <w:style w:type="character" w:customStyle="1" w:styleId="wcpfcsubheadingChar0">
    <w:name w:val="wcpfc subheading Char"/>
    <w:link w:val="wcpfcsubheading"/>
    <w:rsid w:val="00167860"/>
    <w:rPr>
      <w:rFonts w:ascii="Calibri" w:hAnsi="Calibri"/>
      <w:b/>
      <w:bCs/>
      <w:sz w:val="22"/>
      <w:szCs w:val="22"/>
      <w:lang w:val="en-NZ" w:bidi="ar-SA"/>
    </w:rPr>
  </w:style>
  <w:style w:type="paragraph" w:styleId="TOC2">
    <w:name w:val="toc 2"/>
    <w:basedOn w:val="Normal"/>
    <w:next w:val="Normal"/>
    <w:autoRedefine/>
    <w:uiPriority w:val="39"/>
    <w:unhideWhenUsed/>
    <w:rsid w:val="00167860"/>
    <w:pPr>
      <w:spacing w:after="240"/>
      <w:ind w:left="220"/>
      <w:jc w:val="both"/>
    </w:pPr>
    <w:rPr>
      <w:rFonts w:eastAsiaTheme="minorEastAsia"/>
      <w:szCs w:val="22"/>
    </w:rPr>
  </w:style>
  <w:style w:type="character" w:customStyle="1" w:styleId="Mention1">
    <w:name w:val="Mention1"/>
    <w:basedOn w:val="DefaultParagraphFont"/>
    <w:uiPriority w:val="99"/>
    <w:semiHidden/>
    <w:unhideWhenUsed/>
    <w:rsid w:val="00167860"/>
    <w:rPr>
      <w:color w:val="2B579A"/>
      <w:shd w:val="clear" w:color="auto" w:fill="E6E6E6"/>
    </w:rPr>
  </w:style>
  <w:style w:type="character" w:customStyle="1" w:styleId="bumpedfont15">
    <w:name w:val="bumpedfont15"/>
    <w:basedOn w:val="DefaultParagraphFont"/>
    <w:rsid w:val="00167860"/>
  </w:style>
  <w:style w:type="character" w:customStyle="1" w:styleId="DocumentMapChar">
    <w:name w:val="Document Map Char"/>
    <w:basedOn w:val="DefaultParagraphFont"/>
    <w:link w:val="DocumentMap"/>
    <w:semiHidden/>
    <w:rsid w:val="00167860"/>
    <w:rPr>
      <w:rFonts w:ascii="Tahoma" w:hAnsi="Tahoma"/>
      <w:shd w:val="clear" w:color="auto" w:fill="000080"/>
    </w:rPr>
  </w:style>
  <w:style w:type="paragraph" w:styleId="DocumentMap">
    <w:name w:val="Document Map"/>
    <w:basedOn w:val="Normal"/>
    <w:link w:val="DocumentMapChar"/>
    <w:semiHidden/>
    <w:rsid w:val="00167860"/>
    <w:pPr>
      <w:shd w:val="clear" w:color="auto" w:fill="000080"/>
    </w:pPr>
    <w:rPr>
      <w:rFonts w:ascii="Tahoma" w:eastAsia="Batang" w:hAnsi="Tahoma"/>
      <w:sz w:val="20"/>
      <w:szCs w:val="20"/>
      <w:lang w:eastAsia="ko-KR" w:bidi="th-TH"/>
    </w:rPr>
  </w:style>
  <w:style w:type="character" w:customStyle="1" w:styleId="DocumentMapChar1">
    <w:name w:val="Document Map Char1"/>
    <w:basedOn w:val="DefaultParagraphFont"/>
    <w:uiPriority w:val="99"/>
    <w:semiHidden/>
    <w:rsid w:val="00167860"/>
    <w:rPr>
      <w:rFonts w:ascii="Tahoma" w:eastAsia="Times New Roman" w:hAnsi="Tahoma" w:cs="Tahoma"/>
      <w:sz w:val="16"/>
      <w:szCs w:val="16"/>
      <w:lang w:eastAsia="en-US" w:bidi="ar-SA"/>
    </w:rPr>
  </w:style>
  <w:style w:type="character" w:styleId="Strong">
    <w:name w:val="Strong"/>
    <w:uiPriority w:val="22"/>
    <w:qFormat/>
    <w:rsid w:val="00167860"/>
    <w:rPr>
      <w:b/>
      <w:bCs/>
    </w:rPr>
  </w:style>
  <w:style w:type="character" w:customStyle="1" w:styleId="PlainTextChar1">
    <w:name w:val="Plain Text Char1"/>
    <w:basedOn w:val="DefaultParagraphFont"/>
    <w:uiPriority w:val="99"/>
    <w:semiHidden/>
    <w:rsid w:val="00167860"/>
    <w:rPr>
      <w:rFonts w:ascii="Consolas" w:hAnsi="Consolas" w:cs="Consolas"/>
      <w:sz w:val="21"/>
      <w:szCs w:val="21"/>
      <w:lang w:val="en-NZ" w:eastAsia="en-US"/>
    </w:rPr>
  </w:style>
  <w:style w:type="paragraph" w:customStyle="1" w:styleId="SCCHeading1">
    <w:name w:val="SCC Heading 1"/>
    <w:basedOn w:val="Normal"/>
    <w:qFormat/>
    <w:rsid w:val="00167860"/>
    <w:pPr>
      <w:numPr>
        <w:numId w:val="14"/>
      </w:numPr>
      <w:spacing w:before="200" w:after="200"/>
      <w:ind w:right="677" w:hanging="720"/>
    </w:pPr>
    <w:rPr>
      <w:rFonts w:asciiTheme="majorHAnsi" w:eastAsia="MS Mincho" w:hAnsiTheme="majorHAnsi"/>
      <w:b/>
      <w:sz w:val="28"/>
      <w:szCs w:val="28"/>
      <w:lang w:val="en-GB" w:eastAsia="ja-JP"/>
    </w:rPr>
  </w:style>
  <w:style w:type="paragraph" w:customStyle="1" w:styleId="SCCHeading2">
    <w:name w:val="SCC Heading 2"/>
    <w:basedOn w:val="Normal"/>
    <w:qFormat/>
    <w:rsid w:val="00167860"/>
    <w:pPr>
      <w:numPr>
        <w:ilvl w:val="1"/>
        <w:numId w:val="14"/>
      </w:numPr>
      <w:ind w:left="720" w:right="675"/>
    </w:pPr>
    <w:rPr>
      <w:rFonts w:ascii="Cambria" w:eastAsia="MS Mincho" w:hAnsi="Cambria"/>
      <w:b/>
      <w:lang w:val="en-GB" w:eastAsia="ja-JP"/>
    </w:rPr>
  </w:style>
  <w:style w:type="paragraph" w:customStyle="1" w:styleId="SCCHeading3">
    <w:name w:val="SCC Heading 3"/>
    <w:basedOn w:val="SCCHeading2"/>
    <w:qFormat/>
    <w:rsid w:val="00167860"/>
    <w:pPr>
      <w:numPr>
        <w:ilvl w:val="2"/>
      </w:numPr>
      <w:ind w:hanging="1080"/>
    </w:pPr>
    <w:rPr>
      <w:i/>
    </w:rPr>
  </w:style>
  <w:style w:type="table" w:customStyle="1" w:styleId="PlainTable41">
    <w:name w:val="Plain Table 41"/>
    <w:basedOn w:val="TableNormal"/>
    <w:uiPriority w:val="44"/>
    <w:rsid w:val="001245DB"/>
    <w:rPr>
      <w:rFonts w:ascii="Cambria" w:eastAsia="MS Mincho" w:hAnsi="Cambria" w:cs="Cambria"/>
      <w:color w:val="000000"/>
      <w:sz w:val="24"/>
      <w:szCs w:val="24"/>
      <w:lang w:eastAsia="en-US" w:bidi="ar-SA"/>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C5">
    <w:name w:val="SC5"/>
    <w:basedOn w:val="Normal"/>
    <w:qFormat/>
    <w:rsid w:val="004E6EE7"/>
    <w:pPr>
      <w:numPr>
        <w:numId w:val="15"/>
      </w:numPr>
      <w:autoSpaceDE w:val="0"/>
      <w:autoSpaceDN w:val="0"/>
      <w:adjustRightInd w:val="0"/>
      <w:snapToGrid w:val="0"/>
      <w:jc w:val="both"/>
    </w:pPr>
    <w:rPr>
      <w:rFonts w:eastAsia="Batang"/>
    </w:rPr>
  </w:style>
  <w:style w:type="paragraph" w:customStyle="1" w:styleId="WCPFCText">
    <w:name w:val="WCPFC Text"/>
    <w:basedOn w:val="ListParagraph"/>
    <w:qFormat/>
    <w:rsid w:val="006D2C12"/>
    <w:pPr>
      <w:numPr>
        <w:numId w:val="16"/>
      </w:numPr>
      <w:tabs>
        <w:tab w:val="num" w:pos="360"/>
        <w:tab w:val="left" w:pos="540"/>
        <w:tab w:val="left" w:pos="630"/>
      </w:tabs>
      <w:spacing w:after="240"/>
      <w:ind w:left="0" w:firstLine="0"/>
      <w:jc w:val="both"/>
    </w:pPr>
    <w:rPr>
      <w:color w:val="000000"/>
      <w:szCs w:val="22"/>
    </w:rPr>
  </w:style>
  <w:style w:type="character" w:customStyle="1" w:styleId="UnresolvedMention1">
    <w:name w:val="Unresolved Mention1"/>
    <w:basedOn w:val="DefaultParagraphFont"/>
    <w:uiPriority w:val="99"/>
    <w:semiHidden/>
    <w:unhideWhenUsed/>
    <w:rsid w:val="00EB3DC5"/>
    <w:rPr>
      <w:color w:val="605E5C"/>
      <w:shd w:val="clear" w:color="auto" w:fill="E1DFDD"/>
    </w:rPr>
  </w:style>
  <w:style w:type="character" w:customStyle="1" w:styleId="UnresolvedMention2">
    <w:name w:val="Unresolved Mention2"/>
    <w:basedOn w:val="DefaultParagraphFont"/>
    <w:uiPriority w:val="99"/>
    <w:semiHidden/>
    <w:unhideWhenUsed/>
    <w:rsid w:val="00592547"/>
    <w:rPr>
      <w:color w:val="605E5C"/>
      <w:shd w:val="clear" w:color="auto" w:fill="E1DFDD"/>
    </w:rPr>
  </w:style>
  <w:style w:type="table" w:customStyle="1" w:styleId="TableGrid8">
    <w:name w:val="Table Grid8"/>
    <w:basedOn w:val="TableNormal"/>
    <w:next w:val="TableGrid"/>
    <w:uiPriority w:val="59"/>
    <w:rsid w:val="00A35EDC"/>
    <w:rPr>
      <w:rFonts w:eastAsia="Times New Roman"/>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5279DC"/>
    <w:rPr>
      <w:rFonts w:asciiTheme="minorHAnsi" w:eastAsiaTheme="minorEastAsia" w:hAnsiTheme="minorHAnsi" w:cstheme="minorBidi"/>
      <w:sz w:val="22"/>
      <w:szCs w:val="22"/>
      <w:lang w:eastAsia="en-US" w:bidi="ar-SA"/>
    </w:rPr>
    <w:tblPr>
      <w:tblCellMar>
        <w:top w:w="0" w:type="dxa"/>
        <w:left w:w="0" w:type="dxa"/>
        <w:bottom w:w="0" w:type="dxa"/>
        <w:right w:w="0" w:type="dxa"/>
      </w:tblCellMar>
    </w:tblPr>
  </w:style>
  <w:style w:type="paragraph" w:customStyle="1" w:styleId="StyleSC2After0pt">
    <w:name w:val="Style SC 2 + After:  0 pt"/>
    <w:basedOn w:val="Heading1"/>
    <w:rsid w:val="00A6371F"/>
    <w:pPr>
      <w:spacing w:after="0"/>
    </w:pPr>
    <w:rPr>
      <w:bCs w:val="0"/>
      <w:szCs w:val="20"/>
    </w:rPr>
  </w:style>
  <w:style w:type="numbering" w:customStyle="1" w:styleId="Style2">
    <w:name w:val="Style2"/>
    <w:uiPriority w:val="99"/>
    <w:rsid w:val="008E304C"/>
  </w:style>
  <w:style w:type="paragraph" w:customStyle="1" w:styleId="StyleWCPFCAuto">
    <w:name w:val="Style WCPFC + Auto"/>
    <w:basedOn w:val="WCPFC"/>
    <w:rsid w:val="00082D38"/>
    <w:rPr>
      <w:color w:val="auto"/>
    </w:rPr>
  </w:style>
  <w:style w:type="paragraph" w:customStyle="1" w:styleId="SCtext">
    <w:name w:val="SC text"/>
    <w:basedOn w:val="Normal"/>
    <w:rsid w:val="00B43287"/>
    <w:pPr>
      <w:numPr>
        <w:numId w:val="23"/>
      </w:numPr>
      <w:autoSpaceDE w:val="0"/>
      <w:autoSpaceDN w:val="0"/>
      <w:adjustRightInd w:val="0"/>
      <w:snapToGrid w:val="0"/>
      <w:ind w:left="0" w:firstLine="0"/>
      <w:jc w:val="both"/>
    </w:pPr>
    <w:rPr>
      <w:rFonts w:eastAsiaTheme="minorEastAsia"/>
      <w:szCs w:val="22"/>
      <w:lang w:val="en-AU" w:eastAsia="ko-KR"/>
    </w:rPr>
  </w:style>
  <w:style w:type="character" w:customStyle="1" w:styleId="apple-style-span">
    <w:name w:val="apple-style-span"/>
    <w:basedOn w:val="DefaultParagraphFont"/>
    <w:rsid w:val="00407E89"/>
  </w:style>
  <w:style w:type="paragraph" w:customStyle="1" w:styleId="footnotedescription">
    <w:name w:val="footnote description"/>
    <w:next w:val="Normal"/>
    <w:link w:val="footnotedescriptionChar"/>
    <w:hidden/>
    <w:rsid w:val="00086265"/>
    <w:pPr>
      <w:spacing w:line="245" w:lineRule="auto"/>
      <w:ind w:left="24" w:right="12" w:hanging="10"/>
      <w:jc w:val="both"/>
    </w:pPr>
    <w:rPr>
      <w:rFonts w:eastAsia="Times New Roman"/>
      <w:color w:val="000000"/>
      <w:sz w:val="18"/>
      <w:szCs w:val="22"/>
      <w:lang w:eastAsia="en-US" w:bidi="ar-SA"/>
    </w:rPr>
  </w:style>
  <w:style w:type="character" w:customStyle="1" w:styleId="footnotedescriptionChar">
    <w:name w:val="footnote description Char"/>
    <w:link w:val="footnotedescription"/>
    <w:rsid w:val="00086265"/>
    <w:rPr>
      <w:rFonts w:eastAsia="Times New Roman"/>
      <w:color w:val="000000"/>
      <w:sz w:val="18"/>
      <w:szCs w:val="22"/>
      <w:lang w:eastAsia="en-US" w:bidi="ar-SA"/>
    </w:rPr>
  </w:style>
  <w:style w:type="character" w:customStyle="1" w:styleId="footnotemark">
    <w:name w:val="footnote mark"/>
    <w:hidden/>
    <w:rsid w:val="00086265"/>
    <w:rPr>
      <w:rFonts w:ascii="Times New Roman" w:eastAsia="Times New Roman" w:hAnsi="Times New Roman" w:cs="Times New Roman"/>
      <w:color w:val="000000"/>
      <w:sz w:val="18"/>
      <w:vertAlign w:val="superscript"/>
    </w:rPr>
  </w:style>
  <w:style w:type="paragraph" w:customStyle="1" w:styleId="footnotedescription1">
    <w:name w:val="footnote description1"/>
    <w:next w:val="Normal"/>
    <w:hidden/>
    <w:rsid w:val="00C243CB"/>
    <w:pPr>
      <w:spacing w:line="245" w:lineRule="auto"/>
      <w:ind w:left="24" w:right="12" w:hanging="10"/>
      <w:jc w:val="both"/>
    </w:pPr>
    <w:rPr>
      <w:rFonts w:eastAsia="Times New Roman"/>
      <w:color w:val="000000"/>
      <w:sz w:val="18"/>
      <w:szCs w:val="22"/>
      <w:lang w:eastAsia="en-US" w:bidi="ar-SA"/>
    </w:rPr>
  </w:style>
  <w:style w:type="character" w:customStyle="1" w:styleId="footnotedescriptionChar1">
    <w:name w:val="footnote description Char1"/>
    <w:rsid w:val="00C243CB"/>
    <w:rPr>
      <w:rFonts w:ascii="Times New Roman" w:eastAsia="Times New Roman" w:hAnsi="Times New Roman" w:cs="Times New Roman"/>
      <w:color w:val="000000"/>
      <w:sz w:val="18"/>
    </w:rPr>
  </w:style>
  <w:style w:type="character" w:customStyle="1" w:styleId="Heading1Char1">
    <w:name w:val="Heading 1 Char1"/>
    <w:rsid w:val="00C243CB"/>
    <w:rPr>
      <w:rFonts w:ascii="Times New Roman" w:eastAsia="Times New Roman" w:hAnsi="Times New Roman" w:cs="Times New Roman"/>
      <w:b/>
      <w:color w:val="000000"/>
      <w:sz w:val="22"/>
    </w:rPr>
  </w:style>
  <w:style w:type="table" w:customStyle="1" w:styleId="TableGrid10">
    <w:name w:val="TableGrid1"/>
    <w:rsid w:val="00C243CB"/>
    <w:rPr>
      <w:rFonts w:asciiTheme="minorHAnsi" w:eastAsiaTheme="minorEastAsia" w:hAnsiTheme="minorHAnsi" w:cstheme="minorBidi"/>
      <w:sz w:val="22"/>
      <w:szCs w:val="22"/>
      <w:lang w:eastAsia="en-US" w:bidi="ar-SA"/>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E60E68"/>
    <w:rPr>
      <w:color w:val="605E5C"/>
      <w:shd w:val="clear" w:color="auto" w:fill="E1DFDD"/>
    </w:rPr>
  </w:style>
  <w:style w:type="paragraph" w:customStyle="1" w:styleId="NumberedPara">
    <w:name w:val="Numbered Para"/>
    <w:basedOn w:val="Normal"/>
    <w:qFormat/>
    <w:rsid w:val="004C0B3B"/>
    <w:pPr>
      <w:numPr>
        <w:numId w:val="18"/>
      </w:numPr>
    </w:pPr>
    <w:rPr>
      <w:color w:val="000000"/>
      <w:szCs w:val="22"/>
    </w:rPr>
  </w:style>
  <w:style w:type="character" w:customStyle="1" w:styleId="filename">
    <w:name w:val="filename"/>
    <w:basedOn w:val="DefaultParagraphFont"/>
    <w:rsid w:val="004C0B3B"/>
  </w:style>
  <w:style w:type="character" w:customStyle="1" w:styleId="informations">
    <w:name w:val="informations"/>
    <w:basedOn w:val="DefaultParagraphFont"/>
    <w:rsid w:val="004C0B3B"/>
  </w:style>
  <w:style w:type="table" w:customStyle="1" w:styleId="TableGrid00">
    <w:name w:val="Table Grid0"/>
    <w:basedOn w:val="TableNormal"/>
    <w:uiPriority w:val="39"/>
    <w:rsid w:val="004C0B3B"/>
    <w:rPr>
      <w:rFonts w:ascii="Calibri" w:eastAsia="Times New Roman" w:hAnsi="Calibri"/>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8B503C"/>
    <w:pPr>
      <w:spacing w:before="100" w:beforeAutospacing="1" w:after="100" w:afterAutospacing="1"/>
    </w:pPr>
    <w:rPr>
      <w:lang w:eastAsia="ko-KR"/>
    </w:rPr>
  </w:style>
  <w:style w:type="paragraph" w:customStyle="1" w:styleId="xl63">
    <w:name w:val="xl63"/>
    <w:basedOn w:val="Normal"/>
    <w:rsid w:val="008B503C"/>
    <w:pPr>
      <w:spacing w:before="100" w:beforeAutospacing="1" w:after="100" w:afterAutospacing="1"/>
      <w:jc w:val="center"/>
    </w:pPr>
    <w:rPr>
      <w:lang w:eastAsia="ko-KR"/>
    </w:rPr>
  </w:style>
  <w:style w:type="paragraph" w:customStyle="1" w:styleId="xl64">
    <w:name w:val="xl64"/>
    <w:basedOn w:val="Normal"/>
    <w:rsid w:val="008B503C"/>
    <w:pPr>
      <w:spacing w:before="100" w:beforeAutospacing="1" w:after="100" w:afterAutospacing="1"/>
    </w:pPr>
    <w:rPr>
      <w:b/>
      <w:bCs/>
      <w:lang w:eastAsia="ko-KR"/>
    </w:rPr>
  </w:style>
  <w:style w:type="character" w:customStyle="1" w:styleId="Heading9Char">
    <w:name w:val="Heading 9 Char"/>
    <w:basedOn w:val="DefaultParagraphFont"/>
    <w:link w:val="Heading9"/>
    <w:uiPriority w:val="9"/>
    <w:semiHidden/>
    <w:rsid w:val="0077252E"/>
    <w:rPr>
      <w:rFonts w:asciiTheme="majorHAnsi" w:eastAsiaTheme="majorEastAsia" w:hAnsiTheme="majorHAnsi" w:cstheme="majorBidi"/>
      <w:sz w:val="22"/>
      <w:szCs w:val="22"/>
      <w:lang w:eastAsia="en-US" w:bidi="ar-SA"/>
    </w:rPr>
  </w:style>
  <w:style w:type="paragraph" w:customStyle="1" w:styleId="wp0">
    <w:name w:val="wp0"/>
    <w:basedOn w:val="Normal"/>
    <w:rsid w:val="0077252E"/>
    <w:pPr>
      <w:spacing w:before="240"/>
      <w:ind w:left="1588" w:hanging="1588"/>
      <w:jc w:val="both"/>
    </w:pPr>
    <w:rPr>
      <w:rFonts w:eastAsia="SimSun"/>
      <w:sz w:val="20"/>
      <w:szCs w:val="20"/>
      <w:lang w:eastAsia="zh-CN"/>
    </w:rPr>
  </w:style>
  <w:style w:type="paragraph" w:customStyle="1" w:styleId="SCNumberedText">
    <w:name w:val="SC Numbered Text"/>
    <w:basedOn w:val="ListParagraph"/>
    <w:qFormat/>
    <w:rsid w:val="0035342F"/>
    <w:pPr>
      <w:tabs>
        <w:tab w:val="left" w:pos="0"/>
      </w:tabs>
      <w:kinsoku w:val="0"/>
      <w:overflowPunct w:val="0"/>
      <w:autoSpaceDE w:val="0"/>
      <w:autoSpaceDN w:val="0"/>
      <w:adjustRightInd w:val="0"/>
      <w:snapToGrid w:val="0"/>
      <w:ind w:left="0"/>
      <w:jc w:val="both"/>
    </w:pPr>
    <w:rPr>
      <w:rFonts w:eastAsiaTheme="minorEastAsia"/>
      <w:bCs/>
      <w:szCs w:val="22"/>
      <w:u w:color="000000"/>
      <w:lang w:val="en-AU" w:eastAsia="ko-KR"/>
    </w:rPr>
  </w:style>
  <w:style w:type="character" w:customStyle="1" w:styleId="relative">
    <w:name w:val="relative"/>
    <w:basedOn w:val="DefaultParagraphFont"/>
    <w:rsid w:val="0035342F"/>
  </w:style>
  <w:style w:type="paragraph" w:customStyle="1" w:styleId="WCPFCnormal">
    <w:name w:val="WCPFC normal"/>
    <w:basedOn w:val="Normal"/>
    <w:next w:val="SCtext"/>
    <w:link w:val="WCPFCnormalChar"/>
    <w:qFormat/>
    <w:rsid w:val="00FC2CDB"/>
    <w:pPr>
      <w:numPr>
        <w:numId w:val="19"/>
      </w:numPr>
      <w:spacing w:after="120"/>
      <w:ind w:left="763"/>
      <w:contextualSpacing/>
      <w:jc w:val="both"/>
    </w:pPr>
    <w:rPr>
      <w:rFonts w:eastAsiaTheme="minorHAnsi" w:cstheme="minorBidi"/>
      <w:kern w:val="2"/>
      <w:szCs w:val="22"/>
      <w:lang w:val="en-GB"/>
      <w14:ligatures w14:val="standardContextual"/>
    </w:rPr>
  </w:style>
  <w:style w:type="character" w:customStyle="1" w:styleId="WCPFCnormalChar">
    <w:name w:val="WCPFC normal Char"/>
    <w:basedOn w:val="DefaultParagraphFont"/>
    <w:link w:val="WCPFCnormal"/>
    <w:rsid w:val="00FC2CDB"/>
    <w:rPr>
      <w:rFonts w:ascii="Calibri" w:eastAsiaTheme="minorHAnsi" w:hAnsi="Calibri" w:cstheme="minorBidi"/>
      <w:kern w:val="2"/>
      <w:sz w:val="22"/>
      <w:szCs w:val="22"/>
      <w:lang w:val="en-GB" w:eastAsia="en-US" w:bidi="ar-SA"/>
      <w14:ligatures w14:val="standardContextual"/>
    </w:rPr>
  </w:style>
  <w:style w:type="paragraph" w:customStyle="1" w:styleId="TextTTMW">
    <w:name w:val="Text TTMW"/>
    <w:basedOn w:val="Normal"/>
    <w:qFormat/>
    <w:rsid w:val="006D3FCD"/>
    <w:pPr>
      <w:numPr>
        <w:numId w:val="22"/>
      </w:numPr>
      <w:spacing w:after="240"/>
    </w:pPr>
    <w:rPr>
      <w:rFonts w:eastAsia="Arial"/>
      <w:color w:val="000000"/>
      <w:kern w:val="2"/>
      <w:szCs w:val="22"/>
      <w14:ligatures w14:val="standardContextual"/>
    </w:rPr>
  </w:style>
  <w:style w:type="paragraph" w:customStyle="1" w:styleId="m-1638656837096722453m-6115065454435322577msolistparagraph">
    <w:name w:val="m_-1638656837096722453m-6115065454435322577msolistparagraph"/>
    <w:basedOn w:val="Normal"/>
    <w:rsid w:val="00722A05"/>
    <w:pPr>
      <w:spacing w:before="100" w:beforeAutospacing="1" w:after="100" w:afterAutospacing="1"/>
    </w:pPr>
  </w:style>
  <w:style w:type="character" w:customStyle="1" w:styleId="screenreaderfriendlyhiddentag-456">
    <w:name w:val="screenreaderfriendlyhiddentag-456"/>
    <w:basedOn w:val="DefaultParagraphFont"/>
    <w:rsid w:val="001F4E97"/>
  </w:style>
  <w:style w:type="paragraph" w:customStyle="1" w:styleId="SCDR">
    <w:name w:val="SC DR"/>
    <w:basedOn w:val="Normal"/>
    <w:qFormat/>
    <w:rsid w:val="001E3CE1"/>
    <w:pPr>
      <w:keepNext/>
      <w:spacing w:after="120"/>
    </w:pPr>
    <w:rPr>
      <w:rFonts w:eastAsiaTheme="minorEastAsia"/>
      <w:b/>
    </w:rPr>
  </w:style>
  <w:style w:type="paragraph" w:customStyle="1" w:styleId="p1">
    <w:name w:val="p1"/>
    <w:basedOn w:val="Normal"/>
    <w:rsid w:val="00310646"/>
    <w:rPr>
      <w:rFonts w:ascii="Helvetica" w:eastAsia="MS PGothic" w:hAnsi="Helvetica" w:cs="MS PGothic"/>
      <w:color w:val="000000"/>
      <w:sz w:val="17"/>
      <w:szCs w:val="17"/>
      <w:lang w:eastAsia="ja-JP"/>
    </w:rPr>
  </w:style>
  <w:style w:type="paragraph" w:customStyle="1" w:styleId="Compact">
    <w:name w:val="Compact"/>
    <w:basedOn w:val="BodyText"/>
    <w:qFormat/>
    <w:rsid w:val="00893036"/>
    <w:pPr>
      <w:spacing w:before="36" w:after="36"/>
      <w:jc w:val="left"/>
    </w:pPr>
    <w:rPr>
      <w:rFonts w:asciiTheme="minorHAnsi" w:eastAsiaTheme="minorHAnsi" w:hAnsiTheme="minorHAnsi" w:cstheme="minorBidi"/>
      <w:sz w:val="24"/>
      <w:lang w:val="en-US"/>
    </w:rPr>
  </w:style>
  <w:style w:type="table" w:customStyle="1" w:styleId="Table">
    <w:name w:val="Table"/>
    <w:semiHidden/>
    <w:unhideWhenUsed/>
    <w:qFormat/>
    <w:rsid w:val="00893036"/>
    <w:pPr>
      <w:spacing w:after="200"/>
    </w:pPr>
    <w:rPr>
      <w:rFonts w:asciiTheme="minorHAnsi" w:eastAsiaTheme="minorHAnsi" w:hAnsiTheme="minorHAnsi" w:cstheme="minorBidi"/>
      <w:sz w:val="24"/>
      <w:szCs w:val="24"/>
      <w:lang w:val="en-AU" w:eastAsia="en-US" w:bidi="ar-SA"/>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table" w:customStyle="1" w:styleId="TableGrid9">
    <w:name w:val="Table Grid9"/>
    <w:basedOn w:val="TableNormal"/>
    <w:next w:val="TableGrid"/>
    <w:uiPriority w:val="39"/>
    <w:rsid w:val="003A5684"/>
    <w:rPr>
      <w:rFonts w:ascii="Yu Mincho" w:eastAsia="Yu Mincho" w:hAnsi="Yu Mincho"/>
      <w:kern w:val="2"/>
      <w:sz w:val="21"/>
      <w:szCs w:val="24"/>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0">
    <w:name w:val="no_spacing"/>
    <w:basedOn w:val="Normal"/>
    <w:rsid w:val="009900F2"/>
    <w:rPr>
      <w:rFonts w:ascii="Arial" w:eastAsia="Arial" w:hAnsi="Arial" w:cs="Arial"/>
      <w:color w:val="000000"/>
      <w:sz w:val="20"/>
      <w:szCs w:val="20"/>
      <w:lang w:eastAsia="zh-TW"/>
    </w:rPr>
  </w:style>
  <w:style w:type="character" w:customStyle="1" w:styleId="cf01">
    <w:name w:val="cf01"/>
    <w:basedOn w:val="DefaultParagraphFont"/>
    <w:rsid w:val="007F4682"/>
    <w:rPr>
      <w:rFonts w:ascii="Segoe UI" w:hAnsi="Segoe UI" w:cs="Segoe UI" w:hint="default"/>
      <w:sz w:val="18"/>
      <w:szCs w:val="18"/>
    </w:rPr>
  </w:style>
  <w:style w:type="numbering" w:customStyle="1" w:styleId="SCList1">
    <w:name w:val="SC List1"/>
    <w:uiPriority w:val="99"/>
    <w:rsid w:val="00CA5547"/>
    <w:pPr>
      <w:numPr>
        <w:numId w:val="5"/>
      </w:numPr>
    </w:pPr>
  </w:style>
  <w:style w:type="numbering" w:customStyle="1" w:styleId="Style11">
    <w:name w:val="Style11"/>
    <w:uiPriority w:val="99"/>
    <w:rsid w:val="00CA5547"/>
    <w:pPr>
      <w:numPr>
        <w:numId w:val="6"/>
      </w:numPr>
    </w:pPr>
  </w:style>
  <w:style w:type="numbering" w:customStyle="1" w:styleId="ImportedStyle11">
    <w:name w:val="Imported Style 11"/>
    <w:rsid w:val="00CA5547"/>
    <w:pPr>
      <w:numPr>
        <w:numId w:val="9"/>
      </w:numPr>
    </w:pPr>
  </w:style>
  <w:style w:type="numbering" w:customStyle="1" w:styleId="ImportedStyle21">
    <w:name w:val="Imported Style 21"/>
    <w:rsid w:val="00CA5547"/>
    <w:pPr>
      <w:numPr>
        <w:numId w:val="10"/>
      </w:numPr>
    </w:pPr>
  </w:style>
  <w:style w:type="numbering" w:customStyle="1" w:styleId="ImportedStyle31">
    <w:name w:val="Imported Style 31"/>
    <w:rsid w:val="00CA5547"/>
    <w:pPr>
      <w:numPr>
        <w:numId w:val="11"/>
      </w:numPr>
    </w:pPr>
  </w:style>
  <w:style w:type="numbering" w:customStyle="1" w:styleId="ImportedStyle41">
    <w:name w:val="Imported Style 41"/>
    <w:rsid w:val="00CA5547"/>
    <w:pPr>
      <w:numPr>
        <w:numId w:val="12"/>
      </w:numPr>
    </w:pPr>
  </w:style>
  <w:style w:type="numbering" w:customStyle="1" w:styleId="Style21">
    <w:name w:val="Style21"/>
    <w:uiPriority w:val="99"/>
    <w:rsid w:val="00CA5547"/>
    <w:pPr>
      <w:numPr>
        <w:numId w:val="17"/>
      </w:numPr>
    </w:pPr>
  </w:style>
  <w:style w:type="character" w:customStyle="1" w:styleId="s2">
    <w:name w:val="s2"/>
    <w:basedOn w:val="DefaultParagraphFont"/>
    <w:rsid w:val="00CA5547"/>
    <w:rPr>
      <w:rFonts w:ascii="Times New Roman" w:hAnsi="Times New Roman" w:cs="Times New Roman" w:hint="default"/>
      <w:sz w:val="17"/>
      <w:szCs w:val="17"/>
    </w:rPr>
  </w:style>
  <w:style w:type="table" w:customStyle="1" w:styleId="TableGrid100">
    <w:name w:val="Table Grid10"/>
    <w:basedOn w:val="TableNormal"/>
    <w:next w:val="TableGrid"/>
    <w:uiPriority w:val="59"/>
    <w:rsid w:val="00CA5547"/>
    <w:rPr>
      <w:rFonts w:ascii="Calibri" w:eastAsia="MS Mincho" w:hAnsi="Calibri"/>
      <w:kern w:val="2"/>
      <w:sz w:val="24"/>
      <w:szCs w:val="24"/>
      <w:lang w:val="en-GB" w:eastAsia="en-GB"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FText">
    <w:name w:val="ODF Text"/>
    <w:basedOn w:val="Normal"/>
    <w:qFormat/>
    <w:rsid w:val="00D77543"/>
    <w:pPr>
      <w:numPr>
        <w:numId w:val="58"/>
      </w:numPr>
      <w:ind w:hanging="370"/>
      <w:jc w:val="both"/>
    </w:pPr>
    <w:rPr>
      <w:rFonts w:ascii="Times New Roman" w:hAnsi="Times New Roman"/>
      <w:bCs/>
      <w:color w:val="000000"/>
      <w:szCs w:val="22"/>
    </w:rPr>
  </w:style>
  <w:style w:type="numbering" w:customStyle="1" w:styleId="NoList1">
    <w:name w:val="No List1"/>
    <w:next w:val="NoList"/>
    <w:uiPriority w:val="99"/>
    <w:semiHidden/>
    <w:unhideWhenUsed/>
    <w:rsid w:val="00260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1508">
      <w:bodyDiv w:val="1"/>
      <w:marLeft w:val="0"/>
      <w:marRight w:val="0"/>
      <w:marTop w:val="0"/>
      <w:marBottom w:val="0"/>
      <w:divBdr>
        <w:top w:val="none" w:sz="0" w:space="0" w:color="auto"/>
        <w:left w:val="none" w:sz="0" w:space="0" w:color="auto"/>
        <w:bottom w:val="none" w:sz="0" w:space="0" w:color="auto"/>
        <w:right w:val="none" w:sz="0" w:space="0" w:color="auto"/>
      </w:divBdr>
    </w:div>
    <w:div w:id="10305896">
      <w:bodyDiv w:val="1"/>
      <w:marLeft w:val="0"/>
      <w:marRight w:val="0"/>
      <w:marTop w:val="0"/>
      <w:marBottom w:val="0"/>
      <w:divBdr>
        <w:top w:val="none" w:sz="0" w:space="0" w:color="auto"/>
        <w:left w:val="none" w:sz="0" w:space="0" w:color="auto"/>
        <w:bottom w:val="none" w:sz="0" w:space="0" w:color="auto"/>
        <w:right w:val="none" w:sz="0" w:space="0" w:color="auto"/>
      </w:divBdr>
    </w:div>
    <w:div w:id="23219750">
      <w:bodyDiv w:val="1"/>
      <w:marLeft w:val="0"/>
      <w:marRight w:val="0"/>
      <w:marTop w:val="0"/>
      <w:marBottom w:val="0"/>
      <w:divBdr>
        <w:top w:val="none" w:sz="0" w:space="0" w:color="auto"/>
        <w:left w:val="none" w:sz="0" w:space="0" w:color="auto"/>
        <w:bottom w:val="none" w:sz="0" w:space="0" w:color="auto"/>
        <w:right w:val="none" w:sz="0" w:space="0" w:color="auto"/>
      </w:divBdr>
    </w:div>
    <w:div w:id="24598137">
      <w:bodyDiv w:val="1"/>
      <w:marLeft w:val="0"/>
      <w:marRight w:val="0"/>
      <w:marTop w:val="0"/>
      <w:marBottom w:val="0"/>
      <w:divBdr>
        <w:top w:val="none" w:sz="0" w:space="0" w:color="auto"/>
        <w:left w:val="none" w:sz="0" w:space="0" w:color="auto"/>
        <w:bottom w:val="none" w:sz="0" w:space="0" w:color="auto"/>
        <w:right w:val="none" w:sz="0" w:space="0" w:color="auto"/>
      </w:divBdr>
    </w:div>
    <w:div w:id="27729819">
      <w:bodyDiv w:val="1"/>
      <w:marLeft w:val="0"/>
      <w:marRight w:val="0"/>
      <w:marTop w:val="0"/>
      <w:marBottom w:val="0"/>
      <w:divBdr>
        <w:top w:val="none" w:sz="0" w:space="0" w:color="auto"/>
        <w:left w:val="none" w:sz="0" w:space="0" w:color="auto"/>
        <w:bottom w:val="none" w:sz="0" w:space="0" w:color="auto"/>
        <w:right w:val="none" w:sz="0" w:space="0" w:color="auto"/>
      </w:divBdr>
    </w:div>
    <w:div w:id="40984361">
      <w:bodyDiv w:val="1"/>
      <w:marLeft w:val="0"/>
      <w:marRight w:val="0"/>
      <w:marTop w:val="0"/>
      <w:marBottom w:val="0"/>
      <w:divBdr>
        <w:top w:val="none" w:sz="0" w:space="0" w:color="auto"/>
        <w:left w:val="none" w:sz="0" w:space="0" w:color="auto"/>
        <w:bottom w:val="none" w:sz="0" w:space="0" w:color="auto"/>
        <w:right w:val="none" w:sz="0" w:space="0" w:color="auto"/>
      </w:divBdr>
    </w:div>
    <w:div w:id="42368524">
      <w:bodyDiv w:val="1"/>
      <w:marLeft w:val="0"/>
      <w:marRight w:val="0"/>
      <w:marTop w:val="0"/>
      <w:marBottom w:val="0"/>
      <w:divBdr>
        <w:top w:val="none" w:sz="0" w:space="0" w:color="auto"/>
        <w:left w:val="none" w:sz="0" w:space="0" w:color="auto"/>
        <w:bottom w:val="none" w:sz="0" w:space="0" w:color="auto"/>
        <w:right w:val="none" w:sz="0" w:space="0" w:color="auto"/>
      </w:divBdr>
    </w:div>
    <w:div w:id="54284654">
      <w:bodyDiv w:val="1"/>
      <w:marLeft w:val="0"/>
      <w:marRight w:val="0"/>
      <w:marTop w:val="0"/>
      <w:marBottom w:val="0"/>
      <w:divBdr>
        <w:top w:val="none" w:sz="0" w:space="0" w:color="auto"/>
        <w:left w:val="none" w:sz="0" w:space="0" w:color="auto"/>
        <w:bottom w:val="none" w:sz="0" w:space="0" w:color="auto"/>
        <w:right w:val="none" w:sz="0" w:space="0" w:color="auto"/>
      </w:divBdr>
    </w:div>
    <w:div w:id="57703947">
      <w:bodyDiv w:val="1"/>
      <w:marLeft w:val="0"/>
      <w:marRight w:val="0"/>
      <w:marTop w:val="0"/>
      <w:marBottom w:val="0"/>
      <w:divBdr>
        <w:top w:val="none" w:sz="0" w:space="0" w:color="auto"/>
        <w:left w:val="none" w:sz="0" w:space="0" w:color="auto"/>
        <w:bottom w:val="none" w:sz="0" w:space="0" w:color="auto"/>
        <w:right w:val="none" w:sz="0" w:space="0" w:color="auto"/>
      </w:divBdr>
    </w:div>
    <w:div w:id="70933463">
      <w:bodyDiv w:val="1"/>
      <w:marLeft w:val="0"/>
      <w:marRight w:val="0"/>
      <w:marTop w:val="0"/>
      <w:marBottom w:val="0"/>
      <w:divBdr>
        <w:top w:val="none" w:sz="0" w:space="0" w:color="auto"/>
        <w:left w:val="none" w:sz="0" w:space="0" w:color="auto"/>
        <w:bottom w:val="none" w:sz="0" w:space="0" w:color="auto"/>
        <w:right w:val="none" w:sz="0" w:space="0" w:color="auto"/>
      </w:divBdr>
    </w:div>
    <w:div w:id="82841819">
      <w:bodyDiv w:val="1"/>
      <w:marLeft w:val="0"/>
      <w:marRight w:val="0"/>
      <w:marTop w:val="0"/>
      <w:marBottom w:val="0"/>
      <w:divBdr>
        <w:top w:val="none" w:sz="0" w:space="0" w:color="auto"/>
        <w:left w:val="none" w:sz="0" w:space="0" w:color="auto"/>
        <w:bottom w:val="none" w:sz="0" w:space="0" w:color="auto"/>
        <w:right w:val="none" w:sz="0" w:space="0" w:color="auto"/>
      </w:divBdr>
    </w:div>
    <w:div w:id="89277932">
      <w:bodyDiv w:val="1"/>
      <w:marLeft w:val="0"/>
      <w:marRight w:val="0"/>
      <w:marTop w:val="0"/>
      <w:marBottom w:val="0"/>
      <w:divBdr>
        <w:top w:val="none" w:sz="0" w:space="0" w:color="auto"/>
        <w:left w:val="none" w:sz="0" w:space="0" w:color="auto"/>
        <w:bottom w:val="none" w:sz="0" w:space="0" w:color="auto"/>
        <w:right w:val="none" w:sz="0" w:space="0" w:color="auto"/>
      </w:divBdr>
    </w:div>
    <w:div w:id="93675094">
      <w:bodyDiv w:val="1"/>
      <w:marLeft w:val="0"/>
      <w:marRight w:val="0"/>
      <w:marTop w:val="0"/>
      <w:marBottom w:val="0"/>
      <w:divBdr>
        <w:top w:val="none" w:sz="0" w:space="0" w:color="auto"/>
        <w:left w:val="none" w:sz="0" w:space="0" w:color="auto"/>
        <w:bottom w:val="none" w:sz="0" w:space="0" w:color="auto"/>
        <w:right w:val="none" w:sz="0" w:space="0" w:color="auto"/>
      </w:divBdr>
    </w:div>
    <w:div w:id="94328415">
      <w:bodyDiv w:val="1"/>
      <w:marLeft w:val="0"/>
      <w:marRight w:val="0"/>
      <w:marTop w:val="0"/>
      <w:marBottom w:val="0"/>
      <w:divBdr>
        <w:top w:val="none" w:sz="0" w:space="0" w:color="auto"/>
        <w:left w:val="none" w:sz="0" w:space="0" w:color="auto"/>
        <w:bottom w:val="none" w:sz="0" w:space="0" w:color="auto"/>
        <w:right w:val="none" w:sz="0" w:space="0" w:color="auto"/>
      </w:divBdr>
    </w:div>
    <w:div w:id="96298488">
      <w:bodyDiv w:val="1"/>
      <w:marLeft w:val="0"/>
      <w:marRight w:val="0"/>
      <w:marTop w:val="0"/>
      <w:marBottom w:val="0"/>
      <w:divBdr>
        <w:top w:val="none" w:sz="0" w:space="0" w:color="auto"/>
        <w:left w:val="none" w:sz="0" w:space="0" w:color="auto"/>
        <w:bottom w:val="none" w:sz="0" w:space="0" w:color="auto"/>
        <w:right w:val="none" w:sz="0" w:space="0" w:color="auto"/>
      </w:divBdr>
    </w:div>
    <w:div w:id="96606655">
      <w:bodyDiv w:val="1"/>
      <w:marLeft w:val="0"/>
      <w:marRight w:val="0"/>
      <w:marTop w:val="0"/>
      <w:marBottom w:val="0"/>
      <w:divBdr>
        <w:top w:val="none" w:sz="0" w:space="0" w:color="auto"/>
        <w:left w:val="none" w:sz="0" w:space="0" w:color="auto"/>
        <w:bottom w:val="none" w:sz="0" w:space="0" w:color="auto"/>
        <w:right w:val="none" w:sz="0" w:space="0" w:color="auto"/>
      </w:divBdr>
    </w:div>
    <w:div w:id="126165367">
      <w:bodyDiv w:val="1"/>
      <w:marLeft w:val="0"/>
      <w:marRight w:val="0"/>
      <w:marTop w:val="0"/>
      <w:marBottom w:val="0"/>
      <w:divBdr>
        <w:top w:val="none" w:sz="0" w:space="0" w:color="auto"/>
        <w:left w:val="none" w:sz="0" w:space="0" w:color="auto"/>
        <w:bottom w:val="none" w:sz="0" w:space="0" w:color="auto"/>
        <w:right w:val="none" w:sz="0" w:space="0" w:color="auto"/>
      </w:divBdr>
    </w:div>
    <w:div w:id="134028393">
      <w:bodyDiv w:val="1"/>
      <w:marLeft w:val="0"/>
      <w:marRight w:val="0"/>
      <w:marTop w:val="0"/>
      <w:marBottom w:val="0"/>
      <w:divBdr>
        <w:top w:val="none" w:sz="0" w:space="0" w:color="auto"/>
        <w:left w:val="none" w:sz="0" w:space="0" w:color="auto"/>
        <w:bottom w:val="none" w:sz="0" w:space="0" w:color="auto"/>
        <w:right w:val="none" w:sz="0" w:space="0" w:color="auto"/>
      </w:divBdr>
    </w:div>
    <w:div w:id="143200589">
      <w:bodyDiv w:val="1"/>
      <w:marLeft w:val="0"/>
      <w:marRight w:val="0"/>
      <w:marTop w:val="0"/>
      <w:marBottom w:val="0"/>
      <w:divBdr>
        <w:top w:val="none" w:sz="0" w:space="0" w:color="auto"/>
        <w:left w:val="none" w:sz="0" w:space="0" w:color="auto"/>
        <w:bottom w:val="none" w:sz="0" w:space="0" w:color="auto"/>
        <w:right w:val="none" w:sz="0" w:space="0" w:color="auto"/>
      </w:divBdr>
    </w:div>
    <w:div w:id="152379740">
      <w:bodyDiv w:val="1"/>
      <w:marLeft w:val="0"/>
      <w:marRight w:val="0"/>
      <w:marTop w:val="0"/>
      <w:marBottom w:val="0"/>
      <w:divBdr>
        <w:top w:val="none" w:sz="0" w:space="0" w:color="auto"/>
        <w:left w:val="none" w:sz="0" w:space="0" w:color="auto"/>
        <w:bottom w:val="none" w:sz="0" w:space="0" w:color="auto"/>
        <w:right w:val="none" w:sz="0" w:space="0" w:color="auto"/>
      </w:divBdr>
    </w:div>
    <w:div w:id="156314197">
      <w:bodyDiv w:val="1"/>
      <w:marLeft w:val="0"/>
      <w:marRight w:val="0"/>
      <w:marTop w:val="0"/>
      <w:marBottom w:val="0"/>
      <w:divBdr>
        <w:top w:val="none" w:sz="0" w:space="0" w:color="auto"/>
        <w:left w:val="none" w:sz="0" w:space="0" w:color="auto"/>
        <w:bottom w:val="none" w:sz="0" w:space="0" w:color="auto"/>
        <w:right w:val="none" w:sz="0" w:space="0" w:color="auto"/>
      </w:divBdr>
    </w:div>
    <w:div w:id="162398516">
      <w:bodyDiv w:val="1"/>
      <w:marLeft w:val="0"/>
      <w:marRight w:val="0"/>
      <w:marTop w:val="0"/>
      <w:marBottom w:val="0"/>
      <w:divBdr>
        <w:top w:val="none" w:sz="0" w:space="0" w:color="auto"/>
        <w:left w:val="none" w:sz="0" w:space="0" w:color="auto"/>
        <w:bottom w:val="none" w:sz="0" w:space="0" w:color="auto"/>
        <w:right w:val="none" w:sz="0" w:space="0" w:color="auto"/>
      </w:divBdr>
    </w:div>
    <w:div w:id="178668621">
      <w:bodyDiv w:val="1"/>
      <w:marLeft w:val="0"/>
      <w:marRight w:val="0"/>
      <w:marTop w:val="0"/>
      <w:marBottom w:val="0"/>
      <w:divBdr>
        <w:top w:val="none" w:sz="0" w:space="0" w:color="auto"/>
        <w:left w:val="none" w:sz="0" w:space="0" w:color="auto"/>
        <w:bottom w:val="none" w:sz="0" w:space="0" w:color="auto"/>
        <w:right w:val="none" w:sz="0" w:space="0" w:color="auto"/>
      </w:divBdr>
    </w:div>
    <w:div w:id="178934807">
      <w:bodyDiv w:val="1"/>
      <w:marLeft w:val="0"/>
      <w:marRight w:val="0"/>
      <w:marTop w:val="0"/>
      <w:marBottom w:val="0"/>
      <w:divBdr>
        <w:top w:val="none" w:sz="0" w:space="0" w:color="auto"/>
        <w:left w:val="none" w:sz="0" w:space="0" w:color="auto"/>
        <w:bottom w:val="none" w:sz="0" w:space="0" w:color="auto"/>
        <w:right w:val="none" w:sz="0" w:space="0" w:color="auto"/>
      </w:divBdr>
    </w:div>
    <w:div w:id="182868245">
      <w:bodyDiv w:val="1"/>
      <w:marLeft w:val="0"/>
      <w:marRight w:val="0"/>
      <w:marTop w:val="0"/>
      <w:marBottom w:val="0"/>
      <w:divBdr>
        <w:top w:val="none" w:sz="0" w:space="0" w:color="auto"/>
        <w:left w:val="none" w:sz="0" w:space="0" w:color="auto"/>
        <w:bottom w:val="none" w:sz="0" w:space="0" w:color="auto"/>
        <w:right w:val="none" w:sz="0" w:space="0" w:color="auto"/>
      </w:divBdr>
    </w:div>
    <w:div w:id="191963795">
      <w:bodyDiv w:val="1"/>
      <w:marLeft w:val="0"/>
      <w:marRight w:val="0"/>
      <w:marTop w:val="0"/>
      <w:marBottom w:val="0"/>
      <w:divBdr>
        <w:top w:val="none" w:sz="0" w:space="0" w:color="auto"/>
        <w:left w:val="none" w:sz="0" w:space="0" w:color="auto"/>
        <w:bottom w:val="none" w:sz="0" w:space="0" w:color="auto"/>
        <w:right w:val="none" w:sz="0" w:space="0" w:color="auto"/>
      </w:divBdr>
    </w:div>
    <w:div w:id="204215282">
      <w:bodyDiv w:val="1"/>
      <w:marLeft w:val="0"/>
      <w:marRight w:val="0"/>
      <w:marTop w:val="0"/>
      <w:marBottom w:val="0"/>
      <w:divBdr>
        <w:top w:val="none" w:sz="0" w:space="0" w:color="auto"/>
        <w:left w:val="none" w:sz="0" w:space="0" w:color="auto"/>
        <w:bottom w:val="none" w:sz="0" w:space="0" w:color="auto"/>
        <w:right w:val="none" w:sz="0" w:space="0" w:color="auto"/>
      </w:divBdr>
    </w:div>
    <w:div w:id="213539447">
      <w:bodyDiv w:val="1"/>
      <w:marLeft w:val="0"/>
      <w:marRight w:val="0"/>
      <w:marTop w:val="0"/>
      <w:marBottom w:val="0"/>
      <w:divBdr>
        <w:top w:val="none" w:sz="0" w:space="0" w:color="auto"/>
        <w:left w:val="none" w:sz="0" w:space="0" w:color="auto"/>
        <w:bottom w:val="none" w:sz="0" w:space="0" w:color="auto"/>
        <w:right w:val="none" w:sz="0" w:space="0" w:color="auto"/>
      </w:divBdr>
    </w:div>
    <w:div w:id="214968498">
      <w:bodyDiv w:val="1"/>
      <w:marLeft w:val="0"/>
      <w:marRight w:val="0"/>
      <w:marTop w:val="0"/>
      <w:marBottom w:val="0"/>
      <w:divBdr>
        <w:top w:val="none" w:sz="0" w:space="0" w:color="auto"/>
        <w:left w:val="none" w:sz="0" w:space="0" w:color="auto"/>
        <w:bottom w:val="none" w:sz="0" w:space="0" w:color="auto"/>
        <w:right w:val="none" w:sz="0" w:space="0" w:color="auto"/>
      </w:divBdr>
    </w:div>
    <w:div w:id="215432761">
      <w:bodyDiv w:val="1"/>
      <w:marLeft w:val="0"/>
      <w:marRight w:val="0"/>
      <w:marTop w:val="0"/>
      <w:marBottom w:val="0"/>
      <w:divBdr>
        <w:top w:val="none" w:sz="0" w:space="0" w:color="auto"/>
        <w:left w:val="none" w:sz="0" w:space="0" w:color="auto"/>
        <w:bottom w:val="none" w:sz="0" w:space="0" w:color="auto"/>
        <w:right w:val="none" w:sz="0" w:space="0" w:color="auto"/>
      </w:divBdr>
    </w:div>
    <w:div w:id="228922029">
      <w:bodyDiv w:val="1"/>
      <w:marLeft w:val="0"/>
      <w:marRight w:val="0"/>
      <w:marTop w:val="0"/>
      <w:marBottom w:val="0"/>
      <w:divBdr>
        <w:top w:val="none" w:sz="0" w:space="0" w:color="auto"/>
        <w:left w:val="none" w:sz="0" w:space="0" w:color="auto"/>
        <w:bottom w:val="none" w:sz="0" w:space="0" w:color="auto"/>
        <w:right w:val="none" w:sz="0" w:space="0" w:color="auto"/>
      </w:divBdr>
    </w:div>
    <w:div w:id="233005599">
      <w:bodyDiv w:val="1"/>
      <w:marLeft w:val="0"/>
      <w:marRight w:val="0"/>
      <w:marTop w:val="0"/>
      <w:marBottom w:val="0"/>
      <w:divBdr>
        <w:top w:val="none" w:sz="0" w:space="0" w:color="auto"/>
        <w:left w:val="none" w:sz="0" w:space="0" w:color="auto"/>
        <w:bottom w:val="none" w:sz="0" w:space="0" w:color="auto"/>
        <w:right w:val="none" w:sz="0" w:space="0" w:color="auto"/>
      </w:divBdr>
    </w:div>
    <w:div w:id="244845842">
      <w:bodyDiv w:val="1"/>
      <w:marLeft w:val="0"/>
      <w:marRight w:val="0"/>
      <w:marTop w:val="0"/>
      <w:marBottom w:val="0"/>
      <w:divBdr>
        <w:top w:val="none" w:sz="0" w:space="0" w:color="auto"/>
        <w:left w:val="none" w:sz="0" w:space="0" w:color="auto"/>
        <w:bottom w:val="none" w:sz="0" w:space="0" w:color="auto"/>
        <w:right w:val="none" w:sz="0" w:space="0" w:color="auto"/>
      </w:divBdr>
    </w:div>
    <w:div w:id="247159162">
      <w:bodyDiv w:val="1"/>
      <w:marLeft w:val="0"/>
      <w:marRight w:val="0"/>
      <w:marTop w:val="0"/>
      <w:marBottom w:val="0"/>
      <w:divBdr>
        <w:top w:val="none" w:sz="0" w:space="0" w:color="auto"/>
        <w:left w:val="none" w:sz="0" w:space="0" w:color="auto"/>
        <w:bottom w:val="none" w:sz="0" w:space="0" w:color="auto"/>
        <w:right w:val="none" w:sz="0" w:space="0" w:color="auto"/>
      </w:divBdr>
    </w:div>
    <w:div w:id="255789901">
      <w:bodyDiv w:val="1"/>
      <w:marLeft w:val="0"/>
      <w:marRight w:val="0"/>
      <w:marTop w:val="0"/>
      <w:marBottom w:val="0"/>
      <w:divBdr>
        <w:top w:val="none" w:sz="0" w:space="0" w:color="auto"/>
        <w:left w:val="none" w:sz="0" w:space="0" w:color="auto"/>
        <w:bottom w:val="none" w:sz="0" w:space="0" w:color="auto"/>
        <w:right w:val="none" w:sz="0" w:space="0" w:color="auto"/>
      </w:divBdr>
    </w:div>
    <w:div w:id="267011241">
      <w:bodyDiv w:val="1"/>
      <w:marLeft w:val="0"/>
      <w:marRight w:val="0"/>
      <w:marTop w:val="0"/>
      <w:marBottom w:val="0"/>
      <w:divBdr>
        <w:top w:val="none" w:sz="0" w:space="0" w:color="auto"/>
        <w:left w:val="none" w:sz="0" w:space="0" w:color="auto"/>
        <w:bottom w:val="none" w:sz="0" w:space="0" w:color="auto"/>
        <w:right w:val="none" w:sz="0" w:space="0" w:color="auto"/>
      </w:divBdr>
    </w:div>
    <w:div w:id="280305819">
      <w:bodyDiv w:val="1"/>
      <w:marLeft w:val="0"/>
      <w:marRight w:val="0"/>
      <w:marTop w:val="0"/>
      <w:marBottom w:val="0"/>
      <w:divBdr>
        <w:top w:val="none" w:sz="0" w:space="0" w:color="auto"/>
        <w:left w:val="none" w:sz="0" w:space="0" w:color="auto"/>
        <w:bottom w:val="none" w:sz="0" w:space="0" w:color="auto"/>
        <w:right w:val="none" w:sz="0" w:space="0" w:color="auto"/>
      </w:divBdr>
    </w:div>
    <w:div w:id="281113793">
      <w:bodyDiv w:val="1"/>
      <w:marLeft w:val="0"/>
      <w:marRight w:val="0"/>
      <w:marTop w:val="0"/>
      <w:marBottom w:val="0"/>
      <w:divBdr>
        <w:top w:val="none" w:sz="0" w:space="0" w:color="auto"/>
        <w:left w:val="none" w:sz="0" w:space="0" w:color="auto"/>
        <w:bottom w:val="none" w:sz="0" w:space="0" w:color="auto"/>
        <w:right w:val="none" w:sz="0" w:space="0" w:color="auto"/>
      </w:divBdr>
      <w:divsChild>
        <w:div w:id="416563655">
          <w:marLeft w:val="0"/>
          <w:marRight w:val="0"/>
          <w:marTop w:val="0"/>
          <w:marBottom w:val="0"/>
          <w:divBdr>
            <w:top w:val="none" w:sz="0" w:space="0" w:color="auto"/>
            <w:left w:val="none" w:sz="0" w:space="0" w:color="auto"/>
            <w:bottom w:val="none" w:sz="0" w:space="0" w:color="auto"/>
            <w:right w:val="none" w:sz="0" w:space="0" w:color="auto"/>
          </w:divBdr>
          <w:divsChild>
            <w:div w:id="705452956">
              <w:marLeft w:val="0"/>
              <w:marRight w:val="0"/>
              <w:marTop w:val="0"/>
              <w:marBottom w:val="0"/>
              <w:divBdr>
                <w:top w:val="none" w:sz="0" w:space="0" w:color="auto"/>
                <w:left w:val="none" w:sz="0" w:space="0" w:color="auto"/>
                <w:bottom w:val="none" w:sz="0" w:space="0" w:color="auto"/>
                <w:right w:val="none" w:sz="0" w:space="0" w:color="auto"/>
              </w:divBdr>
              <w:divsChild>
                <w:div w:id="587885159">
                  <w:marLeft w:val="0"/>
                  <w:marRight w:val="0"/>
                  <w:marTop w:val="0"/>
                  <w:marBottom w:val="0"/>
                  <w:divBdr>
                    <w:top w:val="none" w:sz="0" w:space="0" w:color="auto"/>
                    <w:left w:val="none" w:sz="0" w:space="0" w:color="auto"/>
                    <w:bottom w:val="none" w:sz="0" w:space="0" w:color="auto"/>
                    <w:right w:val="none" w:sz="0" w:space="0" w:color="auto"/>
                  </w:divBdr>
                  <w:divsChild>
                    <w:div w:id="1458335458">
                      <w:marLeft w:val="0"/>
                      <w:marRight w:val="0"/>
                      <w:marTop w:val="0"/>
                      <w:marBottom w:val="0"/>
                      <w:divBdr>
                        <w:top w:val="none" w:sz="0" w:space="0" w:color="auto"/>
                        <w:left w:val="none" w:sz="0" w:space="0" w:color="auto"/>
                        <w:bottom w:val="none" w:sz="0" w:space="0" w:color="auto"/>
                        <w:right w:val="none" w:sz="0" w:space="0" w:color="auto"/>
                      </w:divBdr>
                    </w:div>
                    <w:div w:id="1818186382">
                      <w:marLeft w:val="0"/>
                      <w:marRight w:val="0"/>
                      <w:marTop w:val="0"/>
                      <w:marBottom w:val="0"/>
                      <w:divBdr>
                        <w:top w:val="none" w:sz="0" w:space="0" w:color="auto"/>
                        <w:left w:val="none" w:sz="0" w:space="0" w:color="auto"/>
                        <w:bottom w:val="none" w:sz="0" w:space="0" w:color="auto"/>
                        <w:right w:val="none" w:sz="0" w:space="0" w:color="auto"/>
                      </w:divBdr>
                      <w:divsChild>
                        <w:div w:id="1914008010">
                          <w:marLeft w:val="0"/>
                          <w:marRight w:val="0"/>
                          <w:marTop w:val="0"/>
                          <w:marBottom w:val="0"/>
                          <w:divBdr>
                            <w:top w:val="none" w:sz="0" w:space="0" w:color="auto"/>
                            <w:left w:val="none" w:sz="0" w:space="0" w:color="auto"/>
                            <w:bottom w:val="none" w:sz="0" w:space="0" w:color="auto"/>
                            <w:right w:val="none" w:sz="0" w:space="0" w:color="auto"/>
                          </w:divBdr>
                          <w:divsChild>
                            <w:div w:id="1589196883">
                              <w:marLeft w:val="0"/>
                              <w:marRight w:val="0"/>
                              <w:marTop w:val="0"/>
                              <w:marBottom w:val="0"/>
                              <w:divBdr>
                                <w:top w:val="none" w:sz="0" w:space="0" w:color="auto"/>
                                <w:left w:val="none" w:sz="0" w:space="0" w:color="auto"/>
                                <w:bottom w:val="none" w:sz="0" w:space="0" w:color="auto"/>
                                <w:right w:val="none" w:sz="0" w:space="0" w:color="auto"/>
                              </w:divBdr>
                              <w:divsChild>
                                <w:div w:id="178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712181">
          <w:marLeft w:val="0"/>
          <w:marRight w:val="0"/>
          <w:marTop w:val="0"/>
          <w:marBottom w:val="0"/>
          <w:divBdr>
            <w:top w:val="none" w:sz="0" w:space="0" w:color="auto"/>
            <w:left w:val="none" w:sz="0" w:space="0" w:color="auto"/>
            <w:bottom w:val="none" w:sz="0" w:space="0" w:color="auto"/>
            <w:right w:val="none" w:sz="0" w:space="0" w:color="auto"/>
          </w:divBdr>
          <w:divsChild>
            <w:div w:id="368266157">
              <w:marLeft w:val="0"/>
              <w:marRight w:val="0"/>
              <w:marTop w:val="0"/>
              <w:marBottom w:val="0"/>
              <w:divBdr>
                <w:top w:val="none" w:sz="0" w:space="0" w:color="auto"/>
                <w:left w:val="none" w:sz="0" w:space="0" w:color="auto"/>
                <w:bottom w:val="none" w:sz="0" w:space="0" w:color="auto"/>
                <w:right w:val="none" w:sz="0" w:space="0" w:color="auto"/>
              </w:divBdr>
              <w:divsChild>
                <w:div w:id="888611473">
                  <w:marLeft w:val="0"/>
                  <w:marRight w:val="0"/>
                  <w:marTop w:val="0"/>
                  <w:marBottom w:val="0"/>
                  <w:divBdr>
                    <w:top w:val="none" w:sz="0" w:space="0" w:color="auto"/>
                    <w:left w:val="none" w:sz="0" w:space="0" w:color="auto"/>
                    <w:bottom w:val="none" w:sz="0" w:space="0" w:color="auto"/>
                    <w:right w:val="none" w:sz="0" w:space="0" w:color="auto"/>
                  </w:divBdr>
                  <w:divsChild>
                    <w:div w:id="1994019937">
                      <w:marLeft w:val="0"/>
                      <w:marRight w:val="0"/>
                      <w:marTop w:val="0"/>
                      <w:marBottom w:val="0"/>
                      <w:divBdr>
                        <w:top w:val="none" w:sz="0" w:space="0" w:color="auto"/>
                        <w:left w:val="none" w:sz="0" w:space="0" w:color="auto"/>
                        <w:bottom w:val="none" w:sz="0" w:space="0" w:color="auto"/>
                        <w:right w:val="none" w:sz="0" w:space="0" w:color="auto"/>
                      </w:divBdr>
                      <w:divsChild>
                        <w:div w:id="349339260">
                          <w:marLeft w:val="0"/>
                          <w:marRight w:val="0"/>
                          <w:marTop w:val="0"/>
                          <w:marBottom w:val="0"/>
                          <w:divBdr>
                            <w:top w:val="none" w:sz="0" w:space="0" w:color="auto"/>
                            <w:left w:val="none" w:sz="0" w:space="0" w:color="auto"/>
                            <w:bottom w:val="none" w:sz="0" w:space="0" w:color="auto"/>
                            <w:right w:val="none" w:sz="0" w:space="0" w:color="auto"/>
                          </w:divBdr>
                          <w:divsChild>
                            <w:div w:id="1710104345">
                              <w:marLeft w:val="0"/>
                              <w:marRight w:val="0"/>
                              <w:marTop w:val="0"/>
                              <w:marBottom w:val="0"/>
                              <w:divBdr>
                                <w:top w:val="none" w:sz="0" w:space="0" w:color="auto"/>
                                <w:left w:val="none" w:sz="0" w:space="0" w:color="auto"/>
                                <w:bottom w:val="none" w:sz="0" w:space="0" w:color="auto"/>
                                <w:right w:val="none" w:sz="0" w:space="0" w:color="auto"/>
                              </w:divBdr>
                              <w:divsChild>
                                <w:div w:id="200200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8444956">
          <w:marLeft w:val="0"/>
          <w:marRight w:val="0"/>
          <w:marTop w:val="0"/>
          <w:marBottom w:val="0"/>
          <w:divBdr>
            <w:top w:val="none" w:sz="0" w:space="0" w:color="auto"/>
            <w:left w:val="none" w:sz="0" w:space="0" w:color="auto"/>
            <w:bottom w:val="none" w:sz="0" w:space="0" w:color="auto"/>
            <w:right w:val="none" w:sz="0" w:space="0" w:color="auto"/>
          </w:divBdr>
          <w:divsChild>
            <w:div w:id="1372070416">
              <w:marLeft w:val="0"/>
              <w:marRight w:val="0"/>
              <w:marTop w:val="0"/>
              <w:marBottom w:val="0"/>
              <w:divBdr>
                <w:top w:val="none" w:sz="0" w:space="0" w:color="auto"/>
                <w:left w:val="none" w:sz="0" w:space="0" w:color="auto"/>
                <w:bottom w:val="none" w:sz="0" w:space="0" w:color="auto"/>
                <w:right w:val="none" w:sz="0" w:space="0" w:color="auto"/>
              </w:divBdr>
              <w:divsChild>
                <w:div w:id="183709595">
                  <w:marLeft w:val="0"/>
                  <w:marRight w:val="0"/>
                  <w:marTop w:val="0"/>
                  <w:marBottom w:val="0"/>
                  <w:divBdr>
                    <w:top w:val="none" w:sz="0" w:space="0" w:color="auto"/>
                    <w:left w:val="none" w:sz="0" w:space="0" w:color="auto"/>
                    <w:bottom w:val="none" w:sz="0" w:space="0" w:color="auto"/>
                    <w:right w:val="none" w:sz="0" w:space="0" w:color="auto"/>
                  </w:divBdr>
                  <w:divsChild>
                    <w:div w:id="466241161">
                      <w:marLeft w:val="0"/>
                      <w:marRight w:val="0"/>
                      <w:marTop w:val="0"/>
                      <w:marBottom w:val="0"/>
                      <w:divBdr>
                        <w:top w:val="none" w:sz="0" w:space="0" w:color="auto"/>
                        <w:left w:val="none" w:sz="0" w:space="0" w:color="auto"/>
                        <w:bottom w:val="none" w:sz="0" w:space="0" w:color="auto"/>
                        <w:right w:val="none" w:sz="0" w:space="0" w:color="auto"/>
                      </w:divBdr>
                      <w:divsChild>
                        <w:div w:id="1580091978">
                          <w:marLeft w:val="0"/>
                          <w:marRight w:val="0"/>
                          <w:marTop w:val="0"/>
                          <w:marBottom w:val="0"/>
                          <w:divBdr>
                            <w:top w:val="none" w:sz="0" w:space="0" w:color="auto"/>
                            <w:left w:val="none" w:sz="0" w:space="0" w:color="auto"/>
                            <w:bottom w:val="none" w:sz="0" w:space="0" w:color="auto"/>
                            <w:right w:val="none" w:sz="0" w:space="0" w:color="auto"/>
                          </w:divBdr>
                          <w:divsChild>
                            <w:div w:id="480391390">
                              <w:marLeft w:val="0"/>
                              <w:marRight w:val="0"/>
                              <w:marTop w:val="0"/>
                              <w:marBottom w:val="0"/>
                              <w:divBdr>
                                <w:top w:val="none" w:sz="0" w:space="0" w:color="auto"/>
                                <w:left w:val="none" w:sz="0" w:space="0" w:color="auto"/>
                                <w:bottom w:val="none" w:sz="0" w:space="0" w:color="auto"/>
                                <w:right w:val="none" w:sz="0" w:space="0" w:color="auto"/>
                              </w:divBdr>
                              <w:divsChild>
                                <w:div w:id="120201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76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1154606">
      <w:bodyDiv w:val="1"/>
      <w:marLeft w:val="0"/>
      <w:marRight w:val="0"/>
      <w:marTop w:val="0"/>
      <w:marBottom w:val="0"/>
      <w:divBdr>
        <w:top w:val="none" w:sz="0" w:space="0" w:color="auto"/>
        <w:left w:val="none" w:sz="0" w:space="0" w:color="auto"/>
        <w:bottom w:val="none" w:sz="0" w:space="0" w:color="auto"/>
        <w:right w:val="none" w:sz="0" w:space="0" w:color="auto"/>
      </w:divBdr>
    </w:div>
    <w:div w:id="292449490">
      <w:bodyDiv w:val="1"/>
      <w:marLeft w:val="0"/>
      <w:marRight w:val="0"/>
      <w:marTop w:val="0"/>
      <w:marBottom w:val="0"/>
      <w:divBdr>
        <w:top w:val="none" w:sz="0" w:space="0" w:color="auto"/>
        <w:left w:val="none" w:sz="0" w:space="0" w:color="auto"/>
        <w:bottom w:val="none" w:sz="0" w:space="0" w:color="auto"/>
        <w:right w:val="none" w:sz="0" w:space="0" w:color="auto"/>
      </w:divBdr>
    </w:div>
    <w:div w:id="297079613">
      <w:bodyDiv w:val="1"/>
      <w:marLeft w:val="0"/>
      <w:marRight w:val="0"/>
      <w:marTop w:val="0"/>
      <w:marBottom w:val="0"/>
      <w:divBdr>
        <w:top w:val="none" w:sz="0" w:space="0" w:color="auto"/>
        <w:left w:val="none" w:sz="0" w:space="0" w:color="auto"/>
        <w:bottom w:val="none" w:sz="0" w:space="0" w:color="auto"/>
        <w:right w:val="none" w:sz="0" w:space="0" w:color="auto"/>
      </w:divBdr>
    </w:div>
    <w:div w:id="299383019">
      <w:bodyDiv w:val="1"/>
      <w:marLeft w:val="0"/>
      <w:marRight w:val="0"/>
      <w:marTop w:val="0"/>
      <w:marBottom w:val="0"/>
      <w:divBdr>
        <w:top w:val="none" w:sz="0" w:space="0" w:color="auto"/>
        <w:left w:val="none" w:sz="0" w:space="0" w:color="auto"/>
        <w:bottom w:val="none" w:sz="0" w:space="0" w:color="auto"/>
        <w:right w:val="none" w:sz="0" w:space="0" w:color="auto"/>
      </w:divBdr>
    </w:div>
    <w:div w:id="314333728">
      <w:bodyDiv w:val="1"/>
      <w:marLeft w:val="0"/>
      <w:marRight w:val="0"/>
      <w:marTop w:val="0"/>
      <w:marBottom w:val="0"/>
      <w:divBdr>
        <w:top w:val="none" w:sz="0" w:space="0" w:color="auto"/>
        <w:left w:val="none" w:sz="0" w:space="0" w:color="auto"/>
        <w:bottom w:val="none" w:sz="0" w:space="0" w:color="auto"/>
        <w:right w:val="none" w:sz="0" w:space="0" w:color="auto"/>
      </w:divBdr>
    </w:div>
    <w:div w:id="317922930">
      <w:bodyDiv w:val="1"/>
      <w:marLeft w:val="0"/>
      <w:marRight w:val="0"/>
      <w:marTop w:val="0"/>
      <w:marBottom w:val="0"/>
      <w:divBdr>
        <w:top w:val="none" w:sz="0" w:space="0" w:color="auto"/>
        <w:left w:val="none" w:sz="0" w:space="0" w:color="auto"/>
        <w:bottom w:val="none" w:sz="0" w:space="0" w:color="auto"/>
        <w:right w:val="none" w:sz="0" w:space="0" w:color="auto"/>
      </w:divBdr>
    </w:div>
    <w:div w:id="321079891">
      <w:bodyDiv w:val="1"/>
      <w:marLeft w:val="0"/>
      <w:marRight w:val="0"/>
      <w:marTop w:val="0"/>
      <w:marBottom w:val="0"/>
      <w:divBdr>
        <w:top w:val="none" w:sz="0" w:space="0" w:color="auto"/>
        <w:left w:val="none" w:sz="0" w:space="0" w:color="auto"/>
        <w:bottom w:val="none" w:sz="0" w:space="0" w:color="auto"/>
        <w:right w:val="none" w:sz="0" w:space="0" w:color="auto"/>
      </w:divBdr>
    </w:div>
    <w:div w:id="324556806">
      <w:bodyDiv w:val="1"/>
      <w:marLeft w:val="0"/>
      <w:marRight w:val="0"/>
      <w:marTop w:val="0"/>
      <w:marBottom w:val="0"/>
      <w:divBdr>
        <w:top w:val="none" w:sz="0" w:space="0" w:color="auto"/>
        <w:left w:val="none" w:sz="0" w:space="0" w:color="auto"/>
        <w:bottom w:val="none" w:sz="0" w:space="0" w:color="auto"/>
        <w:right w:val="none" w:sz="0" w:space="0" w:color="auto"/>
      </w:divBdr>
    </w:div>
    <w:div w:id="339501940">
      <w:bodyDiv w:val="1"/>
      <w:marLeft w:val="0"/>
      <w:marRight w:val="0"/>
      <w:marTop w:val="0"/>
      <w:marBottom w:val="0"/>
      <w:divBdr>
        <w:top w:val="none" w:sz="0" w:space="0" w:color="auto"/>
        <w:left w:val="none" w:sz="0" w:space="0" w:color="auto"/>
        <w:bottom w:val="none" w:sz="0" w:space="0" w:color="auto"/>
        <w:right w:val="none" w:sz="0" w:space="0" w:color="auto"/>
      </w:divBdr>
    </w:div>
    <w:div w:id="341706634">
      <w:bodyDiv w:val="1"/>
      <w:marLeft w:val="0"/>
      <w:marRight w:val="0"/>
      <w:marTop w:val="0"/>
      <w:marBottom w:val="0"/>
      <w:divBdr>
        <w:top w:val="none" w:sz="0" w:space="0" w:color="auto"/>
        <w:left w:val="none" w:sz="0" w:space="0" w:color="auto"/>
        <w:bottom w:val="none" w:sz="0" w:space="0" w:color="auto"/>
        <w:right w:val="none" w:sz="0" w:space="0" w:color="auto"/>
      </w:divBdr>
    </w:div>
    <w:div w:id="369234390">
      <w:bodyDiv w:val="1"/>
      <w:marLeft w:val="0"/>
      <w:marRight w:val="0"/>
      <w:marTop w:val="0"/>
      <w:marBottom w:val="0"/>
      <w:divBdr>
        <w:top w:val="none" w:sz="0" w:space="0" w:color="auto"/>
        <w:left w:val="none" w:sz="0" w:space="0" w:color="auto"/>
        <w:bottom w:val="none" w:sz="0" w:space="0" w:color="auto"/>
        <w:right w:val="none" w:sz="0" w:space="0" w:color="auto"/>
      </w:divBdr>
    </w:div>
    <w:div w:id="383331832">
      <w:bodyDiv w:val="1"/>
      <w:marLeft w:val="0"/>
      <w:marRight w:val="0"/>
      <w:marTop w:val="0"/>
      <w:marBottom w:val="0"/>
      <w:divBdr>
        <w:top w:val="none" w:sz="0" w:space="0" w:color="auto"/>
        <w:left w:val="none" w:sz="0" w:space="0" w:color="auto"/>
        <w:bottom w:val="none" w:sz="0" w:space="0" w:color="auto"/>
        <w:right w:val="none" w:sz="0" w:space="0" w:color="auto"/>
      </w:divBdr>
    </w:div>
    <w:div w:id="389809791">
      <w:bodyDiv w:val="1"/>
      <w:marLeft w:val="0"/>
      <w:marRight w:val="0"/>
      <w:marTop w:val="0"/>
      <w:marBottom w:val="0"/>
      <w:divBdr>
        <w:top w:val="none" w:sz="0" w:space="0" w:color="auto"/>
        <w:left w:val="none" w:sz="0" w:space="0" w:color="auto"/>
        <w:bottom w:val="none" w:sz="0" w:space="0" w:color="auto"/>
        <w:right w:val="none" w:sz="0" w:space="0" w:color="auto"/>
      </w:divBdr>
    </w:div>
    <w:div w:id="395011382">
      <w:bodyDiv w:val="1"/>
      <w:marLeft w:val="0"/>
      <w:marRight w:val="0"/>
      <w:marTop w:val="0"/>
      <w:marBottom w:val="0"/>
      <w:divBdr>
        <w:top w:val="none" w:sz="0" w:space="0" w:color="auto"/>
        <w:left w:val="none" w:sz="0" w:space="0" w:color="auto"/>
        <w:bottom w:val="none" w:sz="0" w:space="0" w:color="auto"/>
        <w:right w:val="none" w:sz="0" w:space="0" w:color="auto"/>
      </w:divBdr>
    </w:div>
    <w:div w:id="413401567">
      <w:bodyDiv w:val="1"/>
      <w:marLeft w:val="0"/>
      <w:marRight w:val="0"/>
      <w:marTop w:val="0"/>
      <w:marBottom w:val="0"/>
      <w:divBdr>
        <w:top w:val="none" w:sz="0" w:space="0" w:color="auto"/>
        <w:left w:val="none" w:sz="0" w:space="0" w:color="auto"/>
        <w:bottom w:val="none" w:sz="0" w:space="0" w:color="auto"/>
        <w:right w:val="none" w:sz="0" w:space="0" w:color="auto"/>
      </w:divBdr>
    </w:div>
    <w:div w:id="424346143">
      <w:bodyDiv w:val="1"/>
      <w:marLeft w:val="0"/>
      <w:marRight w:val="0"/>
      <w:marTop w:val="0"/>
      <w:marBottom w:val="0"/>
      <w:divBdr>
        <w:top w:val="none" w:sz="0" w:space="0" w:color="auto"/>
        <w:left w:val="none" w:sz="0" w:space="0" w:color="auto"/>
        <w:bottom w:val="none" w:sz="0" w:space="0" w:color="auto"/>
        <w:right w:val="none" w:sz="0" w:space="0" w:color="auto"/>
      </w:divBdr>
    </w:div>
    <w:div w:id="425929528">
      <w:bodyDiv w:val="1"/>
      <w:marLeft w:val="0"/>
      <w:marRight w:val="0"/>
      <w:marTop w:val="0"/>
      <w:marBottom w:val="0"/>
      <w:divBdr>
        <w:top w:val="none" w:sz="0" w:space="0" w:color="auto"/>
        <w:left w:val="none" w:sz="0" w:space="0" w:color="auto"/>
        <w:bottom w:val="none" w:sz="0" w:space="0" w:color="auto"/>
        <w:right w:val="none" w:sz="0" w:space="0" w:color="auto"/>
      </w:divBdr>
    </w:div>
    <w:div w:id="428088509">
      <w:bodyDiv w:val="1"/>
      <w:marLeft w:val="0"/>
      <w:marRight w:val="0"/>
      <w:marTop w:val="0"/>
      <w:marBottom w:val="0"/>
      <w:divBdr>
        <w:top w:val="none" w:sz="0" w:space="0" w:color="auto"/>
        <w:left w:val="none" w:sz="0" w:space="0" w:color="auto"/>
        <w:bottom w:val="none" w:sz="0" w:space="0" w:color="auto"/>
        <w:right w:val="none" w:sz="0" w:space="0" w:color="auto"/>
      </w:divBdr>
    </w:div>
    <w:div w:id="431900152">
      <w:bodyDiv w:val="1"/>
      <w:marLeft w:val="0"/>
      <w:marRight w:val="0"/>
      <w:marTop w:val="0"/>
      <w:marBottom w:val="0"/>
      <w:divBdr>
        <w:top w:val="none" w:sz="0" w:space="0" w:color="auto"/>
        <w:left w:val="none" w:sz="0" w:space="0" w:color="auto"/>
        <w:bottom w:val="none" w:sz="0" w:space="0" w:color="auto"/>
        <w:right w:val="none" w:sz="0" w:space="0" w:color="auto"/>
      </w:divBdr>
    </w:div>
    <w:div w:id="447240596">
      <w:bodyDiv w:val="1"/>
      <w:marLeft w:val="0"/>
      <w:marRight w:val="0"/>
      <w:marTop w:val="0"/>
      <w:marBottom w:val="0"/>
      <w:divBdr>
        <w:top w:val="none" w:sz="0" w:space="0" w:color="auto"/>
        <w:left w:val="none" w:sz="0" w:space="0" w:color="auto"/>
        <w:bottom w:val="none" w:sz="0" w:space="0" w:color="auto"/>
        <w:right w:val="none" w:sz="0" w:space="0" w:color="auto"/>
      </w:divBdr>
    </w:div>
    <w:div w:id="449937000">
      <w:bodyDiv w:val="1"/>
      <w:marLeft w:val="0"/>
      <w:marRight w:val="0"/>
      <w:marTop w:val="0"/>
      <w:marBottom w:val="0"/>
      <w:divBdr>
        <w:top w:val="none" w:sz="0" w:space="0" w:color="auto"/>
        <w:left w:val="none" w:sz="0" w:space="0" w:color="auto"/>
        <w:bottom w:val="none" w:sz="0" w:space="0" w:color="auto"/>
        <w:right w:val="none" w:sz="0" w:space="0" w:color="auto"/>
      </w:divBdr>
    </w:div>
    <w:div w:id="459686933">
      <w:bodyDiv w:val="1"/>
      <w:marLeft w:val="0"/>
      <w:marRight w:val="0"/>
      <w:marTop w:val="0"/>
      <w:marBottom w:val="0"/>
      <w:divBdr>
        <w:top w:val="none" w:sz="0" w:space="0" w:color="auto"/>
        <w:left w:val="none" w:sz="0" w:space="0" w:color="auto"/>
        <w:bottom w:val="none" w:sz="0" w:space="0" w:color="auto"/>
        <w:right w:val="none" w:sz="0" w:space="0" w:color="auto"/>
      </w:divBdr>
    </w:div>
    <w:div w:id="462965672">
      <w:bodyDiv w:val="1"/>
      <w:marLeft w:val="0"/>
      <w:marRight w:val="0"/>
      <w:marTop w:val="0"/>
      <w:marBottom w:val="0"/>
      <w:divBdr>
        <w:top w:val="none" w:sz="0" w:space="0" w:color="auto"/>
        <w:left w:val="none" w:sz="0" w:space="0" w:color="auto"/>
        <w:bottom w:val="none" w:sz="0" w:space="0" w:color="auto"/>
        <w:right w:val="none" w:sz="0" w:space="0" w:color="auto"/>
      </w:divBdr>
    </w:div>
    <w:div w:id="470711466">
      <w:bodyDiv w:val="1"/>
      <w:marLeft w:val="0"/>
      <w:marRight w:val="0"/>
      <w:marTop w:val="0"/>
      <w:marBottom w:val="0"/>
      <w:divBdr>
        <w:top w:val="none" w:sz="0" w:space="0" w:color="auto"/>
        <w:left w:val="none" w:sz="0" w:space="0" w:color="auto"/>
        <w:bottom w:val="none" w:sz="0" w:space="0" w:color="auto"/>
        <w:right w:val="none" w:sz="0" w:space="0" w:color="auto"/>
      </w:divBdr>
    </w:div>
    <w:div w:id="470901645">
      <w:bodyDiv w:val="1"/>
      <w:marLeft w:val="0"/>
      <w:marRight w:val="0"/>
      <w:marTop w:val="0"/>
      <w:marBottom w:val="0"/>
      <w:divBdr>
        <w:top w:val="none" w:sz="0" w:space="0" w:color="auto"/>
        <w:left w:val="none" w:sz="0" w:space="0" w:color="auto"/>
        <w:bottom w:val="none" w:sz="0" w:space="0" w:color="auto"/>
        <w:right w:val="none" w:sz="0" w:space="0" w:color="auto"/>
      </w:divBdr>
    </w:div>
    <w:div w:id="475925031">
      <w:bodyDiv w:val="1"/>
      <w:marLeft w:val="0"/>
      <w:marRight w:val="0"/>
      <w:marTop w:val="0"/>
      <w:marBottom w:val="0"/>
      <w:divBdr>
        <w:top w:val="none" w:sz="0" w:space="0" w:color="auto"/>
        <w:left w:val="none" w:sz="0" w:space="0" w:color="auto"/>
        <w:bottom w:val="none" w:sz="0" w:space="0" w:color="auto"/>
        <w:right w:val="none" w:sz="0" w:space="0" w:color="auto"/>
      </w:divBdr>
    </w:div>
    <w:div w:id="479544069">
      <w:bodyDiv w:val="1"/>
      <w:marLeft w:val="0"/>
      <w:marRight w:val="0"/>
      <w:marTop w:val="0"/>
      <w:marBottom w:val="0"/>
      <w:divBdr>
        <w:top w:val="none" w:sz="0" w:space="0" w:color="auto"/>
        <w:left w:val="none" w:sz="0" w:space="0" w:color="auto"/>
        <w:bottom w:val="none" w:sz="0" w:space="0" w:color="auto"/>
        <w:right w:val="none" w:sz="0" w:space="0" w:color="auto"/>
      </w:divBdr>
    </w:div>
    <w:div w:id="486168539">
      <w:bodyDiv w:val="1"/>
      <w:marLeft w:val="0"/>
      <w:marRight w:val="0"/>
      <w:marTop w:val="0"/>
      <w:marBottom w:val="0"/>
      <w:divBdr>
        <w:top w:val="none" w:sz="0" w:space="0" w:color="auto"/>
        <w:left w:val="none" w:sz="0" w:space="0" w:color="auto"/>
        <w:bottom w:val="none" w:sz="0" w:space="0" w:color="auto"/>
        <w:right w:val="none" w:sz="0" w:space="0" w:color="auto"/>
      </w:divBdr>
    </w:div>
    <w:div w:id="503597446">
      <w:bodyDiv w:val="1"/>
      <w:marLeft w:val="0"/>
      <w:marRight w:val="0"/>
      <w:marTop w:val="0"/>
      <w:marBottom w:val="0"/>
      <w:divBdr>
        <w:top w:val="none" w:sz="0" w:space="0" w:color="auto"/>
        <w:left w:val="none" w:sz="0" w:space="0" w:color="auto"/>
        <w:bottom w:val="none" w:sz="0" w:space="0" w:color="auto"/>
        <w:right w:val="none" w:sz="0" w:space="0" w:color="auto"/>
      </w:divBdr>
    </w:div>
    <w:div w:id="524293595">
      <w:bodyDiv w:val="1"/>
      <w:marLeft w:val="0"/>
      <w:marRight w:val="0"/>
      <w:marTop w:val="0"/>
      <w:marBottom w:val="0"/>
      <w:divBdr>
        <w:top w:val="none" w:sz="0" w:space="0" w:color="auto"/>
        <w:left w:val="none" w:sz="0" w:space="0" w:color="auto"/>
        <w:bottom w:val="none" w:sz="0" w:space="0" w:color="auto"/>
        <w:right w:val="none" w:sz="0" w:space="0" w:color="auto"/>
      </w:divBdr>
    </w:div>
    <w:div w:id="539830375">
      <w:bodyDiv w:val="1"/>
      <w:marLeft w:val="0"/>
      <w:marRight w:val="0"/>
      <w:marTop w:val="0"/>
      <w:marBottom w:val="0"/>
      <w:divBdr>
        <w:top w:val="none" w:sz="0" w:space="0" w:color="auto"/>
        <w:left w:val="none" w:sz="0" w:space="0" w:color="auto"/>
        <w:bottom w:val="none" w:sz="0" w:space="0" w:color="auto"/>
        <w:right w:val="none" w:sz="0" w:space="0" w:color="auto"/>
      </w:divBdr>
    </w:div>
    <w:div w:id="564603651">
      <w:bodyDiv w:val="1"/>
      <w:marLeft w:val="0"/>
      <w:marRight w:val="0"/>
      <w:marTop w:val="0"/>
      <w:marBottom w:val="0"/>
      <w:divBdr>
        <w:top w:val="none" w:sz="0" w:space="0" w:color="auto"/>
        <w:left w:val="none" w:sz="0" w:space="0" w:color="auto"/>
        <w:bottom w:val="none" w:sz="0" w:space="0" w:color="auto"/>
        <w:right w:val="none" w:sz="0" w:space="0" w:color="auto"/>
      </w:divBdr>
    </w:div>
    <w:div w:id="564607483">
      <w:bodyDiv w:val="1"/>
      <w:marLeft w:val="0"/>
      <w:marRight w:val="0"/>
      <w:marTop w:val="0"/>
      <w:marBottom w:val="0"/>
      <w:divBdr>
        <w:top w:val="none" w:sz="0" w:space="0" w:color="auto"/>
        <w:left w:val="none" w:sz="0" w:space="0" w:color="auto"/>
        <w:bottom w:val="none" w:sz="0" w:space="0" w:color="auto"/>
        <w:right w:val="none" w:sz="0" w:space="0" w:color="auto"/>
      </w:divBdr>
    </w:div>
    <w:div w:id="565729678">
      <w:bodyDiv w:val="1"/>
      <w:marLeft w:val="0"/>
      <w:marRight w:val="0"/>
      <w:marTop w:val="0"/>
      <w:marBottom w:val="0"/>
      <w:divBdr>
        <w:top w:val="none" w:sz="0" w:space="0" w:color="auto"/>
        <w:left w:val="none" w:sz="0" w:space="0" w:color="auto"/>
        <w:bottom w:val="none" w:sz="0" w:space="0" w:color="auto"/>
        <w:right w:val="none" w:sz="0" w:space="0" w:color="auto"/>
      </w:divBdr>
    </w:div>
    <w:div w:id="567694384">
      <w:bodyDiv w:val="1"/>
      <w:marLeft w:val="0"/>
      <w:marRight w:val="0"/>
      <w:marTop w:val="0"/>
      <w:marBottom w:val="0"/>
      <w:divBdr>
        <w:top w:val="none" w:sz="0" w:space="0" w:color="auto"/>
        <w:left w:val="none" w:sz="0" w:space="0" w:color="auto"/>
        <w:bottom w:val="none" w:sz="0" w:space="0" w:color="auto"/>
        <w:right w:val="none" w:sz="0" w:space="0" w:color="auto"/>
      </w:divBdr>
    </w:div>
    <w:div w:id="568417871">
      <w:bodyDiv w:val="1"/>
      <w:marLeft w:val="0"/>
      <w:marRight w:val="0"/>
      <w:marTop w:val="0"/>
      <w:marBottom w:val="0"/>
      <w:divBdr>
        <w:top w:val="none" w:sz="0" w:space="0" w:color="auto"/>
        <w:left w:val="none" w:sz="0" w:space="0" w:color="auto"/>
        <w:bottom w:val="none" w:sz="0" w:space="0" w:color="auto"/>
        <w:right w:val="none" w:sz="0" w:space="0" w:color="auto"/>
      </w:divBdr>
    </w:div>
    <w:div w:id="568418622">
      <w:bodyDiv w:val="1"/>
      <w:marLeft w:val="0"/>
      <w:marRight w:val="0"/>
      <w:marTop w:val="0"/>
      <w:marBottom w:val="0"/>
      <w:divBdr>
        <w:top w:val="none" w:sz="0" w:space="0" w:color="auto"/>
        <w:left w:val="none" w:sz="0" w:space="0" w:color="auto"/>
        <w:bottom w:val="none" w:sz="0" w:space="0" w:color="auto"/>
        <w:right w:val="none" w:sz="0" w:space="0" w:color="auto"/>
      </w:divBdr>
    </w:div>
    <w:div w:id="568542735">
      <w:bodyDiv w:val="1"/>
      <w:marLeft w:val="0"/>
      <w:marRight w:val="0"/>
      <w:marTop w:val="0"/>
      <w:marBottom w:val="0"/>
      <w:divBdr>
        <w:top w:val="none" w:sz="0" w:space="0" w:color="auto"/>
        <w:left w:val="none" w:sz="0" w:space="0" w:color="auto"/>
        <w:bottom w:val="none" w:sz="0" w:space="0" w:color="auto"/>
        <w:right w:val="none" w:sz="0" w:space="0" w:color="auto"/>
      </w:divBdr>
    </w:div>
    <w:div w:id="569968738">
      <w:bodyDiv w:val="1"/>
      <w:marLeft w:val="0"/>
      <w:marRight w:val="0"/>
      <w:marTop w:val="0"/>
      <w:marBottom w:val="0"/>
      <w:divBdr>
        <w:top w:val="none" w:sz="0" w:space="0" w:color="auto"/>
        <w:left w:val="none" w:sz="0" w:space="0" w:color="auto"/>
        <w:bottom w:val="none" w:sz="0" w:space="0" w:color="auto"/>
        <w:right w:val="none" w:sz="0" w:space="0" w:color="auto"/>
      </w:divBdr>
    </w:div>
    <w:div w:id="583609045">
      <w:bodyDiv w:val="1"/>
      <w:marLeft w:val="0"/>
      <w:marRight w:val="0"/>
      <w:marTop w:val="0"/>
      <w:marBottom w:val="0"/>
      <w:divBdr>
        <w:top w:val="none" w:sz="0" w:space="0" w:color="auto"/>
        <w:left w:val="none" w:sz="0" w:space="0" w:color="auto"/>
        <w:bottom w:val="none" w:sz="0" w:space="0" w:color="auto"/>
        <w:right w:val="none" w:sz="0" w:space="0" w:color="auto"/>
      </w:divBdr>
    </w:div>
    <w:div w:id="585453808">
      <w:bodyDiv w:val="1"/>
      <w:marLeft w:val="0"/>
      <w:marRight w:val="0"/>
      <w:marTop w:val="0"/>
      <w:marBottom w:val="0"/>
      <w:divBdr>
        <w:top w:val="none" w:sz="0" w:space="0" w:color="auto"/>
        <w:left w:val="none" w:sz="0" w:space="0" w:color="auto"/>
        <w:bottom w:val="none" w:sz="0" w:space="0" w:color="auto"/>
        <w:right w:val="none" w:sz="0" w:space="0" w:color="auto"/>
      </w:divBdr>
    </w:div>
    <w:div w:id="598564053">
      <w:bodyDiv w:val="1"/>
      <w:marLeft w:val="0"/>
      <w:marRight w:val="0"/>
      <w:marTop w:val="0"/>
      <w:marBottom w:val="0"/>
      <w:divBdr>
        <w:top w:val="none" w:sz="0" w:space="0" w:color="auto"/>
        <w:left w:val="none" w:sz="0" w:space="0" w:color="auto"/>
        <w:bottom w:val="none" w:sz="0" w:space="0" w:color="auto"/>
        <w:right w:val="none" w:sz="0" w:space="0" w:color="auto"/>
      </w:divBdr>
    </w:div>
    <w:div w:id="624581031">
      <w:bodyDiv w:val="1"/>
      <w:marLeft w:val="0"/>
      <w:marRight w:val="0"/>
      <w:marTop w:val="0"/>
      <w:marBottom w:val="0"/>
      <w:divBdr>
        <w:top w:val="none" w:sz="0" w:space="0" w:color="auto"/>
        <w:left w:val="none" w:sz="0" w:space="0" w:color="auto"/>
        <w:bottom w:val="none" w:sz="0" w:space="0" w:color="auto"/>
        <w:right w:val="none" w:sz="0" w:space="0" w:color="auto"/>
      </w:divBdr>
    </w:div>
    <w:div w:id="628438598">
      <w:bodyDiv w:val="1"/>
      <w:marLeft w:val="0"/>
      <w:marRight w:val="0"/>
      <w:marTop w:val="0"/>
      <w:marBottom w:val="0"/>
      <w:divBdr>
        <w:top w:val="none" w:sz="0" w:space="0" w:color="auto"/>
        <w:left w:val="none" w:sz="0" w:space="0" w:color="auto"/>
        <w:bottom w:val="none" w:sz="0" w:space="0" w:color="auto"/>
        <w:right w:val="none" w:sz="0" w:space="0" w:color="auto"/>
      </w:divBdr>
    </w:div>
    <w:div w:id="637147092">
      <w:bodyDiv w:val="1"/>
      <w:marLeft w:val="0"/>
      <w:marRight w:val="0"/>
      <w:marTop w:val="0"/>
      <w:marBottom w:val="0"/>
      <w:divBdr>
        <w:top w:val="none" w:sz="0" w:space="0" w:color="auto"/>
        <w:left w:val="none" w:sz="0" w:space="0" w:color="auto"/>
        <w:bottom w:val="none" w:sz="0" w:space="0" w:color="auto"/>
        <w:right w:val="none" w:sz="0" w:space="0" w:color="auto"/>
      </w:divBdr>
    </w:div>
    <w:div w:id="640312568">
      <w:bodyDiv w:val="1"/>
      <w:marLeft w:val="0"/>
      <w:marRight w:val="0"/>
      <w:marTop w:val="0"/>
      <w:marBottom w:val="0"/>
      <w:divBdr>
        <w:top w:val="none" w:sz="0" w:space="0" w:color="auto"/>
        <w:left w:val="none" w:sz="0" w:space="0" w:color="auto"/>
        <w:bottom w:val="none" w:sz="0" w:space="0" w:color="auto"/>
        <w:right w:val="none" w:sz="0" w:space="0" w:color="auto"/>
      </w:divBdr>
    </w:div>
    <w:div w:id="683939161">
      <w:bodyDiv w:val="1"/>
      <w:marLeft w:val="0"/>
      <w:marRight w:val="0"/>
      <w:marTop w:val="0"/>
      <w:marBottom w:val="0"/>
      <w:divBdr>
        <w:top w:val="none" w:sz="0" w:space="0" w:color="auto"/>
        <w:left w:val="none" w:sz="0" w:space="0" w:color="auto"/>
        <w:bottom w:val="none" w:sz="0" w:space="0" w:color="auto"/>
        <w:right w:val="none" w:sz="0" w:space="0" w:color="auto"/>
      </w:divBdr>
    </w:div>
    <w:div w:id="686177438">
      <w:bodyDiv w:val="1"/>
      <w:marLeft w:val="0"/>
      <w:marRight w:val="0"/>
      <w:marTop w:val="0"/>
      <w:marBottom w:val="0"/>
      <w:divBdr>
        <w:top w:val="none" w:sz="0" w:space="0" w:color="auto"/>
        <w:left w:val="none" w:sz="0" w:space="0" w:color="auto"/>
        <w:bottom w:val="none" w:sz="0" w:space="0" w:color="auto"/>
        <w:right w:val="none" w:sz="0" w:space="0" w:color="auto"/>
      </w:divBdr>
    </w:div>
    <w:div w:id="691607385">
      <w:bodyDiv w:val="1"/>
      <w:marLeft w:val="0"/>
      <w:marRight w:val="0"/>
      <w:marTop w:val="0"/>
      <w:marBottom w:val="0"/>
      <w:divBdr>
        <w:top w:val="none" w:sz="0" w:space="0" w:color="auto"/>
        <w:left w:val="none" w:sz="0" w:space="0" w:color="auto"/>
        <w:bottom w:val="none" w:sz="0" w:space="0" w:color="auto"/>
        <w:right w:val="none" w:sz="0" w:space="0" w:color="auto"/>
      </w:divBdr>
    </w:div>
    <w:div w:id="695036474">
      <w:bodyDiv w:val="1"/>
      <w:marLeft w:val="0"/>
      <w:marRight w:val="0"/>
      <w:marTop w:val="0"/>
      <w:marBottom w:val="0"/>
      <w:divBdr>
        <w:top w:val="none" w:sz="0" w:space="0" w:color="auto"/>
        <w:left w:val="none" w:sz="0" w:space="0" w:color="auto"/>
        <w:bottom w:val="none" w:sz="0" w:space="0" w:color="auto"/>
        <w:right w:val="none" w:sz="0" w:space="0" w:color="auto"/>
      </w:divBdr>
    </w:div>
    <w:div w:id="696085728">
      <w:bodyDiv w:val="1"/>
      <w:marLeft w:val="0"/>
      <w:marRight w:val="0"/>
      <w:marTop w:val="0"/>
      <w:marBottom w:val="0"/>
      <w:divBdr>
        <w:top w:val="none" w:sz="0" w:space="0" w:color="auto"/>
        <w:left w:val="none" w:sz="0" w:space="0" w:color="auto"/>
        <w:bottom w:val="none" w:sz="0" w:space="0" w:color="auto"/>
        <w:right w:val="none" w:sz="0" w:space="0" w:color="auto"/>
      </w:divBdr>
    </w:div>
    <w:div w:id="696270765">
      <w:bodyDiv w:val="1"/>
      <w:marLeft w:val="0"/>
      <w:marRight w:val="0"/>
      <w:marTop w:val="0"/>
      <w:marBottom w:val="0"/>
      <w:divBdr>
        <w:top w:val="none" w:sz="0" w:space="0" w:color="auto"/>
        <w:left w:val="none" w:sz="0" w:space="0" w:color="auto"/>
        <w:bottom w:val="none" w:sz="0" w:space="0" w:color="auto"/>
        <w:right w:val="none" w:sz="0" w:space="0" w:color="auto"/>
      </w:divBdr>
    </w:div>
    <w:div w:id="700935517">
      <w:bodyDiv w:val="1"/>
      <w:marLeft w:val="0"/>
      <w:marRight w:val="0"/>
      <w:marTop w:val="0"/>
      <w:marBottom w:val="0"/>
      <w:divBdr>
        <w:top w:val="none" w:sz="0" w:space="0" w:color="auto"/>
        <w:left w:val="none" w:sz="0" w:space="0" w:color="auto"/>
        <w:bottom w:val="none" w:sz="0" w:space="0" w:color="auto"/>
        <w:right w:val="none" w:sz="0" w:space="0" w:color="auto"/>
      </w:divBdr>
    </w:div>
    <w:div w:id="701588814">
      <w:bodyDiv w:val="1"/>
      <w:marLeft w:val="0"/>
      <w:marRight w:val="0"/>
      <w:marTop w:val="0"/>
      <w:marBottom w:val="0"/>
      <w:divBdr>
        <w:top w:val="none" w:sz="0" w:space="0" w:color="auto"/>
        <w:left w:val="none" w:sz="0" w:space="0" w:color="auto"/>
        <w:bottom w:val="none" w:sz="0" w:space="0" w:color="auto"/>
        <w:right w:val="none" w:sz="0" w:space="0" w:color="auto"/>
      </w:divBdr>
    </w:div>
    <w:div w:id="709375163">
      <w:bodyDiv w:val="1"/>
      <w:marLeft w:val="0"/>
      <w:marRight w:val="0"/>
      <w:marTop w:val="0"/>
      <w:marBottom w:val="0"/>
      <w:divBdr>
        <w:top w:val="none" w:sz="0" w:space="0" w:color="auto"/>
        <w:left w:val="none" w:sz="0" w:space="0" w:color="auto"/>
        <w:bottom w:val="none" w:sz="0" w:space="0" w:color="auto"/>
        <w:right w:val="none" w:sz="0" w:space="0" w:color="auto"/>
      </w:divBdr>
    </w:div>
    <w:div w:id="714473499">
      <w:bodyDiv w:val="1"/>
      <w:marLeft w:val="0"/>
      <w:marRight w:val="0"/>
      <w:marTop w:val="0"/>
      <w:marBottom w:val="0"/>
      <w:divBdr>
        <w:top w:val="none" w:sz="0" w:space="0" w:color="auto"/>
        <w:left w:val="none" w:sz="0" w:space="0" w:color="auto"/>
        <w:bottom w:val="none" w:sz="0" w:space="0" w:color="auto"/>
        <w:right w:val="none" w:sz="0" w:space="0" w:color="auto"/>
      </w:divBdr>
    </w:div>
    <w:div w:id="718170745">
      <w:bodyDiv w:val="1"/>
      <w:marLeft w:val="0"/>
      <w:marRight w:val="0"/>
      <w:marTop w:val="0"/>
      <w:marBottom w:val="0"/>
      <w:divBdr>
        <w:top w:val="none" w:sz="0" w:space="0" w:color="auto"/>
        <w:left w:val="none" w:sz="0" w:space="0" w:color="auto"/>
        <w:bottom w:val="none" w:sz="0" w:space="0" w:color="auto"/>
        <w:right w:val="none" w:sz="0" w:space="0" w:color="auto"/>
      </w:divBdr>
    </w:div>
    <w:div w:id="729425210">
      <w:bodyDiv w:val="1"/>
      <w:marLeft w:val="0"/>
      <w:marRight w:val="0"/>
      <w:marTop w:val="0"/>
      <w:marBottom w:val="0"/>
      <w:divBdr>
        <w:top w:val="none" w:sz="0" w:space="0" w:color="auto"/>
        <w:left w:val="none" w:sz="0" w:space="0" w:color="auto"/>
        <w:bottom w:val="none" w:sz="0" w:space="0" w:color="auto"/>
        <w:right w:val="none" w:sz="0" w:space="0" w:color="auto"/>
      </w:divBdr>
    </w:div>
    <w:div w:id="732584005">
      <w:bodyDiv w:val="1"/>
      <w:marLeft w:val="0"/>
      <w:marRight w:val="0"/>
      <w:marTop w:val="0"/>
      <w:marBottom w:val="0"/>
      <w:divBdr>
        <w:top w:val="none" w:sz="0" w:space="0" w:color="auto"/>
        <w:left w:val="none" w:sz="0" w:space="0" w:color="auto"/>
        <w:bottom w:val="none" w:sz="0" w:space="0" w:color="auto"/>
        <w:right w:val="none" w:sz="0" w:space="0" w:color="auto"/>
      </w:divBdr>
    </w:div>
    <w:div w:id="735712905">
      <w:bodyDiv w:val="1"/>
      <w:marLeft w:val="0"/>
      <w:marRight w:val="0"/>
      <w:marTop w:val="0"/>
      <w:marBottom w:val="0"/>
      <w:divBdr>
        <w:top w:val="none" w:sz="0" w:space="0" w:color="auto"/>
        <w:left w:val="none" w:sz="0" w:space="0" w:color="auto"/>
        <w:bottom w:val="none" w:sz="0" w:space="0" w:color="auto"/>
        <w:right w:val="none" w:sz="0" w:space="0" w:color="auto"/>
      </w:divBdr>
    </w:div>
    <w:div w:id="739328259">
      <w:bodyDiv w:val="1"/>
      <w:marLeft w:val="0"/>
      <w:marRight w:val="0"/>
      <w:marTop w:val="0"/>
      <w:marBottom w:val="0"/>
      <w:divBdr>
        <w:top w:val="none" w:sz="0" w:space="0" w:color="auto"/>
        <w:left w:val="none" w:sz="0" w:space="0" w:color="auto"/>
        <w:bottom w:val="none" w:sz="0" w:space="0" w:color="auto"/>
        <w:right w:val="none" w:sz="0" w:space="0" w:color="auto"/>
      </w:divBdr>
    </w:div>
    <w:div w:id="740324700">
      <w:bodyDiv w:val="1"/>
      <w:marLeft w:val="0"/>
      <w:marRight w:val="0"/>
      <w:marTop w:val="0"/>
      <w:marBottom w:val="0"/>
      <w:divBdr>
        <w:top w:val="none" w:sz="0" w:space="0" w:color="auto"/>
        <w:left w:val="none" w:sz="0" w:space="0" w:color="auto"/>
        <w:bottom w:val="none" w:sz="0" w:space="0" w:color="auto"/>
        <w:right w:val="none" w:sz="0" w:space="0" w:color="auto"/>
      </w:divBdr>
    </w:div>
    <w:div w:id="747575089">
      <w:bodyDiv w:val="1"/>
      <w:marLeft w:val="0"/>
      <w:marRight w:val="0"/>
      <w:marTop w:val="0"/>
      <w:marBottom w:val="0"/>
      <w:divBdr>
        <w:top w:val="none" w:sz="0" w:space="0" w:color="auto"/>
        <w:left w:val="none" w:sz="0" w:space="0" w:color="auto"/>
        <w:bottom w:val="none" w:sz="0" w:space="0" w:color="auto"/>
        <w:right w:val="none" w:sz="0" w:space="0" w:color="auto"/>
      </w:divBdr>
    </w:div>
    <w:div w:id="769156285">
      <w:bodyDiv w:val="1"/>
      <w:marLeft w:val="0"/>
      <w:marRight w:val="0"/>
      <w:marTop w:val="0"/>
      <w:marBottom w:val="0"/>
      <w:divBdr>
        <w:top w:val="none" w:sz="0" w:space="0" w:color="auto"/>
        <w:left w:val="none" w:sz="0" w:space="0" w:color="auto"/>
        <w:bottom w:val="none" w:sz="0" w:space="0" w:color="auto"/>
        <w:right w:val="none" w:sz="0" w:space="0" w:color="auto"/>
      </w:divBdr>
      <w:divsChild>
        <w:div w:id="6860558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8087657">
              <w:marLeft w:val="0"/>
              <w:marRight w:val="0"/>
              <w:marTop w:val="0"/>
              <w:marBottom w:val="0"/>
              <w:divBdr>
                <w:top w:val="none" w:sz="0" w:space="0" w:color="auto"/>
                <w:left w:val="none" w:sz="0" w:space="0" w:color="auto"/>
                <w:bottom w:val="none" w:sz="0" w:space="0" w:color="auto"/>
                <w:right w:val="none" w:sz="0" w:space="0" w:color="auto"/>
              </w:divBdr>
              <w:divsChild>
                <w:div w:id="1212423312">
                  <w:marLeft w:val="0"/>
                  <w:marRight w:val="0"/>
                  <w:marTop w:val="0"/>
                  <w:marBottom w:val="0"/>
                  <w:divBdr>
                    <w:top w:val="none" w:sz="0" w:space="0" w:color="auto"/>
                    <w:left w:val="none" w:sz="0" w:space="0" w:color="auto"/>
                    <w:bottom w:val="none" w:sz="0" w:space="0" w:color="auto"/>
                    <w:right w:val="none" w:sz="0" w:space="0" w:color="auto"/>
                  </w:divBdr>
                  <w:divsChild>
                    <w:div w:id="197578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5095610">
      <w:bodyDiv w:val="1"/>
      <w:marLeft w:val="0"/>
      <w:marRight w:val="0"/>
      <w:marTop w:val="0"/>
      <w:marBottom w:val="0"/>
      <w:divBdr>
        <w:top w:val="none" w:sz="0" w:space="0" w:color="auto"/>
        <w:left w:val="none" w:sz="0" w:space="0" w:color="auto"/>
        <w:bottom w:val="none" w:sz="0" w:space="0" w:color="auto"/>
        <w:right w:val="none" w:sz="0" w:space="0" w:color="auto"/>
      </w:divBdr>
    </w:div>
    <w:div w:id="778109797">
      <w:bodyDiv w:val="1"/>
      <w:marLeft w:val="0"/>
      <w:marRight w:val="0"/>
      <w:marTop w:val="0"/>
      <w:marBottom w:val="0"/>
      <w:divBdr>
        <w:top w:val="none" w:sz="0" w:space="0" w:color="auto"/>
        <w:left w:val="none" w:sz="0" w:space="0" w:color="auto"/>
        <w:bottom w:val="none" w:sz="0" w:space="0" w:color="auto"/>
        <w:right w:val="none" w:sz="0" w:space="0" w:color="auto"/>
      </w:divBdr>
    </w:div>
    <w:div w:id="780879833">
      <w:bodyDiv w:val="1"/>
      <w:marLeft w:val="0"/>
      <w:marRight w:val="0"/>
      <w:marTop w:val="0"/>
      <w:marBottom w:val="0"/>
      <w:divBdr>
        <w:top w:val="none" w:sz="0" w:space="0" w:color="auto"/>
        <w:left w:val="none" w:sz="0" w:space="0" w:color="auto"/>
        <w:bottom w:val="none" w:sz="0" w:space="0" w:color="auto"/>
        <w:right w:val="none" w:sz="0" w:space="0" w:color="auto"/>
      </w:divBdr>
    </w:div>
    <w:div w:id="796072166">
      <w:bodyDiv w:val="1"/>
      <w:marLeft w:val="0"/>
      <w:marRight w:val="0"/>
      <w:marTop w:val="0"/>
      <w:marBottom w:val="0"/>
      <w:divBdr>
        <w:top w:val="none" w:sz="0" w:space="0" w:color="auto"/>
        <w:left w:val="none" w:sz="0" w:space="0" w:color="auto"/>
        <w:bottom w:val="none" w:sz="0" w:space="0" w:color="auto"/>
        <w:right w:val="none" w:sz="0" w:space="0" w:color="auto"/>
      </w:divBdr>
    </w:div>
    <w:div w:id="804201019">
      <w:bodyDiv w:val="1"/>
      <w:marLeft w:val="0"/>
      <w:marRight w:val="0"/>
      <w:marTop w:val="0"/>
      <w:marBottom w:val="0"/>
      <w:divBdr>
        <w:top w:val="none" w:sz="0" w:space="0" w:color="auto"/>
        <w:left w:val="none" w:sz="0" w:space="0" w:color="auto"/>
        <w:bottom w:val="none" w:sz="0" w:space="0" w:color="auto"/>
        <w:right w:val="none" w:sz="0" w:space="0" w:color="auto"/>
      </w:divBdr>
    </w:div>
    <w:div w:id="811672285">
      <w:bodyDiv w:val="1"/>
      <w:marLeft w:val="0"/>
      <w:marRight w:val="0"/>
      <w:marTop w:val="0"/>
      <w:marBottom w:val="0"/>
      <w:divBdr>
        <w:top w:val="none" w:sz="0" w:space="0" w:color="auto"/>
        <w:left w:val="none" w:sz="0" w:space="0" w:color="auto"/>
        <w:bottom w:val="none" w:sz="0" w:space="0" w:color="auto"/>
        <w:right w:val="none" w:sz="0" w:space="0" w:color="auto"/>
      </w:divBdr>
    </w:div>
    <w:div w:id="821970744">
      <w:bodyDiv w:val="1"/>
      <w:marLeft w:val="0"/>
      <w:marRight w:val="0"/>
      <w:marTop w:val="0"/>
      <w:marBottom w:val="0"/>
      <w:divBdr>
        <w:top w:val="none" w:sz="0" w:space="0" w:color="auto"/>
        <w:left w:val="none" w:sz="0" w:space="0" w:color="auto"/>
        <w:bottom w:val="none" w:sz="0" w:space="0" w:color="auto"/>
        <w:right w:val="none" w:sz="0" w:space="0" w:color="auto"/>
      </w:divBdr>
    </w:div>
    <w:div w:id="834496044">
      <w:bodyDiv w:val="1"/>
      <w:marLeft w:val="0"/>
      <w:marRight w:val="0"/>
      <w:marTop w:val="0"/>
      <w:marBottom w:val="0"/>
      <w:divBdr>
        <w:top w:val="none" w:sz="0" w:space="0" w:color="auto"/>
        <w:left w:val="none" w:sz="0" w:space="0" w:color="auto"/>
        <w:bottom w:val="none" w:sz="0" w:space="0" w:color="auto"/>
        <w:right w:val="none" w:sz="0" w:space="0" w:color="auto"/>
      </w:divBdr>
    </w:div>
    <w:div w:id="835002148">
      <w:bodyDiv w:val="1"/>
      <w:marLeft w:val="0"/>
      <w:marRight w:val="0"/>
      <w:marTop w:val="0"/>
      <w:marBottom w:val="0"/>
      <w:divBdr>
        <w:top w:val="none" w:sz="0" w:space="0" w:color="auto"/>
        <w:left w:val="none" w:sz="0" w:space="0" w:color="auto"/>
        <w:bottom w:val="none" w:sz="0" w:space="0" w:color="auto"/>
        <w:right w:val="none" w:sz="0" w:space="0" w:color="auto"/>
      </w:divBdr>
    </w:div>
    <w:div w:id="857348906">
      <w:bodyDiv w:val="1"/>
      <w:marLeft w:val="0"/>
      <w:marRight w:val="0"/>
      <w:marTop w:val="0"/>
      <w:marBottom w:val="0"/>
      <w:divBdr>
        <w:top w:val="none" w:sz="0" w:space="0" w:color="auto"/>
        <w:left w:val="none" w:sz="0" w:space="0" w:color="auto"/>
        <w:bottom w:val="none" w:sz="0" w:space="0" w:color="auto"/>
        <w:right w:val="none" w:sz="0" w:space="0" w:color="auto"/>
      </w:divBdr>
    </w:div>
    <w:div w:id="865295504">
      <w:bodyDiv w:val="1"/>
      <w:marLeft w:val="0"/>
      <w:marRight w:val="0"/>
      <w:marTop w:val="0"/>
      <w:marBottom w:val="0"/>
      <w:divBdr>
        <w:top w:val="none" w:sz="0" w:space="0" w:color="auto"/>
        <w:left w:val="none" w:sz="0" w:space="0" w:color="auto"/>
        <w:bottom w:val="none" w:sz="0" w:space="0" w:color="auto"/>
        <w:right w:val="none" w:sz="0" w:space="0" w:color="auto"/>
      </w:divBdr>
    </w:div>
    <w:div w:id="868177682">
      <w:bodyDiv w:val="1"/>
      <w:marLeft w:val="0"/>
      <w:marRight w:val="0"/>
      <w:marTop w:val="0"/>
      <w:marBottom w:val="0"/>
      <w:divBdr>
        <w:top w:val="none" w:sz="0" w:space="0" w:color="auto"/>
        <w:left w:val="none" w:sz="0" w:space="0" w:color="auto"/>
        <w:bottom w:val="none" w:sz="0" w:space="0" w:color="auto"/>
        <w:right w:val="none" w:sz="0" w:space="0" w:color="auto"/>
      </w:divBdr>
    </w:div>
    <w:div w:id="889001327">
      <w:bodyDiv w:val="1"/>
      <w:marLeft w:val="0"/>
      <w:marRight w:val="0"/>
      <w:marTop w:val="0"/>
      <w:marBottom w:val="0"/>
      <w:divBdr>
        <w:top w:val="none" w:sz="0" w:space="0" w:color="auto"/>
        <w:left w:val="none" w:sz="0" w:space="0" w:color="auto"/>
        <w:bottom w:val="none" w:sz="0" w:space="0" w:color="auto"/>
        <w:right w:val="none" w:sz="0" w:space="0" w:color="auto"/>
      </w:divBdr>
    </w:div>
    <w:div w:id="889152845">
      <w:bodyDiv w:val="1"/>
      <w:marLeft w:val="0"/>
      <w:marRight w:val="0"/>
      <w:marTop w:val="0"/>
      <w:marBottom w:val="0"/>
      <w:divBdr>
        <w:top w:val="none" w:sz="0" w:space="0" w:color="auto"/>
        <w:left w:val="none" w:sz="0" w:space="0" w:color="auto"/>
        <w:bottom w:val="none" w:sz="0" w:space="0" w:color="auto"/>
        <w:right w:val="none" w:sz="0" w:space="0" w:color="auto"/>
      </w:divBdr>
    </w:div>
    <w:div w:id="906691703">
      <w:bodyDiv w:val="1"/>
      <w:marLeft w:val="0"/>
      <w:marRight w:val="0"/>
      <w:marTop w:val="0"/>
      <w:marBottom w:val="0"/>
      <w:divBdr>
        <w:top w:val="none" w:sz="0" w:space="0" w:color="auto"/>
        <w:left w:val="none" w:sz="0" w:space="0" w:color="auto"/>
        <w:bottom w:val="none" w:sz="0" w:space="0" w:color="auto"/>
        <w:right w:val="none" w:sz="0" w:space="0" w:color="auto"/>
      </w:divBdr>
      <w:divsChild>
        <w:div w:id="859196496">
          <w:marLeft w:val="0"/>
          <w:marRight w:val="0"/>
          <w:marTop w:val="0"/>
          <w:marBottom w:val="0"/>
          <w:divBdr>
            <w:top w:val="none" w:sz="0" w:space="0" w:color="auto"/>
            <w:left w:val="none" w:sz="0" w:space="0" w:color="auto"/>
            <w:bottom w:val="none" w:sz="0" w:space="0" w:color="auto"/>
            <w:right w:val="none" w:sz="0" w:space="0" w:color="auto"/>
          </w:divBdr>
        </w:div>
        <w:div w:id="1983464744">
          <w:marLeft w:val="0"/>
          <w:marRight w:val="0"/>
          <w:marTop w:val="0"/>
          <w:marBottom w:val="0"/>
          <w:divBdr>
            <w:top w:val="none" w:sz="0" w:space="0" w:color="auto"/>
            <w:left w:val="none" w:sz="0" w:space="0" w:color="auto"/>
            <w:bottom w:val="none" w:sz="0" w:space="0" w:color="auto"/>
            <w:right w:val="none" w:sz="0" w:space="0" w:color="auto"/>
          </w:divBdr>
        </w:div>
      </w:divsChild>
    </w:div>
    <w:div w:id="922253769">
      <w:bodyDiv w:val="1"/>
      <w:marLeft w:val="0"/>
      <w:marRight w:val="0"/>
      <w:marTop w:val="0"/>
      <w:marBottom w:val="0"/>
      <w:divBdr>
        <w:top w:val="none" w:sz="0" w:space="0" w:color="auto"/>
        <w:left w:val="none" w:sz="0" w:space="0" w:color="auto"/>
        <w:bottom w:val="none" w:sz="0" w:space="0" w:color="auto"/>
        <w:right w:val="none" w:sz="0" w:space="0" w:color="auto"/>
      </w:divBdr>
    </w:div>
    <w:div w:id="947353911">
      <w:bodyDiv w:val="1"/>
      <w:marLeft w:val="0"/>
      <w:marRight w:val="0"/>
      <w:marTop w:val="0"/>
      <w:marBottom w:val="0"/>
      <w:divBdr>
        <w:top w:val="none" w:sz="0" w:space="0" w:color="auto"/>
        <w:left w:val="none" w:sz="0" w:space="0" w:color="auto"/>
        <w:bottom w:val="none" w:sz="0" w:space="0" w:color="auto"/>
        <w:right w:val="none" w:sz="0" w:space="0" w:color="auto"/>
      </w:divBdr>
    </w:div>
    <w:div w:id="960184588">
      <w:bodyDiv w:val="1"/>
      <w:marLeft w:val="0"/>
      <w:marRight w:val="0"/>
      <w:marTop w:val="0"/>
      <w:marBottom w:val="0"/>
      <w:divBdr>
        <w:top w:val="none" w:sz="0" w:space="0" w:color="auto"/>
        <w:left w:val="none" w:sz="0" w:space="0" w:color="auto"/>
        <w:bottom w:val="none" w:sz="0" w:space="0" w:color="auto"/>
        <w:right w:val="none" w:sz="0" w:space="0" w:color="auto"/>
      </w:divBdr>
      <w:divsChild>
        <w:div w:id="1141923194">
          <w:marLeft w:val="0"/>
          <w:marRight w:val="0"/>
          <w:marTop w:val="15"/>
          <w:marBottom w:val="0"/>
          <w:divBdr>
            <w:top w:val="single" w:sz="48" w:space="0" w:color="auto"/>
            <w:left w:val="single" w:sz="48" w:space="0" w:color="auto"/>
            <w:bottom w:val="single" w:sz="48" w:space="0" w:color="auto"/>
            <w:right w:val="single" w:sz="48" w:space="0" w:color="auto"/>
          </w:divBdr>
          <w:divsChild>
            <w:div w:id="141166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645438">
      <w:bodyDiv w:val="1"/>
      <w:marLeft w:val="0"/>
      <w:marRight w:val="0"/>
      <w:marTop w:val="0"/>
      <w:marBottom w:val="0"/>
      <w:divBdr>
        <w:top w:val="none" w:sz="0" w:space="0" w:color="auto"/>
        <w:left w:val="none" w:sz="0" w:space="0" w:color="auto"/>
        <w:bottom w:val="none" w:sz="0" w:space="0" w:color="auto"/>
        <w:right w:val="none" w:sz="0" w:space="0" w:color="auto"/>
      </w:divBdr>
    </w:div>
    <w:div w:id="989214932">
      <w:bodyDiv w:val="1"/>
      <w:marLeft w:val="0"/>
      <w:marRight w:val="0"/>
      <w:marTop w:val="0"/>
      <w:marBottom w:val="0"/>
      <w:divBdr>
        <w:top w:val="none" w:sz="0" w:space="0" w:color="auto"/>
        <w:left w:val="none" w:sz="0" w:space="0" w:color="auto"/>
        <w:bottom w:val="none" w:sz="0" w:space="0" w:color="auto"/>
        <w:right w:val="none" w:sz="0" w:space="0" w:color="auto"/>
      </w:divBdr>
    </w:div>
    <w:div w:id="1006322917">
      <w:bodyDiv w:val="1"/>
      <w:marLeft w:val="0"/>
      <w:marRight w:val="0"/>
      <w:marTop w:val="0"/>
      <w:marBottom w:val="0"/>
      <w:divBdr>
        <w:top w:val="none" w:sz="0" w:space="0" w:color="auto"/>
        <w:left w:val="none" w:sz="0" w:space="0" w:color="auto"/>
        <w:bottom w:val="none" w:sz="0" w:space="0" w:color="auto"/>
        <w:right w:val="none" w:sz="0" w:space="0" w:color="auto"/>
      </w:divBdr>
    </w:div>
    <w:div w:id="1013069355">
      <w:bodyDiv w:val="1"/>
      <w:marLeft w:val="0"/>
      <w:marRight w:val="0"/>
      <w:marTop w:val="0"/>
      <w:marBottom w:val="0"/>
      <w:divBdr>
        <w:top w:val="none" w:sz="0" w:space="0" w:color="auto"/>
        <w:left w:val="none" w:sz="0" w:space="0" w:color="auto"/>
        <w:bottom w:val="none" w:sz="0" w:space="0" w:color="auto"/>
        <w:right w:val="none" w:sz="0" w:space="0" w:color="auto"/>
      </w:divBdr>
    </w:div>
    <w:div w:id="1013410961">
      <w:bodyDiv w:val="1"/>
      <w:marLeft w:val="0"/>
      <w:marRight w:val="0"/>
      <w:marTop w:val="0"/>
      <w:marBottom w:val="0"/>
      <w:divBdr>
        <w:top w:val="none" w:sz="0" w:space="0" w:color="auto"/>
        <w:left w:val="none" w:sz="0" w:space="0" w:color="auto"/>
        <w:bottom w:val="none" w:sz="0" w:space="0" w:color="auto"/>
        <w:right w:val="none" w:sz="0" w:space="0" w:color="auto"/>
      </w:divBdr>
    </w:div>
    <w:div w:id="1013647091">
      <w:bodyDiv w:val="1"/>
      <w:marLeft w:val="0"/>
      <w:marRight w:val="0"/>
      <w:marTop w:val="0"/>
      <w:marBottom w:val="0"/>
      <w:divBdr>
        <w:top w:val="none" w:sz="0" w:space="0" w:color="auto"/>
        <w:left w:val="none" w:sz="0" w:space="0" w:color="auto"/>
        <w:bottom w:val="none" w:sz="0" w:space="0" w:color="auto"/>
        <w:right w:val="none" w:sz="0" w:space="0" w:color="auto"/>
      </w:divBdr>
    </w:div>
    <w:div w:id="1028678439">
      <w:bodyDiv w:val="1"/>
      <w:marLeft w:val="0"/>
      <w:marRight w:val="0"/>
      <w:marTop w:val="0"/>
      <w:marBottom w:val="0"/>
      <w:divBdr>
        <w:top w:val="none" w:sz="0" w:space="0" w:color="auto"/>
        <w:left w:val="none" w:sz="0" w:space="0" w:color="auto"/>
        <w:bottom w:val="none" w:sz="0" w:space="0" w:color="auto"/>
        <w:right w:val="none" w:sz="0" w:space="0" w:color="auto"/>
      </w:divBdr>
    </w:div>
    <w:div w:id="1042440570">
      <w:bodyDiv w:val="1"/>
      <w:marLeft w:val="0"/>
      <w:marRight w:val="0"/>
      <w:marTop w:val="0"/>
      <w:marBottom w:val="0"/>
      <w:divBdr>
        <w:top w:val="none" w:sz="0" w:space="0" w:color="auto"/>
        <w:left w:val="none" w:sz="0" w:space="0" w:color="auto"/>
        <w:bottom w:val="none" w:sz="0" w:space="0" w:color="auto"/>
        <w:right w:val="none" w:sz="0" w:space="0" w:color="auto"/>
      </w:divBdr>
    </w:div>
    <w:div w:id="1047606732">
      <w:bodyDiv w:val="1"/>
      <w:marLeft w:val="0"/>
      <w:marRight w:val="0"/>
      <w:marTop w:val="0"/>
      <w:marBottom w:val="0"/>
      <w:divBdr>
        <w:top w:val="none" w:sz="0" w:space="0" w:color="auto"/>
        <w:left w:val="none" w:sz="0" w:space="0" w:color="auto"/>
        <w:bottom w:val="none" w:sz="0" w:space="0" w:color="auto"/>
        <w:right w:val="none" w:sz="0" w:space="0" w:color="auto"/>
      </w:divBdr>
    </w:div>
    <w:div w:id="1083719633">
      <w:bodyDiv w:val="1"/>
      <w:marLeft w:val="0"/>
      <w:marRight w:val="0"/>
      <w:marTop w:val="0"/>
      <w:marBottom w:val="0"/>
      <w:divBdr>
        <w:top w:val="none" w:sz="0" w:space="0" w:color="auto"/>
        <w:left w:val="none" w:sz="0" w:space="0" w:color="auto"/>
        <w:bottom w:val="none" w:sz="0" w:space="0" w:color="auto"/>
        <w:right w:val="none" w:sz="0" w:space="0" w:color="auto"/>
      </w:divBdr>
    </w:div>
    <w:div w:id="1089079056">
      <w:bodyDiv w:val="1"/>
      <w:marLeft w:val="0"/>
      <w:marRight w:val="0"/>
      <w:marTop w:val="0"/>
      <w:marBottom w:val="0"/>
      <w:divBdr>
        <w:top w:val="none" w:sz="0" w:space="0" w:color="auto"/>
        <w:left w:val="none" w:sz="0" w:space="0" w:color="auto"/>
        <w:bottom w:val="none" w:sz="0" w:space="0" w:color="auto"/>
        <w:right w:val="none" w:sz="0" w:space="0" w:color="auto"/>
      </w:divBdr>
    </w:div>
    <w:div w:id="1090740616">
      <w:bodyDiv w:val="1"/>
      <w:marLeft w:val="0"/>
      <w:marRight w:val="0"/>
      <w:marTop w:val="0"/>
      <w:marBottom w:val="0"/>
      <w:divBdr>
        <w:top w:val="none" w:sz="0" w:space="0" w:color="auto"/>
        <w:left w:val="none" w:sz="0" w:space="0" w:color="auto"/>
        <w:bottom w:val="none" w:sz="0" w:space="0" w:color="auto"/>
        <w:right w:val="none" w:sz="0" w:space="0" w:color="auto"/>
      </w:divBdr>
    </w:div>
    <w:div w:id="1092164306">
      <w:bodyDiv w:val="1"/>
      <w:marLeft w:val="0"/>
      <w:marRight w:val="0"/>
      <w:marTop w:val="0"/>
      <w:marBottom w:val="0"/>
      <w:divBdr>
        <w:top w:val="none" w:sz="0" w:space="0" w:color="auto"/>
        <w:left w:val="none" w:sz="0" w:space="0" w:color="auto"/>
        <w:bottom w:val="none" w:sz="0" w:space="0" w:color="auto"/>
        <w:right w:val="none" w:sz="0" w:space="0" w:color="auto"/>
      </w:divBdr>
    </w:div>
    <w:div w:id="1104615141">
      <w:bodyDiv w:val="1"/>
      <w:marLeft w:val="0"/>
      <w:marRight w:val="0"/>
      <w:marTop w:val="0"/>
      <w:marBottom w:val="0"/>
      <w:divBdr>
        <w:top w:val="none" w:sz="0" w:space="0" w:color="auto"/>
        <w:left w:val="none" w:sz="0" w:space="0" w:color="auto"/>
        <w:bottom w:val="none" w:sz="0" w:space="0" w:color="auto"/>
        <w:right w:val="none" w:sz="0" w:space="0" w:color="auto"/>
      </w:divBdr>
    </w:div>
    <w:div w:id="1118187416">
      <w:bodyDiv w:val="1"/>
      <w:marLeft w:val="0"/>
      <w:marRight w:val="0"/>
      <w:marTop w:val="0"/>
      <w:marBottom w:val="0"/>
      <w:divBdr>
        <w:top w:val="none" w:sz="0" w:space="0" w:color="auto"/>
        <w:left w:val="none" w:sz="0" w:space="0" w:color="auto"/>
        <w:bottom w:val="none" w:sz="0" w:space="0" w:color="auto"/>
        <w:right w:val="none" w:sz="0" w:space="0" w:color="auto"/>
      </w:divBdr>
    </w:div>
    <w:div w:id="1170481956">
      <w:bodyDiv w:val="1"/>
      <w:marLeft w:val="0"/>
      <w:marRight w:val="0"/>
      <w:marTop w:val="0"/>
      <w:marBottom w:val="0"/>
      <w:divBdr>
        <w:top w:val="none" w:sz="0" w:space="0" w:color="auto"/>
        <w:left w:val="none" w:sz="0" w:space="0" w:color="auto"/>
        <w:bottom w:val="none" w:sz="0" w:space="0" w:color="auto"/>
        <w:right w:val="none" w:sz="0" w:space="0" w:color="auto"/>
      </w:divBdr>
    </w:div>
    <w:div w:id="1174298874">
      <w:bodyDiv w:val="1"/>
      <w:marLeft w:val="0"/>
      <w:marRight w:val="0"/>
      <w:marTop w:val="0"/>
      <w:marBottom w:val="0"/>
      <w:divBdr>
        <w:top w:val="none" w:sz="0" w:space="0" w:color="auto"/>
        <w:left w:val="none" w:sz="0" w:space="0" w:color="auto"/>
        <w:bottom w:val="none" w:sz="0" w:space="0" w:color="auto"/>
        <w:right w:val="none" w:sz="0" w:space="0" w:color="auto"/>
      </w:divBdr>
    </w:div>
    <w:div w:id="1186141300">
      <w:bodyDiv w:val="1"/>
      <w:marLeft w:val="0"/>
      <w:marRight w:val="0"/>
      <w:marTop w:val="0"/>
      <w:marBottom w:val="0"/>
      <w:divBdr>
        <w:top w:val="none" w:sz="0" w:space="0" w:color="auto"/>
        <w:left w:val="none" w:sz="0" w:space="0" w:color="auto"/>
        <w:bottom w:val="none" w:sz="0" w:space="0" w:color="auto"/>
        <w:right w:val="none" w:sz="0" w:space="0" w:color="auto"/>
      </w:divBdr>
    </w:div>
    <w:div w:id="1186596549">
      <w:bodyDiv w:val="1"/>
      <w:marLeft w:val="0"/>
      <w:marRight w:val="0"/>
      <w:marTop w:val="0"/>
      <w:marBottom w:val="0"/>
      <w:divBdr>
        <w:top w:val="none" w:sz="0" w:space="0" w:color="auto"/>
        <w:left w:val="none" w:sz="0" w:space="0" w:color="auto"/>
        <w:bottom w:val="none" w:sz="0" w:space="0" w:color="auto"/>
        <w:right w:val="none" w:sz="0" w:space="0" w:color="auto"/>
      </w:divBdr>
    </w:div>
    <w:div w:id="1201355632">
      <w:bodyDiv w:val="1"/>
      <w:marLeft w:val="0"/>
      <w:marRight w:val="0"/>
      <w:marTop w:val="0"/>
      <w:marBottom w:val="0"/>
      <w:divBdr>
        <w:top w:val="none" w:sz="0" w:space="0" w:color="auto"/>
        <w:left w:val="none" w:sz="0" w:space="0" w:color="auto"/>
        <w:bottom w:val="none" w:sz="0" w:space="0" w:color="auto"/>
        <w:right w:val="none" w:sz="0" w:space="0" w:color="auto"/>
      </w:divBdr>
    </w:div>
    <w:div w:id="1208957345">
      <w:bodyDiv w:val="1"/>
      <w:marLeft w:val="0"/>
      <w:marRight w:val="0"/>
      <w:marTop w:val="0"/>
      <w:marBottom w:val="0"/>
      <w:divBdr>
        <w:top w:val="none" w:sz="0" w:space="0" w:color="auto"/>
        <w:left w:val="none" w:sz="0" w:space="0" w:color="auto"/>
        <w:bottom w:val="none" w:sz="0" w:space="0" w:color="auto"/>
        <w:right w:val="none" w:sz="0" w:space="0" w:color="auto"/>
      </w:divBdr>
    </w:div>
    <w:div w:id="1213155122">
      <w:bodyDiv w:val="1"/>
      <w:marLeft w:val="0"/>
      <w:marRight w:val="0"/>
      <w:marTop w:val="0"/>
      <w:marBottom w:val="0"/>
      <w:divBdr>
        <w:top w:val="none" w:sz="0" w:space="0" w:color="auto"/>
        <w:left w:val="none" w:sz="0" w:space="0" w:color="auto"/>
        <w:bottom w:val="none" w:sz="0" w:space="0" w:color="auto"/>
        <w:right w:val="none" w:sz="0" w:space="0" w:color="auto"/>
      </w:divBdr>
    </w:div>
    <w:div w:id="1221790131">
      <w:bodyDiv w:val="1"/>
      <w:marLeft w:val="0"/>
      <w:marRight w:val="0"/>
      <w:marTop w:val="0"/>
      <w:marBottom w:val="0"/>
      <w:divBdr>
        <w:top w:val="none" w:sz="0" w:space="0" w:color="auto"/>
        <w:left w:val="none" w:sz="0" w:space="0" w:color="auto"/>
        <w:bottom w:val="none" w:sz="0" w:space="0" w:color="auto"/>
        <w:right w:val="none" w:sz="0" w:space="0" w:color="auto"/>
      </w:divBdr>
      <w:divsChild>
        <w:div w:id="5639453">
          <w:marLeft w:val="0"/>
          <w:marRight w:val="0"/>
          <w:marTop w:val="0"/>
          <w:marBottom w:val="0"/>
          <w:divBdr>
            <w:top w:val="none" w:sz="0" w:space="0" w:color="auto"/>
            <w:left w:val="none" w:sz="0" w:space="0" w:color="auto"/>
            <w:bottom w:val="none" w:sz="0" w:space="0" w:color="auto"/>
            <w:right w:val="none" w:sz="0" w:space="0" w:color="auto"/>
          </w:divBdr>
        </w:div>
        <w:div w:id="653029297">
          <w:marLeft w:val="0"/>
          <w:marRight w:val="0"/>
          <w:marTop w:val="0"/>
          <w:marBottom w:val="0"/>
          <w:divBdr>
            <w:top w:val="none" w:sz="0" w:space="0" w:color="auto"/>
            <w:left w:val="none" w:sz="0" w:space="0" w:color="auto"/>
            <w:bottom w:val="none" w:sz="0" w:space="0" w:color="auto"/>
            <w:right w:val="none" w:sz="0" w:space="0" w:color="auto"/>
          </w:divBdr>
        </w:div>
        <w:div w:id="1422409774">
          <w:marLeft w:val="0"/>
          <w:marRight w:val="0"/>
          <w:marTop w:val="0"/>
          <w:marBottom w:val="0"/>
          <w:divBdr>
            <w:top w:val="none" w:sz="0" w:space="0" w:color="auto"/>
            <w:left w:val="none" w:sz="0" w:space="0" w:color="auto"/>
            <w:bottom w:val="none" w:sz="0" w:space="0" w:color="auto"/>
            <w:right w:val="none" w:sz="0" w:space="0" w:color="auto"/>
          </w:divBdr>
        </w:div>
        <w:div w:id="2126923756">
          <w:marLeft w:val="0"/>
          <w:marRight w:val="0"/>
          <w:marTop w:val="0"/>
          <w:marBottom w:val="0"/>
          <w:divBdr>
            <w:top w:val="none" w:sz="0" w:space="0" w:color="auto"/>
            <w:left w:val="none" w:sz="0" w:space="0" w:color="auto"/>
            <w:bottom w:val="none" w:sz="0" w:space="0" w:color="auto"/>
            <w:right w:val="none" w:sz="0" w:space="0" w:color="auto"/>
          </w:divBdr>
        </w:div>
        <w:div w:id="2136293944">
          <w:marLeft w:val="0"/>
          <w:marRight w:val="0"/>
          <w:marTop w:val="0"/>
          <w:marBottom w:val="0"/>
          <w:divBdr>
            <w:top w:val="none" w:sz="0" w:space="0" w:color="auto"/>
            <w:left w:val="none" w:sz="0" w:space="0" w:color="auto"/>
            <w:bottom w:val="none" w:sz="0" w:space="0" w:color="auto"/>
            <w:right w:val="none" w:sz="0" w:space="0" w:color="auto"/>
          </w:divBdr>
        </w:div>
      </w:divsChild>
    </w:div>
    <w:div w:id="1230074201">
      <w:bodyDiv w:val="1"/>
      <w:marLeft w:val="0"/>
      <w:marRight w:val="0"/>
      <w:marTop w:val="0"/>
      <w:marBottom w:val="0"/>
      <w:divBdr>
        <w:top w:val="none" w:sz="0" w:space="0" w:color="auto"/>
        <w:left w:val="none" w:sz="0" w:space="0" w:color="auto"/>
        <w:bottom w:val="none" w:sz="0" w:space="0" w:color="auto"/>
        <w:right w:val="none" w:sz="0" w:space="0" w:color="auto"/>
      </w:divBdr>
    </w:div>
    <w:div w:id="1255287345">
      <w:bodyDiv w:val="1"/>
      <w:marLeft w:val="0"/>
      <w:marRight w:val="0"/>
      <w:marTop w:val="0"/>
      <w:marBottom w:val="0"/>
      <w:divBdr>
        <w:top w:val="none" w:sz="0" w:space="0" w:color="auto"/>
        <w:left w:val="none" w:sz="0" w:space="0" w:color="auto"/>
        <w:bottom w:val="none" w:sz="0" w:space="0" w:color="auto"/>
        <w:right w:val="none" w:sz="0" w:space="0" w:color="auto"/>
      </w:divBdr>
    </w:div>
    <w:div w:id="1259480384">
      <w:bodyDiv w:val="1"/>
      <w:marLeft w:val="0"/>
      <w:marRight w:val="0"/>
      <w:marTop w:val="0"/>
      <w:marBottom w:val="0"/>
      <w:divBdr>
        <w:top w:val="none" w:sz="0" w:space="0" w:color="auto"/>
        <w:left w:val="none" w:sz="0" w:space="0" w:color="auto"/>
        <w:bottom w:val="none" w:sz="0" w:space="0" w:color="auto"/>
        <w:right w:val="none" w:sz="0" w:space="0" w:color="auto"/>
      </w:divBdr>
    </w:div>
    <w:div w:id="1274895627">
      <w:bodyDiv w:val="1"/>
      <w:marLeft w:val="0"/>
      <w:marRight w:val="0"/>
      <w:marTop w:val="0"/>
      <w:marBottom w:val="0"/>
      <w:divBdr>
        <w:top w:val="none" w:sz="0" w:space="0" w:color="auto"/>
        <w:left w:val="none" w:sz="0" w:space="0" w:color="auto"/>
        <w:bottom w:val="none" w:sz="0" w:space="0" w:color="auto"/>
        <w:right w:val="none" w:sz="0" w:space="0" w:color="auto"/>
      </w:divBdr>
    </w:div>
    <w:div w:id="1286623984">
      <w:bodyDiv w:val="1"/>
      <w:marLeft w:val="0"/>
      <w:marRight w:val="0"/>
      <w:marTop w:val="0"/>
      <w:marBottom w:val="0"/>
      <w:divBdr>
        <w:top w:val="none" w:sz="0" w:space="0" w:color="auto"/>
        <w:left w:val="none" w:sz="0" w:space="0" w:color="auto"/>
        <w:bottom w:val="none" w:sz="0" w:space="0" w:color="auto"/>
        <w:right w:val="none" w:sz="0" w:space="0" w:color="auto"/>
      </w:divBdr>
    </w:div>
    <w:div w:id="1287008418">
      <w:bodyDiv w:val="1"/>
      <w:marLeft w:val="0"/>
      <w:marRight w:val="0"/>
      <w:marTop w:val="0"/>
      <w:marBottom w:val="0"/>
      <w:divBdr>
        <w:top w:val="none" w:sz="0" w:space="0" w:color="auto"/>
        <w:left w:val="none" w:sz="0" w:space="0" w:color="auto"/>
        <w:bottom w:val="none" w:sz="0" w:space="0" w:color="auto"/>
        <w:right w:val="none" w:sz="0" w:space="0" w:color="auto"/>
      </w:divBdr>
    </w:div>
    <w:div w:id="1312632466">
      <w:bodyDiv w:val="1"/>
      <w:marLeft w:val="0"/>
      <w:marRight w:val="0"/>
      <w:marTop w:val="0"/>
      <w:marBottom w:val="0"/>
      <w:divBdr>
        <w:top w:val="none" w:sz="0" w:space="0" w:color="auto"/>
        <w:left w:val="none" w:sz="0" w:space="0" w:color="auto"/>
        <w:bottom w:val="none" w:sz="0" w:space="0" w:color="auto"/>
        <w:right w:val="none" w:sz="0" w:space="0" w:color="auto"/>
      </w:divBdr>
    </w:div>
    <w:div w:id="1329282496">
      <w:bodyDiv w:val="1"/>
      <w:marLeft w:val="0"/>
      <w:marRight w:val="0"/>
      <w:marTop w:val="0"/>
      <w:marBottom w:val="0"/>
      <w:divBdr>
        <w:top w:val="none" w:sz="0" w:space="0" w:color="auto"/>
        <w:left w:val="none" w:sz="0" w:space="0" w:color="auto"/>
        <w:bottom w:val="none" w:sz="0" w:space="0" w:color="auto"/>
        <w:right w:val="none" w:sz="0" w:space="0" w:color="auto"/>
      </w:divBdr>
    </w:div>
    <w:div w:id="1332412988">
      <w:bodyDiv w:val="1"/>
      <w:marLeft w:val="0"/>
      <w:marRight w:val="0"/>
      <w:marTop w:val="0"/>
      <w:marBottom w:val="0"/>
      <w:divBdr>
        <w:top w:val="none" w:sz="0" w:space="0" w:color="auto"/>
        <w:left w:val="none" w:sz="0" w:space="0" w:color="auto"/>
        <w:bottom w:val="none" w:sz="0" w:space="0" w:color="auto"/>
        <w:right w:val="none" w:sz="0" w:space="0" w:color="auto"/>
      </w:divBdr>
    </w:div>
    <w:div w:id="1339581559">
      <w:bodyDiv w:val="1"/>
      <w:marLeft w:val="0"/>
      <w:marRight w:val="0"/>
      <w:marTop w:val="0"/>
      <w:marBottom w:val="0"/>
      <w:divBdr>
        <w:top w:val="none" w:sz="0" w:space="0" w:color="auto"/>
        <w:left w:val="none" w:sz="0" w:space="0" w:color="auto"/>
        <w:bottom w:val="none" w:sz="0" w:space="0" w:color="auto"/>
        <w:right w:val="none" w:sz="0" w:space="0" w:color="auto"/>
      </w:divBdr>
      <w:divsChild>
        <w:div w:id="642199450">
          <w:marLeft w:val="0"/>
          <w:marRight w:val="0"/>
          <w:marTop w:val="0"/>
          <w:marBottom w:val="0"/>
          <w:divBdr>
            <w:top w:val="none" w:sz="0" w:space="0" w:color="auto"/>
            <w:left w:val="none" w:sz="0" w:space="0" w:color="auto"/>
            <w:bottom w:val="none" w:sz="0" w:space="0" w:color="auto"/>
            <w:right w:val="none" w:sz="0" w:space="0" w:color="auto"/>
          </w:divBdr>
          <w:divsChild>
            <w:div w:id="1257523273">
              <w:marLeft w:val="0"/>
              <w:marRight w:val="0"/>
              <w:marTop w:val="0"/>
              <w:marBottom w:val="0"/>
              <w:divBdr>
                <w:top w:val="none" w:sz="0" w:space="0" w:color="auto"/>
                <w:left w:val="none" w:sz="0" w:space="0" w:color="auto"/>
                <w:bottom w:val="none" w:sz="0" w:space="0" w:color="auto"/>
                <w:right w:val="none" w:sz="0" w:space="0" w:color="auto"/>
              </w:divBdr>
              <w:divsChild>
                <w:div w:id="393045645">
                  <w:marLeft w:val="0"/>
                  <w:marRight w:val="0"/>
                  <w:marTop w:val="0"/>
                  <w:marBottom w:val="0"/>
                  <w:divBdr>
                    <w:top w:val="none" w:sz="0" w:space="0" w:color="auto"/>
                    <w:left w:val="none" w:sz="0" w:space="0" w:color="auto"/>
                    <w:bottom w:val="none" w:sz="0" w:space="0" w:color="auto"/>
                    <w:right w:val="none" w:sz="0" w:space="0" w:color="auto"/>
                  </w:divBdr>
                  <w:divsChild>
                    <w:div w:id="307251509">
                      <w:marLeft w:val="0"/>
                      <w:marRight w:val="0"/>
                      <w:marTop w:val="0"/>
                      <w:marBottom w:val="0"/>
                      <w:divBdr>
                        <w:top w:val="none" w:sz="0" w:space="0" w:color="auto"/>
                        <w:left w:val="none" w:sz="0" w:space="0" w:color="auto"/>
                        <w:bottom w:val="none" w:sz="0" w:space="0" w:color="auto"/>
                        <w:right w:val="none" w:sz="0" w:space="0" w:color="auto"/>
                      </w:divBdr>
                      <w:divsChild>
                        <w:div w:id="187893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7439047">
      <w:bodyDiv w:val="1"/>
      <w:marLeft w:val="0"/>
      <w:marRight w:val="0"/>
      <w:marTop w:val="0"/>
      <w:marBottom w:val="0"/>
      <w:divBdr>
        <w:top w:val="none" w:sz="0" w:space="0" w:color="auto"/>
        <w:left w:val="none" w:sz="0" w:space="0" w:color="auto"/>
        <w:bottom w:val="none" w:sz="0" w:space="0" w:color="auto"/>
        <w:right w:val="none" w:sz="0" w:space="0" w:color="auto"/>
      </w:divBdr>
    </w:div>
    <w:div w:id="1348677671">
      <w:bodyDiv w:val="1"/>
      <w:marLeft w:val="0"/>
      <w:marRight w:val="0"/>
      <w:marTop w:val="0"/>
      <w:marBottom w:val="0"/>
      <w:divBdr>
        <w:top w:val="none" w:sz="0" w:space="0" w:color="auto"/>
        <w:left w:val="none" w:sz="0" w:space="0" w:color="auto"/>
        <w:bottom w:val="none" w:sz="0" w:space="0" w:color="auto"/>
        <w:right w:val="none" w:sz="0" w:space="0" w:color="auto"/>
      </w:divBdr>
    </w:div>
    <w:div w:id="1369407199">
      <w:bodyDiv w:val="1"/>
      <w:marLeft w:val="0"/>
      <w:marRight w:val="0"/>
      <w:marTop w:val="0"/>
      <w:marBottom w:val="0"/>
      <w:divBdr>
        <w:top w:val="none" w:sz="0" w:space="0" w:color="auto"/>
        <w:left w:val="none" w:sz="0" w:space="0" w:color="auto"/>
        <w:bottom w:val="none" w:sz="0" w:space="0" w:color="auto"/>
        <w:right w:val="none" w:sz="0" w:space="0" w:color="auto"/>
      </w:divBdr>
    </w:div>
    <w:div w:id="1388142096">
      <w:bodyDiv w:val="1"/>
      <w:marLeft w:val="0"/>
      <w:marRight w:val="0"/>
      <w:marTop w:val="0"/>
      <w:marBottom w:val="0"/>
      <w:divBdr>
        <w:top w:val="none" w:sz="0" w:space="0" w:color="auto"/>
        <w:left w:val="none" w:sz="0" w:space="0" w:color="auto"/>
        <w:bottom w:val="none" w:sz="0" w:space="0" w:color="auto"/>
        <w:right w:val="none" w:sz="0" w:space="0" w:color="auto"/>
      </w:divBdr>
    </w:div>
    <w:div w:id="1420448398">
      <w:bodyDiv w:val="1"/>
      <w:marLeft w:val="0"/>
      <w:marRight w:val="0"/>
      <w:marTop w:val="0"/>
      <w:marBottom w:val="0"/>
      <w:divBdr>
        <w:top w:val="none" w:sz="0" w:space="0" w:color="auto"/>
        <w:left w:val="none" w:sz="0" w:space="0" w:color="auto"/>
        <w:bottom w:val="none" w:sz="0" w:space="0" w:color="auto"/>
        <w:right w:val="none" w:sz="0" w:space="0" w:color="auto"/>
      </w:divBdr>
    </w:div>
    <w:div w:id="1426532737">
      <w:bodyDiv w:val="1"/>
      <w:marLeft w:val="0"/>
      <w:marRight w:val="0"/>
      <w:marTop w:val="0"/>
      <w:marBottom w:val="0"/>
      <w:divBdr>
        <w:top w:val="none" w:sz="0" w:space="0" w:color="auto"/>
        <w:left w:val="none" w:sz="0" w:space="0" w:color="auto"/>
        <w:bottom w:val="none" w:sz="0" w:space="0" w:color="auto"/>
        <w:right w:val="none" w:sz="0" w:space="0" w:color="auto"/>
      </w:divBdr>
    </w:div>
    <w:div w:id="1460151481">
      <w:bodyDiv w:val="1"/>
      <w:marLeft w:val="0"/>
      <w:marRight w:val="0"/>
      <w:marTop w:val="0"/>
      <w:marBottom w:val="0"/>
      <w:divBdr>
        <w:top w:val="none" w:sz="0" w:space="0" w:color="auto"/>
        <w:left w:val="none" w:sz="0" w:space="0" w:color="auto"/>
        <w:bottom w:val="none" w:sz="0" w:space="0" w:color="auto"/>
        <w:right w:val="none" w:sz="0" w:space="0" w:color="auto"/>
      </w:divBdr>
    </w:div>
    <w:div w:id="1465004598">
      <w:bodyDiv w:val="1"/>
      <w:marLeft w:val="0"/>
      <w:marRight w:val="0"/>
      <w:marTop w:val="0"/>
      <w:marBottom w:val="0"/>
      <w:divBdr>
        <w:top w:val="none" w:sz="0" w:space="0" w:color="auto"/>
        <w:left w:val="none" w:sz="0" w:space="0" w:color="auto"/>
        <w:bottom w:val="none" w:sz="0" w:space="0" w:color="auto"/>
        <w:right w:val="none" w:sz="0" w:space="0" w:color="auto"/>
      </w:divBdr>
    </w:div>
    <w:div w:id="1467695242">
      <w:bodyDiv w:val="1"/>
      <w:marLeft w:val="0"/>
      <w:marRight w:val="0"/>
      <w:marTop w:val="0"/>
      <w:marBottom w:val="0"/>
      <w:divBdr>
        <w:top w:val="none" w:sz="0" w:space="0" w:color="auto"/>
        <w:left w:val="none" w:sz="0" w:space="0" w:color="auto"/>
        <w:bottom w:val="none" w:sz="0" w:space="0" w:color="auto"/>
        <w:right w:val="none" w:sz="0" w:space="0" w:color="auto"/>
      </w:divBdr>
    </w:div>
    <w:div w:id="1470900558">
      <w:bodyDiv w:val="1"/>
      <w:marLeft w:val="0"/>
      <w:marRight w:val="0"/>
      <w:marTop w:val="0"/>
      <w:marBottom w:val="0"/>
      <w:divBdr>
        <w:top w:val="none" w:sz="0" w:space="0" w:color="auto"/>
        <w:left w:val="none" w:sz="0" w:space="0" w:color="auto"/>
        <w:bottom w:val="none" w:sz="0" w:space="0" w:color="auto"/>
        <w:right w:val="none" w:sz="0" w:space="0" w:color="auto"/>
      </w:divBdr>
    </w:div>
    <w:div w:id="1485463052">
      <w:bodyDiv w:val="1"/>
      <w:marLeft w:val="0"/>
      <w:marRight w:val="0"/>
      <w:marTop w:val="0"/>
      <w:marBottom w:val="0"/>
      <w:divBdr>
        <w:top w:val="none" w:sz="0" w:space="0" w:color="auto"/>
        <w:left w:val="none" w:sz="0" w:space="0" w:color="auto"/>
        <w:bottom w:val="none" w:sz="0" w:space="0" w:color="auto"/>
        <w:right w:val="none" w:sz="0" w:space="0" w:color="auto"/>
      </w:divBdr>
    </w:div>
    <w:div w:id="1485774322">
      <w:bodyDiv w:val="1"/>
      <w:marLeft w:val="0"/>
      <w:marRight w:val="0"/>
      <w:marTop w:val="0"/>
      <w:marBottom w:val="0"/>
      <w:divBdr>
        <w:top w:val="none" w:sz="0" w:space="0" w:color="auto"/>
        <w:left w:val="none" w:sz="0" w:space="0" w:color="auto"/>
        <w:bottom w:val="none" w:sz="0" w:space="0" w:color="auto"/>
        <w:right w:val="none" w:sz="0" w:space="0" w:color="auto"/>
      </w:divBdr>
    </w:div>
    <w:div w:id="1506483013">
      <w:bodyDiv w:val="1"/>
      <w:marLeft w:val="0"/>
      <w:marRight w:val="0"/>
      <w:marTop w:val="0"/>
      <w:marBottom w:val="0"/>
      <w:divBdr>
        <w:top w:val="none" w:sz="0" w:space="0" w:color="auto"/>
        <w:left w:val="none" w:sz="0" w:space="0" w:color="auto"/>
        <w:bottom w:val="none" w:sz="0" w:space="0" w:color="auto"/>
        <w:right w:val="none" w:sz="0" w:space="0" w:color="auto"/>
      </w:divBdr>
    </w:div>
    <w:div w:id="1513757173">
      <w:bodyDiv w:val="1"/>
      <w:marLeft w:val="0"/>
      <w:marRight w:val="0"/>
      <w:marTop w:val="0"/>
      <w:marBottom w:val="0"/>
      <w:divBdr>
        <w:top w:val="none" w:sz="0" w:space="0" w:color="auto"/>
        <w:left w:val="none" w:sz="0" w:space="0" w:color="auto"/>
        <w:bottom w:val="none" w:sz="0" w:space="0" w:color="auto"/>
        <w:right w:val="none" w:sz="0" w:space="0" w:color="auto"/>
      </w:divBdr>
    </w:div>
    <w:div w:id="1527333463">
      <w:bodyDiv w:val="1"/>
      <w:marLeft w:val="0"/>
      <w:marRight w:val="0"/>
      <w:marTop w:val="0"/>
      <w:marBottom w:val="0"/>
      <w:divBdr>
        <w:top w:val="none" w:sz="0" w:space="0" w:color="auto"/>
        <w:left w:val="none" w:sz="0" w:space="0" w:color="auto"/>
        <w:bottom w:val="none" w:sz="0" w:space="0" w:color="auto"/>
        <w:right w:val="none" w:sz="0" w:space="0" w:color="auto"/>
      </w:divBdr>
    </w:div>
    <w:div w:id="1531987057">
      <w:bodyDiv w:val="1"/>
      <w:marLeft w:val="0"/>
      <w:marRight w:val="0"/>
      <w:marTop w:val="0"/>
      <w:marBottom w:val="0"/>
      <w:divBdr>
        <w:top w:val="none" w:sz="0" w:space="0" w:color="auto"/>
        <w:left w:val="none" w:sz="0" w:space="0" w:color="auto"/>
        <w:bottom w:val="none" w:sz="0" w:space="0" w:color="auto"/>
        <w:right w:val="none" w:sz="0" w:space="0" w:color="auto"/>
      </w:divBdr>
    </w:div>
    <w:div w:id="1542598137">
      <w:bodyDiv w:val="1"/>
      <w:marLeft w:val="0"/>
      <w:marRight w:val="0"/>
      <w:marTop w:val="0"/>
      <w:marBottom w:val="0"/>
      <w:divBdr>
        <w:top w:val="none" w:sz="0" w:space="0" w:color="auto"/>
        <w:left w:val="none" w:sz="0" w:space="0" w:color="auto"/>
        <w:bottom w:val="none" w:sz="0" w:space="0" w:color="auto"/>
        <w:right w:val="none" w:sz="0" w:space="0" w:color="auto"/>
      </w:divBdr>
    </w:div>
    <w:div w:id="1551499828">
      <w:bodyDiv w:val="1"/>
      <w:marLeft w:val="0"/>
      <w:marRight w:val="0"/>
      <w:marTop w:val="0"/>
      <w:marBottom w:val="0"/>
      <w:divBdr>
        <w:top w:val="none" w:sz="0" w:space="0" w:color="auto"/>
        <w:left w:val="none" w:sz="0" w:space="0" w:color="auto"/>
        <w:bottom w:val="none" w:sz="0" w:space="0" w:color="auto"/>
        <w:right w:val="none" w:sz="0" w:space="0" w:color="auto"/>
      </w:divBdr>
    </w:div>
    <w:div w:id="1551569749">
      <w:bodyDiv w:val="1"/>
      <w:marLeft w:val="0"/>
      <w:marRight w:val="0"/>
      <w:marTop w:val="0"/>
      <w:marBottom w:val="0"/>
      <w:divBdr>
        <w:top w:val="none" w:sz="0" w:space="0" w:color="auto"/>
        <w:left w:val="none" w:sz="0" w:space="0" w:color="auto"/>
        <w:bottom w:val="none" w:sz="0" w:space="0" w:color="auto"/>
        <w:right w:val="none" w:sz="0" w:space="0" w:color="auto"/>
      </w:divBdr>
    </w:div>
    <w:div w:id="1562515813">
      <w:bodyDiv w:val="1"/>
      <w:marLeft w:val="0"/>
      <w:marRight w:val="0"/>
      <w:marTop w:val="0"/>
      <w:marBottom w:val="0"/>
      <w:divBdr>
        <w:top w:val="none" w:sz="0" w:space="0" w:color="auto"/>
        <w:left w:val="none" w:sz="0" w:space="0" w:color="auto"/>
        <w:bottom w:val="none" w:sz="0" w:space="0" w:color="auto"/>
        <w:right w:val="none" w:sz="0" w:space="0" w:color="auto"/>
      </w:divBdr>
    </w:div>
    <w:div w:id="1573585779">
      <w:bodyDiv w:val="1"/>
      <w:marLeft w:val="0"/>
      <w:marRight w:val="0"/>
      <w:marTop w:val="0"/>
      <w:marBottom w:val="0"/>
      <w:divBdr>
        <w:top w:val="none" w:sz="0" w:space="0" w:color="auto"/>
        <w:left w:val="none" w:sz="0" w:space="0" w:color="auto"/>
        <w:bottom w:val="none" w:sz="0" w:space="0" w:color="auto"/>
        <w:right w:val="none" w:sz="0" w:space="0" w:color="auto"/>
      </w:divBdr>
    </w:div>
    <w:div w:id="1579511317">
      <w:bodyDiv w:val="1"/>
      <w:marLeft w:val="0"/>
      <w:marRight w:val="0"/>
      <w:marTop w:val="0"/>
      <w:marBottom w:val="0"/>
      <w:divBdr>
        <w:top w:val="none" w:sz="0" w:space="0" w:color="auto"/>
        <w:left w:val="none" w:sz="0" w:space="0" w:color="auto"/>
        <w:bottom w:val="none" w:sz="0" w:space="0" w:color="auto"/>
        <w:right w:val="none" w:sz="0" w:space="0" w:color="auto"/>
      </w:divBdr>
    </w:div>
    <w:div w:id="1587231029">
      <w:bodyDiv w:val="1"/>
      <w:marLeft w:val="0"/>
      <w:marRight w:val="0"/>
      <w:marTop w:val="0"/>
      <w:marBottom w:val="0"/>
      <w:divBdr>
        <w:top w:val="none" w:sz="0" w:space="0" w:color="auto"/>
        <w:left w:val="none" w:sz="0" w:space="0" w:color="auto"/>
        <w:bottom w:val="none" w:sz="0" w:space="0" w:color="auto"/>
        <w:right w:val="none" w:sz="0" w:space="0" w:color="auto"/>
      </w:divBdr>
      <w:divsChild>
        <w:div w:id="8064614">
          <w:marLeft w:val="0"/>
          <w:marRight w:val="0"/>
          <w:marTop w:val="0"/>
          <w:marBottom w:val="0"/>
          <w:divBdr>
            <w:top w:val="none" w:sz="0" w:space="0" w:color="auto"/>
            <w:left w:val="none" w:sz="0" w:space="0" w:color="auto"/>
            <w:bottom w:val="none" w:sz="0" w:space="0" w:color="auto"/>
            <w:right w:val="none" w:sz="0" w:space="0" w:color="auto"/>
          </w:divBdr>
        </w:div>
        <w:div w:id="1798522784">
          <w:marLeft w:val="0"/>
          <w:marRight w:val="0"/>
          <w:marTop w:val="0"/>
          <w:marBottom w:val="0"/>
          <w:divBdr>
            <w:top w:val="none" w:sz="0" w:space="0" w:color="auto"/>
            <w:left w:val="none" w:sz="0" w:space="0" w:color="auto"/>
            <w:bottom w:val="none" w:sz="0" w:space="0" w:color="auto"/>
            <w:right w:val="none" w:sz="0" w:space="0" w:color="auto"/>
          </w:divBdr>
        </w:div>
      </w:divsChild>
    </w:div>
    <w:div w:id="1595357557">
      <w:bodyDiv w:val="1"/>
      <w:marLeft w:val="0"/>
      <w:marRight w:val="0"/>
      <w:marTop w:val="0"/>
      <w:marBottom w:val="0"/>
      <w:divBdr>
        <w:top w:val="none" w:sz="0" w:space="0" w:color="auto"/>
        <w:left w:val="none" w:sz="0" w:space="0" w:color="auto"/>
        <w:bottom w:val="none" w:sz="0" w:space="0" w:color="auto"/>
        <w:right w:val="none" w:sz="0" w:space="0" w:color="auto"/>
      </w:divBdr>
    </w:div>
    <w:div w:id="1605847119">
      <w:bodyDiv w:val="1"/>
      <w:marLeft w:val="0"/>
      <w:marRight w:val="0"/>
      <w:marTop w:val="0"/>
      <w:marBottom w:val="0"/>
      <w:divBdr>
        <w:top w:val="none" w:sz="0" w:space="0" w:color="auto"/>
        <w:left w:val="none" w:sz="0" w:space="0" w:color="auto"/>
        <w:bottom w:val="none" w:sz="0" w:space="0" w:color="auto"/>
        <w:right w:val="none" w:sz="0" w:space="0" w:color="auto"/>
      </w:divBdr>
    </w:div>
    <w:div w:id="1609853032">
      <w:bodyDiv w:val="1"/>
      <w:marLeft w:val="0"/>
      <w:marRight w:val="0"/>
      <w:marTop w:val="0"/>
      <w:marBottom w:val="0"/>
      <w:divBdr>
        <w:top w:val="none" w:sz="0" w:space="0" w:color="auto"/>
        <w:left w:val="none" w:sz="0" w:space="0" w:color="auto"/>
        <w:bottom w:val="none" w:sz="0" w:space="0" w:color="auto"/>
        <w:right w:val="none" w:sz="0" w:space="0" w:color="auto"/>
      </w:divBdr>
    </w:div>
    <w:div w:id="1612129977">
      <w:bodyDiv w:val="1"/>
      <w:marLeft w:val="0"/>
      <w:marRight w:val="0"/>
      <w:marTop w:val="0"/>
      <w:marBottom w:val="0"/>
      <w:divBdr>
        <w:top w:val="none" w:sz="0" w:space="0" w:color="auto"/>
        <w:left w:val="none" w:sz="0" w:space="0" w:color="auto"/>
        <w:bottom w:val="none" w:sz="0" w:space="0" w:color="auto"/>
        <w:right w:val="none" w:sz="0" w:space="0" w:color="auto"/>
      </w:divBdr>
    </w:div>
    <w:div w:id="1615867288">
      <w:bodyDiv w:val="1"/>
      <w:marLeft w:val="0"/>
      <w:marRight w:val="0"/>
      <w:marTop w:val="0"/>
      <w:marBottom w:val="0"/>
      <w:divBdr>
        <w:top w:val="none" w:sz="0" w:space="0" w:color="auto"/>
        <w:left w:val="none" w:sz="0" w:space="0" w:color="auto"/>
        <w:bottom w:val="none" w:sz="0" w:space="0" w:color="auto"/>
        <w:right w:val="none" w:sz="0" w:space="0" w:color="auto"/>
      </w:divBdr>
    </w:div>
    <w:div w:id="1616718833">
      <w:bodyDiv w:val="1"/>
      <w:marLeft w:val="0"/>
      <w:marRight w:val="0"/>
      <w:marTop w:val="0"/>
      <w:marBottom w:val="0"/>
      <w:divBdr>
        <w:top w:val="none" w:sz="0" w:space="0" w:color="auto"/>
        <w:left w:val="none" w:sz="0" w:space="0" w:color="auto"/>
        <w:bottom w:val="none" w:sz="0" w:space="0" w:color="auto"/>
        <w:right w:val="none" w:sz="0" w:space="0" w:color="auto"/>
      </w:divBdr>
    </w:div>
    <w:div w:id="1623227060">
      <w:bodyDiv w:val="1"/>
      <w:marLeft w:val="0"/>
      <w:marRight w:val="0"/>
      <w:marTop w:val="0"/>
      <w:marBottom w:val="0"/>
      <w:divBdr>
        <w:top w:val="none" w:sz="0" w:space="0" w:color="auto"/>
        <w:left w:val="none" w:sz="0" w:space="0" w:color="auto"/>
        <w:bottom w:val="none" w:sz="0" w:space="0" w:color="auto"/>
        <w:right w:val="none" w:sz="0" w:space="0" w:color="auto"/>
      </w:divBdr>
    </w:div>
    <w:div w:id="1631788623">
      <w:bodyDiv w:val="1"/>
      <w:marLeft w:val="0"/>
      <w:marRight w:val="0"/>
      <w:marTop w:val="0"/>
      <w:marBottom w:val="0"/>
      <w:divBdr>
        <w:top w:val="none" w:sz="0" w:space="0" w:color="auto"/>
        <w:left w:val="none" w:sz="0" w:space="0" w:color="auto"/>
        <w:bottom w:val="none" w:sz="0" w:space="0" w:color="auto"/>
        <w:right w:val="none" w:sz="0" w:space="0" w:color="auto"/>
      </w:divBdr>
    </w:div>
    <w:div w:id="1647011455">
      <w:bodyDiv w:val="1"/>
      <w:marLeft w:val="0"/>
      <w:marRight w:val="0"/>
      <w:marTop w:val="0"/>
      <w:marBottom w:val="0"/>
      <w:divBdr>
        <w:top w:val="none" w:sz="0" w:space="0" w:color="auto"/>
        <w:left w:val="none" w:sz="0" w:space="0" w:color="auto"/>
        <w:bottom w:val="none" w:sz="0" w:space="0" w:color="auto"/>
        <w:right w:val="none" w:sz="0" w:space="0" w:color="auto"/>
      </w:divBdr>
    </w:div>
    <w:div w:id="1657612060">
      <w:bodyDiv w:val="1"/>
      <w:marLeft w:val="0"/>
      <w:marRight w:val="0"/>
      <w:marTop w:val="0"/>
      <w:marBottom w:val="0"/>
      <w:divBdr>
        <w:top w:val="none" w:sz="0" w:space="0" w:color="auto"/>
        <w:left w:val="none" w:sz="0" w:space="0" w:color="auto"/>
        <w:bottom w:val="none" w:sz="0" w:space="0" w:color="auto"/>
        <w:right w:val="none" w:sz="0" w:space="0" w:color="auto"/>
      </w:divBdr>
    </w:div>
    <w:div w:id="1661303508">
      <w:bodyDiv w:val="1"/>
      <w:marLeft w:val="0"/>
      <w:marRight w:val="0"/>
      <w:marTop w:val="0"/>
      <w:marBottom w:val="0"/>
      <w:divBdr>
        <w:top w:val="none" w:sz="0" w:space="0" w:color="auto"/>
        <w:left w:val="none" w:sz="0" w:space="0" w:color="auto"/>
        <w:bottom w:val="none" w:sz="0" w:space="0" w:color="auto"/>
        <w:right w:val="none" w:sz="0" w:space="0" w:color="auto"/>
      </w:divBdr>
    </w:div>
    <w:div w:id="1661888051">
      <w:bodyDiv w:val="1"/>
      <w:marLeft w:val="0"/>
      <w:marRight w:val="0"/>
      <w:marTop w:val="0"/>
      <w:marBottom w:val="0"/>
      <w:divBdr>
        <w:top w:val="none" w:sz="0" w:space="0" w:color="auto"/>
        <w:left w:val="none" w:sz="0" w:space="0" w:color="auto"/>
        <w:bottom w:val="none" w:sz="0" w:space="0" w:color="auto"/>
        <w:right w:val="none" w:sz="0" w:space="0" w:color="auto"/>
      </w:divBdr>
    </w:div>
    <w:div w:id="1664503186">
      <w:bodyDiv w:val="1"/>
      <w:marLeft w:val="0"/>
      <w:marRight w:val="0"/>
      <w:marTop w:val="0"/>
      <w:marBottom w:val="0"/>
      <w:divBdr>
        <w:top w:val="none" w:sz="0" w:space="0" w:color="auto"/>
        <w:left w:val="none" w:sz="0" w:space="0" w:color="auto"/>
        <w:bottom w:val="none" w:sz="0" w:space="0" w:color="auto"/>
        <w:right w:val="none" w:sz="0" w:space="0" w:color="auto"/>
      </w:divBdr>
    </w:div>
    <w:div w:id="1664621296">
      <w:bodyDiv w:val="1"/>
      <w:marLeft w:val="0"/>
      <w:marRight w:val="0"/>
      <w:marTop w:val="0"/>
      <w:marBottom w:val="0"/>
      <w:divBdr>
        <w:top w:val="none" w:sz="0" w:space="0" w:color="auto"/>
        <w:left w:val="none" w:sz="0" w:space="0" w:color="auto"/>
        <w:bottom w:val="none" w:sz="0" w:space="0" w:color="auto"/>
        <w:right w:val="none" w:sz="0" w:space="0" w:color="auto"/>
      </w:divBdr>
    </w:div>
    <w:div w:id="1670329188">
      <w:bodyDiv w:val="1"/>
      <w:marLeft w:val="0"/>
      <w:marRight w:val="0"/>
      <w:marTop w:val="0"/>
      <w:marBottom w:val="0"/>
      <w:divBdr>
        <w:top w:val="none" w:sz="0" w:space="0" w:color="auto"/>
        <w:left w:val="none" w:sz="0" w:space="0" w:color="auto"/>
        <w:bottom w:val="none" w:sz="0" w:space="0" w:color="auto"/>
        <w:right w:val="none" w:sz="0" w:space="0" w:color="auto"/>
      </w:divBdr>
    </w:div>
    <w:div w:id="1670988066">
      <w:bodyDiv w:val="1"/>
      <w:marLeft w:val="0"/>
      <w:marRight w:val="0"/>
      <w:marTop w:val="0"/>
      <w:marBottom w:val="0"/>
      <w:divBdr>
        <w:top w:val="none" w:sz="0" w:space="0" w:color="auto"/>
        <w:left w:val="none" w:sz="0" w:space="0" w:color="auto"/>
        <w:bottom w:val="none" w:sz="0" w:space="0" w:color="auto"/>
        <w:right w:val="none" w:sz="0" w:space="0" w:color="auto"/>
      </w:divBdr>
    </w:div>
    <w:div w:id="1675572896">
      <w:bodyDiv w:val="1"/>
      <w:marLeft w:val="0"/>
      <w:marRight w:val="0"/>
      <w:marTop w:val="0"/>
      <w:marBottom w:val="0"/>
      <w:divBdr>
        <w:top w:val="none" w:sz="0" w:space="0" w:color="auto"/>
        <w:left w:val="none" w:sz="0" w:space="0" w:color="auto"/>
        <w:bottom w:val="none" w:sz="0" w:space="0" w:color="auto"/>
        <w:right w:val="none" w:sz="0" w:space="0" w:color="auto"/>
      </w:divBdr>
    </w:div>
    <w:div w:id="1676612971">
      <w:bodyDiv w:val="1"/>
      <w:marLeft w:val="0"/>
      <w:marRight w:val="0"/>
      <w:marTop w:val="0"/>
      <w:marBottom w:val="0"/>
      <w:divBdr>
        <w:top w:val="none" w:sz="0" w:space="0" w:color="auto"/>
        <w:left w:val="none" w:sz="0" w:space="0" w:color="auto"/>
        <w:bottom w:val="none" w:sz="0" w:space="0" w:color="auto"/>
        <w:right w:val="none" w:sz="0" w:space="0" w:color="auto"/>
      </w:divBdr>
    </w:div>
    <w:div w:id="1678650338">
      <w:bodyDiv w:val="1"/>
      <w:marLeft w:val="0"/>
      <w:marRight w:val="0"/>
      <w:marTop w:val="0"/>
      <w:marBottom w:val="0"/>
      <w:divBdr>
        <w:top w:val="none" w:sz="0" w:space="0" w:color="auto"/>
        <w:left w:val="none" w:sz="0" w:space="0" w:color="auto"/>
        <w:bottom w:val="none" w:sz="0" w:space="0" w:color="auto"/>
        <w:right w:val="none" w:sz="0" w:space="0" w:color="auto"/>
      </w:divBdr>
    </w:div>
    <w:div w:id="1697122788">
      <w:bodyDiv w:val="1"/>
      <w:marLeft w:val="0"/>
      <w:marRight w:val="0"/>
      <w:marTop w:val="0"/>
      <w:marBottom w:val="0"/>
      <w:divBdr>
        <w:top w:val="none" w:sz="0" w:space="0" w:color="auto"/>
        <w:left w:val="none" w:sz="0" w:space="0" w:color="auto"/>
        <w:bottom w:val="none" w:sz="0" w:space="0" w:color="auto"/>
        <w:right w:val="none" w:sz="0" w:space="0" w:color="auto"/>
      </w:divBdr>
    </w:div>
    <w:div w:id="1699310778">
      <w:bodyDiv w:val="1"/>
      <w:marLeft w:val="0"/>
      <w:marRight w:val="0"/>
      <w:marTop w:val="0"/>
      <w:marBottom w:val="0"/>
      <w:divBdr>
        <w:top w:val="none" w:sz="0" w:space="0" w:color="auto"/>
        <w:left w:val="none" w:sz="0" w:space="0" w:color="auto"/>
        <w:bottom w:val="none" w:sz="0" w:space="0" w:color="auto"/>
        <w:right w:val="none" w:sz="0" w:space="0" w:color="auto"/>
      </w:divBdr>
    </w:div>
    <w:div w:id="1730372532">
      <w:bodyDiv w:val="1"/>
      <w:marLeft w:val="0"/>
      <w:marRight w:val="0"/>
      <w:marTop w:val="0"/>
      <w:marBottom w:val="0"/>
      <w:divBdr>
        <w:top w:val="none" w:sz="0" w:space="0" w:color="auto"/>
        <w:left w:val="none" w:sz="0" w:space="0" w:color="auto"/>
        <w:bottom w:val="none" w:sz="0" w:space="0" w:color="auto"/>
        <w:right w:val="none" w:sz="0" w:space="0" w:color="auto"/>
      </w:divBdr>
    </w:div>
    <w:div w:id="1739548218">
      <w:bodyDiv w:val="1"/>
      <w:marLeft w:val="0"/>
      <w:marRight w:val="0"/>
      <w:marTop w:val="0"/>
      <w:marBottom w:val="0"/>
      <w:divBdr>
        <w:top w:val="none" w:sz="0" w:space="0" w:color="auto"/>
        <w:left w:val="none" w:sz="0" w:space="0" w:color="auto"/>
        <w:bottom w:val="none" w:sz="0" w:space="0" w:color="auto"/>
        <w:right w:val="none" w:sz="0" w:space="0" w:color="auto"/>
      </w:divBdr>
    </w:div>
    <w:div w:id="1751925936">
      <w:bodyDiv w:val="1"/>
      <w:marLeft w:val="0"/>
      <w:marRight w:val="0"/>
      <w:marTop w:val="0"/>
      <w:marBottom w:val="0"/>
      <w:divBdr>
        <w:top w:val="none" w:sz="0" w:space="0" w:color="auto"/>
        <w:left w:val="none" w:sz="0" w:space="0" w:color="auto"/>
        <w:bottom w:val="none" w:sz="0" w:space="0" w:color="auto"/>
        <w:right w:val="none" w:sz="0" w:space="0" w:color="auto"/>
      </w:divBdr>
    </w:div>
    <w:div w:id="1752460571">
      <w:bodyDiv w:val="1"/>
      <w:marLeft w:val="0"/>
      <w:marRight w:val="0"/>
      <w:marTop w:val="0"/>
      <w:marBottom w:val="0"/>
      <w:divBdr>
        <w:top w:val="none" w:sz="0" w:space="0" w:color="auto"/>
        <w:left w:val="none" w:sz="0" w:space="0" w:color="auto"/>
        <w:bottom w:val="none" w:sz="0" w:space="0" w:color="auto"/>
        <w:right w:val="none" w:sz="0" w:space="0" w:color="auto"/>
      </w:divBdr>
    </w:div>
    <w:div w:id="1752774284">
      <w:bodyDiv w:val="1"/>
      <w:marLeft w:val="0"/>
      <w:marRight w:val="0"/>
      <w:marTop w:val="0"/>
      <w:marBottom w:val="0"/>
      <w:divBdr>
        <w:top w:val="none" w:sz="0" w:space="0" w:color="auto"/>
        <w:left w:val="none" w:sz="0" w:space="0" w:color="auto"/>
        <w:bottom w:val="none" w:sz="0" w:space="0" w:color="auto"/>
        <w:right w:val="none" w:sz="0" w:space="0" w:color="auto"/>
      </w:divBdr>
    </w:div>
    <w:div w:id="1765685826">
      <w:bodyDiv w:val="1"/>
      <w:marLeft w:val="0"/>
      <w:marRight w:val="0"/>
      <w:marTop w:val="0"/>
      <w:marBottom w:val="0"/>
      <w:divBdr>
        <w:top w:val="none" w:sz="0" w:space="0" w:color="auto"/>
        <w:left w:val="none" w:sz="0" w:space="0" w:color="auto"/>
        <w:bottom w:val="none" w:sz="0" w:space="0" w:color="auto"/>
        <w:right w:val="none" w:sz="0" w:space="0" w:color="auto"/>
      </w:divBdr>
    </w:div>
    <w:div w:id="1770735543">
      <w:bodyDiv w:val="1"/>
      <w:marLeft w:val="0"/>
      <w:marRight w:val="0"/>
      <w:marTop w:val="0"/>
      <w:marBottom w:val="0"/>
      <w:divBdr>
        <w:top w:val="none" w:sz="0" w:space="0" w:color="auto"/>
        <w:left w:val="none" w:sz="0" w:space="0" w:color="auto"/>
        <w:bottom w:val="none" w:sz="0" w:space="0" w:color="auto"/>
        <w:right w:val="none" w:sz="0" w:space="0" w:color="auto"/>
      </w:divBdr>
    </w:div>
    <w:div w:id="1776173429">
      <w:bodyDiv w:val="1"/>
      <w:marLeft w:val="0"/>
      <w:marRight w:val="0"/>
      <w:marTop w:val="0"/>
      <w:marBottom w:val="0"/>
      <w:divBdr>
        <w:top w:val="none" w:sz="0" w:space="0" w:color="auto"/>
        <w:left w:val="none" w:sz="0" w:space="0" w:color="auto"/>
        <w:bottom w:val="none" w:sz="0" w:space="0" w:color="auto"/>
        <w:right w:val="none" w:sz="0" w:space="0" w:color="auto"/>
      </w:divBdr>
    </w:div>
    <w:div w:id="1798911871">
      <w:bodyDiv w:val="1"/>
      <w:marLeft w:val="0"/>
      <w:marRight w:val="0"/>
      <w:marTop w:val="0"/>
      <w:marBottom w:val="0"/>
      <w:divBdr>
        <w:top w:val="none" w:sz="0" w:space="0" w:color="auto"/>
        <w:left w:val="none" w:sz="0" w:space="0" w:color="auto"/>
        <w:bottom w:val="none" w:sz="0" w:space="0" w:color="auto"/>
        <w:right w:val="none" w:sz="0" w:space="0" w:color="auto"/>
      </w:divBdr>
    </w:div>
    <w:div w:id="1809584878">
      <w:bodyDiv w:val="1"/>
      <w:marLeft w:val="0"/>
      <w:marRight w:val="0"/>
      <w:marTop w:val="0"/>
      <w:marBottom w:val="0"/>
      <w:divBdr>
        <w:top w:val="none" w:sz="0" w:space="0" w:color="auto"/>
        <w:left w:val="none" w:sz="0" w:space="0" w:color="auto"/>
        <w:bottom w:val="none" w:sz="0" w:space="0" w:color="auto"/>
        <w:right w:val="none" w:sz="0" w:space="0" w:color="auto"/>
      </w:divBdr>
    </w:div>
    <w:div w:id="1815178712">
      <w:bodyDiv w:val="1"/>
      <w:marLeft w:val="0"/>
      <w:marRight w:val="0"/>
      <w:marTop w:val="0"/>
      <w:marBottom w:val="0"/>
      <w:divBdr>
        <w:top w:val="none" w:sz="0" w:space="0" w:color="auto"/>
        <w:left w:val="none" w:sz="0" w:space="0" w:color="auto"/>
        <w:bottom w:val="none" w:sz="0" w:space="0" w:color="auto"/>
        <w:right w:val="none" w:sz="0" w:space="0" w:color="auto"/>
      </w:divBdr>
    </w:div>
    <w:div w:id="1827281065">
      <w:bodyDiv w:val="1"/>
      <w:marLeft w:val="0"/>
      <w:marRight w:val="0"/>
      <w:marTop w:val="0"/>
      <w:marBottom w:val="0"/>
      <w:divBdr>
        <w:top w:val="none" w:sz="0" w:space="0" w:color="auto"/>
        <w:left w:val="none" w:sz="0" w:space="0" w:color="auto"/>
        <w:bottom w:val="none" w:sz="0" w:space="0" w:color="auto"/>
        <w:right w:val="none" w:sz="0" w:space="0" w:color="auto"/>
      </w:divBdr>
    </w:div>
    <w:div w:id="1829245927">
      <w:bodyDiv w:val="1"/>
      <w:marLeft w:val="0"/>
      <w:marRight w:val="0"/>
      <w:marTop w:val="0"/>
      <w:marBottom w:val="0"/>
      <w:divBdr>
        <w:top w:val="none" w:sz="0" w:space="0" w:color="auto"/>
        <w:left w:val="none" w:sz="0" w:space="0" w:color="auto"/>
        <w:bottom w:val="none" w:sz="0" w:space="0" w:color="auto"/>
        <w:right w:val="none" w:sz="0" w:space="0" w:color="auto"/>
      </w:divBdr>
    </w:div>
    <w:div w:id="1846699801">
      <w:bodyDiv w:val="1"/>
      <w:marLeft w:val="0"/>
      <w:marRight w:val="0"/>
      <w:marTop w:val="0"/>
      <w:marBottom w:val="0"/>
      <w:divBdr>
        <w:top w:val="none" w:sz="0" w:space="0" w:color="auto"/>
        <w:left w:val="none" w:sz="0" w:space="0" w:color="auto"/>
        <w:bottom w:val="none" w:sz="0" w:space="0" w:color="auto"/>
        <w:right w:val="none" w:sz="0" w:space="0" w:color="auto"/>
      </w:divBdr>
    </w:div>
    <w:div w:id="1851677574">
      <w:bodyDiv w:val="1"/>
      <w:marLeft w:val="0"/>
      <w:marRight w:val="0"/>
      <w:marTop w:val="0"/>
      <w:marBottom w:val="0"/>
      <w:divBdr>
        <w:top w:val="none" w:sz="0" w:space="0" w:color="auto"/>
        <w:left w:val="none" w:sz="0" w:space="0" w:color="auto"/>
        <w:bottom w:val="none" w:sz="0" w:space="0" w:color="auto"/>
        <w:right w:val="none" w:sz="0" w:space="0" w:color="auto"/>
      </w:divBdr>
    </w:div>
    <w:div w:id="1872264134">
      <w:bodyDiv w:val="1"/>
      <w:marLeft w:val="0"/>
      <w:marRight w:val="0"/>
      <w:marTop w:val="0"/>
      <w:marBottom w:val="0"/>
      <w:divBdr>
        <w:top w:val="none" w:sz="0" w:space="0" w:color="auto"/>
        <w:left w:val="none" w:sz="0" w:space="0" w:color="auto"/>
        <w:bottom w:val="none" w:sz="0" w:space="0" w:color="auto"/>
        <w:right w:val="none" w:sz="0" w:space="0" w:color="auto"/>
      </w:divBdr>
    </w:div>
    <w:div w:id="1873761807">
      <w:bodyDiv w:val="1"/>
      <w:marLeft w:val="0"/>
      <w:marRight w:val="0"/>
      <w:marTop w:val="0"/>
      <w:marBottom w:val="0"/>
      <w:divBdr>
        <w:top w:val="none" w:sz="0" w:space="0" w:color="auto"/>
        <w:left w:val="none" w:sz="0" w:space="0" w:color="auto"/>
        <w:bottom w:val="none" w:sz="0" w:space="0" w:color="auto"/>
        <w:right w:val="none" w:sz="0" w:space="0" w:color="auto"/>
      </w:divBdr>
    </w:div>
    <w:div w:id="1898931260">
      <w:bodyDiv w:val="1"/>
      <w:marLeft w:val="0"/>
      <w:marRight w:val="0"/>
      <w:marTop w:val="0"/>
      <w:marBottom w:val="0"/>
      <w:divBdr>
        <w:top w:val="none" w:sz="0" w:space="0" w:color="auto"/>
        <w:left w:val="none" w:sz="0" w:space="0" w:color="auto"/>
        <w:bottom w:val="none" w:sz="0" w:space="0" w:color="auto"/>
        <w:right w:val="none" w:sz="0" w:space="0" w:color="auto"/>
      </w:divBdr>
    </w:div>
    <w:div w:id="1902133929">
      <w:bodyDiv w:val="1"/>
      <w:marLeft w:val="0"/>
      <w:marRight w:val="0"/>
      <w:marTop w:val="0"/>
      <w:marBottom w:val="0"/>
      <w:divBdr>
        <w:top w:val="none" w:sz="0" w:space="0" w:color="auto"/>
        <w:left w:val="none" w:sz="0" w:space="0" w:color="auto"/>
        <w:bottom w:val="none" w:sz="0" w:space="0" w:color="auto"/>
        <w:right w:val="none" w:sz="0" w:space="0" w:color="auto"/>
      </w:divBdr>
    </w:div>
    <w:div w:id="1902978282">
      <w:bodyDiv w:val="1"/>
      <w:marLeft w:val="0"/>
      <w:marRight w:val="0"/>
      <w:marTop w:val="0"/>
      <w:marBottom w:val="0"/>
      <w:divBdr>
        <w:top w:val="none" w:sz="0" w:space="0" w:color="auto"/>
        <w:left w:val="none" w:sz="0" w:space="0" w:color="auto"/>
        <w:bottom w:val="none" w:sz="0" w:space="0" w:color="auto"/>
        <w:right w:val="none" w:sz="0" w:space="0" w:color="auto"/>
      </w:divBdr>
    </w:div>
    <w:div w:id="1923291626">
      <w:bodyDiv w:val="1"/>
      <w:marLeft w:val="0"/>
      <w:marRight w:val="0"/>
      <w:marTop w:val="0"/>
      <w:marBottom w:val="0"/>
      <w:divBdr>
        <w:top w:val="none" w:sz="0" w:space="0" w:color="auto"/>
        <w:left w:val="none" w:sz="0" w:space="0" w:color="auto"/>
        <w:bottom w:val="none" w:sz="0" w:space="0" w:color="auto"/>
        <w:right w:val="none" w:sz="0" w:space="0" w:color="auto"/>
      </w:divBdr>
    </w:div>
    <w:div w:id="1945140335">
      <w:bodyDiv w:val="1"/>
      <w:marLeft w:val="0"/>
      <w:marRight w:val="0"/>
      <w:marTop w:val="0"/>
      <w:marBottom w:val="0"/>
      <w:divBdr>
        <w:top w:val="none" w:sz="0" w:space="0" w:color="auto"/>
        <w:left w:val="none" w:sz="0" w:space="0" w:color="auto"/>
        <w:bottom w:val="none" w:sz="0" w:space="0" w:color="auto"/>
        <w:right w:val="none" w:sz="0" w:space="0" w:color="auto"/>
      </w:divBdr>
    </w:div>
    <w:div w:id="1961689618">
      <w:bodyDiv w:val="1"/>
      <w:marLeft w:val="0"/>
      <w:marRight w:val="0"/>
      <w:marTop w:val="0"/>
      <w:marBottom w:val="0"/>
      <w:divBdr>
        <w:top w:val="none" w:sz="0" w:space="0" w:color="auto"/>
        <w:left w:val="none" w:sz="0" w:space="0" w:color="auto"/>
        <w:bottom w:val="none" w:sz="0" w:space="0" w:color="auto"/>
        <w:right w:val="none" w:sz="0" w:space="0" w:color="auto"/>
      </w:divBdr>
    </w:div>
    <w:div w:id="1962564008">
      <w:bodyDiv w:val="1"/>
      <w:marLeft w:val="0"/>
      <w:marRight w:val="0"/>
      <w:marTop w:val="0"/>
      <w:marBottom w:val="0"/>
      <w:divBdr>
        <w:top w:val="none" w:sz="0" w:space="0" w:color="auto"/>
        <w:left w:val="none" w:sz="0" w:space="0" w:color="auto"/>
        <w:bottom w:val="none" w:sz="0" w:space="0" w:color="auto"/>
        <w:right w:val="none" w:sz="0" w:space="0" w:color="auto"/>
      </w:divBdr>
    </w:div>
    <w:div w:id="1970086232">
      <w:bodyDiv w:val="1"/>
      <w:marLeft w:val="0"/>
      <w:marRight w:val="0"/>
      <w:marTop w:val="0"/>
      <w:marBottom w:val="0"/>
      <w:divBdr>
        <w:top w:val="none" w:sz="0" w:space="0" w:color="auto"/>
        <w:left w:val="none" w:sz="0" w:space="0" w:color="auto"/>
        <w:bottom w:val="none" w:sz="0" w:space="0" w:color="auto"/>
        <w:right w:val="none" w:sz="0" w:space="0" w:color="auto"/>
      </w:divBdr>
    </w:div>
    <w:div w:id="1970427427">
      <w:bodyDiv w:val="1"/>
      <w:marLeft w:val="0"/>
      <w:marRight w:val="0"/>
      <w:marTop w:val="0"/>
      <w:marBottom w:val="0"/>
      <w:divBdr>
        <w:top w:val="none" w:sz="0" w:space="0" w:color="auto"/>
        <w:left w:val="none" w:sz="0" w:space="0" w:color="auto"/>
        <w:bottom w:val="none" w:sz="0" w:space="0" w:color="auto"/>
        <w:right w:val="none" w:sz="0" w:space="0" w:color="auto"/>
      </w:divBdr>
    </w:div>
    <w:div w:id="1981229843">
      <w:bodyDiv w:val="1"/>
      <w:marLeft w:val="0"/>
      <w:marRight w:val="0"/>
      <w:marTop w:val="0"/>
      <w:marBottom w:val="0"/>
      <w:divBdr>
        <w:top w:val="none" w:sz="0" w:space="0" w:color="auto"/>
        <w:left w:val="none" w:sz="0" w:space="0" w:color="auto"/>
        <w:bottom w:val="none" w:sz="0" w:space="0" w:color="auto"/>
        <w:right w:val="none" w:sz="0" w:space="0" w:color="auto"/>
      </w:divBdr>
    </w:div>
    <w:div w:id="1987126800">
      <w:bodyDiv w:val="1"/>
      <w:marLeft w:val="0"/>
      <w:marRight w:val="0"/>
      <w:marTop w:val="0"/>
      <w:marBottom w:val="0"/>
      <w:divBdr>
        <w:top w:val="none" w:sz="0" w:space="0" w:color="auto"/>
        <w:left w:val="none" w:sz="0" w:space="0" w:color="auto"/>
        <w:bottom w:val="none" w:sz="0" w:space="0" w:color="auto"/>
        <w:right w:val="none" w:sz="0" w:space="0" w:color="auto"/>
      </w:divBdr>
    </w:div>
    <w:div w:id="2009746308">
      <w:bodyDiv w:val="1"/>
      <w:marLeft w:val="0"/>
      <w:marRight w:val="0"/>
      <w:marTop w:val="0"/>
      <w:marBottom w:val="0"/>
      <w:divBdr>
        <w:top w:val="none" w:sz="0" w:space="0" w:color="auto"/>
        <w:left w:val="none" w:sz="0" w:space="0" w:color="auto"/>
        <w:bottom w:val="none" w:sz="0" w:space="0" w:color="auto"/>
        <w:right w:val="none" w:sz="0" w:space="0" w:color="auto"/>
      </w:divBdr>
    </w:div>
    <w:div w:id="2011329318">
      <w:bodyDiv w:val="1"/>
      <w:marLeft w:val="0"/>
      <w:marRight w:val="0"/>
      <w:marTop w:val="0"/>
      <w:marBottom w:val="0"/>
      <w:divBdr>
        <w:top w:val="none" w:sz="0" w:space="0" w:color="auto"/>
        <w:left w:val="none" w:sz="0" w:space="0" w:color="auto"/>
        <w:bottom w:val="none" w:sz="0" w:space="0" w:color="auto"/>
        <w:right w:val="none" w:sz="0" w:space="0" w:color="auto"/>
      </w:divBdr>
    </w:div>
    <w:div w:id="2055041191">
      <w:bodyDiv w:val="1"/>
      <w:marLeft w:val="0"/>
      <w:marRight w:val="0"/>
      <w:marTop w:val="0"/>
      <w:marBottom w:val="0"/>
      <w:divBdr>
        <w:top w:val="none" w:sz="0" w:space="0" w:color="auto"/>
        <w:left w:val="none" w:sz="0" w:space="0" w:color="auto"/>
        <w:bottom w:val="none" w:sz="0" w:space="0" w:color="auto"/>
        <w:right w:val="none" w:sz="0" w:space="0" w:color="auto"/>
      </w:divBdr>
    </w:div>
    <w:div w:id="2085370989">
      <w:bodyDiv w:val="1"/>
      <w:marLeft w:val="0"/>
      <w:marRight w:val="0"/>
      <w:marTop w:val="0"/>
      <w:marBottom w:val="0"/>
      <w:divBdr>
        <w:top w:val="none" w:sz="0" w:space="0" w:color="auto"/>
        <w:left w:val="none" w:sz="0" w:space="0" w:color="auto"/>
        <w:bottom w:val="none" w:sz="0" w:space="0" w:color="auto"/>
        <w:right w:val="none" w:sz="0" w:space="0" w:color="auto"/>
      </w:divBdr>
    </w:div>
    <w:div w:id="2101020031">
      <w:bodyDiv w:val="1"/>
      <w:marLeft w:val="0"/>
      <w:marRight w:val="0"/>
      <w:marTop w:val="0"/>
      <w:marBottom w:val="0"/>
      <w:divBdr>
        <w:top w:val="none" w:sz="0" w:space="0" w:color="auto"/>
        <w:left w:val="none" w:sz="0" w:space="0" w:color="auto"/>
        <w:bottom w:val="none" w:sz="0" w:space="0" w:color="auto"/>
        <w:right w:val="none" w:sz="0" w:space="0" w:color="auto"/>
      </w:divBdr>
    </w:div>
    <w:div w:id="2115052676">
      <w:bodyDiv w:val="1"/>
      <w:marLeft w:val="0"/>
      <w:marRight w:val="0"/>
      <w:marTop w:val="0"/>
      <w:marBottom w:val="0"/>
      <w:divBdr>
        <w:top w:val="none" w:sz="0" w:space="0" w:color="auto"/>
        <w:left w:val="none" w:sz="0" w:space="0" w:color="auto"/>
        <w:bottom w:val="none" w:sz="0" w:space="0" w:color="auto"/>
        <w:right w:val="none" w:sz="0" w:space="0" w:color="auto"/>
      </w:divBdr>
    </w:div>
    <w:div w:id="2131125285">
      <w:bodyDiv w:val="1"/>
      <w:marLeft w:val="0"/>
      <w:marRight w:val="0"/>
      <w:marTop w:val="0"/>
      <w:marBottom w:val="0"/>
      <w:divBdr>
        <w:top w:val="none" w:sz="0" w:space="0" w:color="auto"/>
        <w:left w:val="none" w:sz="0" w:space="0" w:color="auto"/>
        <w:bottom w:val="none" w:sz="0" w:space="0" w:color="auto"/>
        <w:right w:val="none" w:sz="0" w:space="0" w:color="auto"/>
      </w:divBdr>
    </w:div>
    <w:div w:id="2139295188">
      <w:bodyDiv w:val="1"/>
      <w:marLeft w:val="0"/>
      <w:marRight w:val="0"/>
      <w:marTop w:val="0"/>
      <w:marBottom w:val="0"/>
      <w:divBdr>
        <w:top w:val="none" w:sz="0" w:space="0" w:color="auto"/>
        <w:left w:val="none" w:sz="0" w:space="0" w:color="auto"/>
        <w:bottom w:val="none" w:sz="0" w:space="0" w:color="auto"/>
        <w:right w:val="none" w:sz="0" w:space="0" w:color="auto"/>
      </w:divBdr>
    </w:div>
    <w:div w:id="2143188869">
      <w:bodyDiv w:val="1"/>
      <w:marLeft w:val="0"/>
      <w:marRight w:val="0"/>
      <w:marTop w:val="0"/>
      <w:marBottom w:val="0"/>
      <w:divBdr>
        <w:top w:val="none" w:sz="0" w:space="0" w:color="auto"/>
        <w:left w:val="none" w:sz="0" w:space="0" w:color="auto"/>
        <w:bottom w:val="none" w:sz="0" w:space="0" w:color="auto"/>
        <w:right w:val="none" w:sz="0" w:space="0" w:color="auto"/>
      </w:divBdr>
      <w:divsChild>
        <w:div w:id="649403888">
          <w:marLeft w:val="0"/>
          <w:marRight w:val="0"/>
          <w:marTop w:val="0"/>
          <w:marBottom w:val="0"/>
          <w:divBdr>
            <w:top w:val="none" w:sz="0" w:space="0" w:color="auto"/>
            <w:left w:val="none" w:sz="0" w:space="0" w:color="auto"/>
            <w:bottom w:val="none" w:sz="0" w:space="0" w:color="auto"/>
            <w:right w:val="none" w:sz="0" w:space="0" w:color="auto"/>
          </w:divBdr>
          <w:divsChild>
            <w:div w:id="68230872">
              <w:marLeft w:val="0"/>
              <w:marRight w:val="0"/>
              <w:marTop w:val="0"/>
              <w:marBottom w:val="0"/>
              <w:divBdr>
                <w:top w:val="none" w:sz="0" w:space="0" w:color="auto"/>
                <w:left w:val="none" w:sz="0" w:space="0" w:color="auto"/>
                <w:bottom w:val="none" w:sz="0" w:space="0" w:color="auto"/>
                <w:right w:val="none" w:sz="0" w:space="0" w:color="auto"/>
              </w:divBdr>
              <w:divsChild>
                <w:div w:id="1501891058">
                  <w:marLeft w:val="0"/>
                  <w:marRight w:val="0"/>
                  <w:marTop w:val="0"/>
                  <w:marBottom w:val="0"/>
                  <w:divBdr>
                    <w:top w:val="none" w:sz="0" w:space="0" w:color="auto"/>
                    <w:left w:val="none" w:sz="0" w:space="0" w:color="auto"/>
                    <w:bottom w:val="none" w:sz="0" w:space="0" w:color="auto"/>
                    <w:right w:val="none" w:sz="0" w:space="0" w:color="auto"/>
                  </w:divBdr>
                  <w:divsChild>
                    <w:div w:id="335035589">
                      <w:marLeft w:val="0"/>
                      <w:marRight w:val="0"/>
                      <w:marTop w:val="0"/>
                      <w:marBottom w:val="0"/>
                      <w:divBdr>
                        <w:top w:val="none" w:sz="0" w:space="0" w:color="auto"/>
                        <w:left w:val="none" w:sz="0" w:space="0" w:color="auto"/>
                        <w:bottom w:val="none" w:sz="0" w:space="0" w:color="auto"/>
                        <w:right w:val="none" w:sz="0" w:space="0" w:color="auto"/>
                      </w:divBdr>
                      <w:divsChild>
                        <w:div w:id="263657984">
                          <w:marLeft w:val="0"/>
                          <w:marRight w:val="0"/>
                          <w:marTop w:val="0"/>
                          <w:marBottom w:val="0"/>
                          <w:divBdr>
                            <w:top w:val="none" w:sz="0" w:space="0" w:color="auto"/>
                            <w:left w:val="none" w:sz="0" w:space="0" w:color="auto"/>
                            <w:bottom w:val="none" w:sz="0" w:space="0" w:color="auto"/>
                            <w:right w:val="none" w:sz="0" w:space="0" w:color="auto"/>
                          </w:divBdr>
                          <w:divsChild>
                            <w:div w:id="794104924">
                              <w:marLeft w:val="0"/>
                              <w:marRight w:val="0"/>
                              <w:marTop w:val="0"/>
                              <w:marBottom w:val="0"/>
                              <w:divBdr>
                                <w:top w:val="none" w:sz="0" w:space="0" w:color="auto"/>
                                <w:left w:val="none" w:sz="0" w:space="0" w:color="auto"/>
                                <w:bottom w:val="none" w:sz="0" w:space="0" w:color="auto"/>
                                <w:right w:val="none" w:sz="0" w:space="0" w:color="auto"/>
                              </w:divBdr>
                              <w:divsChild>
                                <w:div w:id="195126340">
                                  <w:marLeft w:val="0"/>
                                  <w:marRight w:val="0"/>
                                  <w:marTop w:val="0"/>
                                  <w:marBottom w:val="0"/>
                                  <w:divBdr>
                                    <w:top w:val="none" w:sz="0" w:space="0" w:color="auto"/>
                                    <w:left w:val="none" w:sz="0" w:space="0" w:color="auto"/>
                                    <w:bottom w:val="none" w:sz="0" w:space="0" w:color="auto"/>
                                    <w:right w:val="none" w:sz="0" w:space="0" w:color="auto"/>
                                  </w:divBdr>
                                  <w:divsChild>
                                    <w:div w:id="413822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257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6626635">
              <w:marLeft w:val="0"/>
              <w:marRight w:val="0"/>
              <w:marTop w:val="0"/>
              <w:marBottom w:val="0"/>
              <w:divBdr>
                <w:top w:val="none" w:sz="0" w:space="0" w:color="auto"/>
                <w:left w:val="none" w:sz="0" w:space="0" w:color="auto"/>
                <w:bottom w:val="none" w:sz="0" w:space="0" w:color="auto"/>
                <w:right w:val="none" w:sz="0" w:space="0" w:color="auto"/>
              </w:divBdr>
              <w:divsChild>
                <w:div w:id="1198546151">
                  <w:marLeft w:val="0"/>
                  <w:marRight w:val="0"/>
                  <w:marTop w:val="0"/>
                  <w:marBottom w:val="0"/>
                  <w:divBdr>
                    <w:top w:val="none" w:sz="0" w:space="0" w:color="auto"/>
                    <w:left w:val="none" w:sz="0" w:space="0" w:color="auto"/>
                    <w:bottom w:val="none" w:sz="0" w:space="0" w:color="auto"/>
                    <w:right w:val="none" w:sz="0" w:space="0" w:color="auto"/>
                  </w:divBdr>
                  <w:divsChild>
                    <w:div w:id="1199511742">
                      <w:marLeft w:val="0"/>
                      <w:marRight w:val="0"/>
                      <w:marTop w:val="0"/>
                      <w:marBottom w:val="0"/>
                      <w:divBdr>
                        <w:top w:val="none" w:sz="0" w:space="0" w:color="auto"/>
                        <w:left w:val="none" w:sz="0" w:space="0" w:color="auto"/>
                        <w:bottom w:val="none" w:sz="0" w:space="0" w:color="auto"/>
                        <w:right w:val="none" w:sz="0" w:space="0" w:color="auto"/>
                      </w:divBdr>
                      <w:divsChild>
                        <w:div w:id="525212630">
                          <w:marLeft w:val="0"/>
                          <w:marRight w:val="0"/>
                          <w:marTop w:val="0"/>
                          <w:marBottom w:val="0"/>
                          <w:divBdr>
                            <w:top w:val="none" w:sz="0" w:space="0" w:color="auto"/>
                            <w:left w:val="none" w:sz="0" w:space="0" w:color="auto"/>
                            <w:bottom w:val="none" w:sz="0" w:space="0" w:color="auto"/>
                            <w:right w:val="none" w:sz="0" w:space="0" w:color="auto"/>
                          </w:divBdr>
                        </w:div>
                        <w:div w:id="1479953208">
                          <w:marLeft w:val="0"/>
                          <w:marRight w:val="0"/>
                          <w:marTop w:val="0"/>
                          <w:marBottom w:val="0"/>
                          <w:divBdr>
                            <w:top w:val="none" w:sz="0" w:space="0" w:color="auto"/>
                            <w:left w:val="none" w:sz="0" w:space="0" w:color="auto"/>
                            <w:bottom w:val="none" w:sz="0" w:space="0" w:color="auto"/>
                            <w:right w:val="none" w:sz="0" w:space="0" w:color="auto"/>
                          </w:divBdr>
                          <w:divsChild>
                            <w:div w:id="199321266">
                              <w:marLeft w:val="0"/>
                              <w:marRight w:val="0"/>
                              <w:marTop w:val="0"/>
                              <w:marBottom w:val="0"/>
                              <w:divBdr>
                                <w:top w:val="none" w:sz="0" w:space="0" w:color="auto"/>
                                <w:left w:val="none" w:sz="0" w:space="0" w:color="auto"/>
                                <w:bottom w:val="none" w:sz="0" w:space="0" w:color="auto"/>
                                <w:right w:val="none" w:sz="0" w:space="0" w:color="auto"/>
                              </w:divBdr>
                              <w:divsChild>
                                <w:div w:id="674646432">
                                  <w:marLeft w:val="0"/>
                                  <w:marRight w:val="0"/>
                                  <w:marTop w:val="0"/>
                                  <w:marBottom w:val="0"/>
                                  <w:divBdr>
                                    <w:top w:val="none" w:sz="0" w:space="0" w:color="auto"/>
                                    <w:left w:val="none" w:sz="0" w:space="0" w:color="auto"/>
                                    <w:bottom w:val="none" w:sz="0" w:space="0" w:color="auto"/>
                                    <w:right w:val="none" w:sz="0" w:space="0" w:color="auto"/>
                                  </w:divBdr>
                                  <w:divsChild>
                                    <w:div w:id="193771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94886965">
              <w:marLeft w:val="0"/>
              <w:marRight w:val="0"/>
              <w:marTop w:val="0"/>
              <w:marBottom w:val="0"/>
              <w:divBdr>
                <w:top w:val="none" w:sz="0" w:space="0" w:color="auto"/>
                <w:left w:val="none" w:sz="0" w:space="0" w:color="auto"/>
                <w:bottom w:val="none" w:sz="0" w:space="0" w:color="auto"/>
                <w:right w:val="none" w:sz="0" w:space="0" w:color="auto"/>
              </w:divBdr>
              <w:divsChild>
                <w:div w:id="464204788">
                  <w:marLeft w:val="0"/>
                  <w:marRight w:val="0"/>
                  <w:marTop w:val="0"/>
                  <w:marBottom w:val="0"/>
                  <w:divBdr>
                    <w:top w:val="none" w:sz="0" w:space="0" w:color="auto"/>
                    <w:left w:val="none" w:sz="0" w:space="0" w:color="auto"/>
                    <w:bottom w:val="none" w:sz="0" w:space="0" w:color="auto"/>
                    <w:right w:val="none" w:sz="0" w:space="0" w:color="auto"/>
                  </w:divBdr>
                  <w:divsChild>
                    <w:div w:id="301545226">
                      <w:marLeft w:val="0"/>
                      <w:marRight w:val="0"/>
                      <w:marTop w:val="0"/>
                      <w:marBottom w:val="0"/>
                      <w:divBdr>
                        <w:top w:val="none" w:sz="0" w:space="0" w:color="auto"/>
                        <w:left w:val="none" w:sz="0" w:space="0" w:color="auto"/>
                        <w:bottom w:val="none" w:sz="0" w:space="0" w:color="auto"/>
                        <w:right w:val="none" w:sz="0" w:space="0" w:color="auto"/>
                      </w:divBdr>
                      <w:divsChild>
                        <w:div w:id="387538127">
                          <w:marLeft w:val="0"/>
                          <w:marRight w:val="0"/>
                          <w:marTop w:val="0"/>
                          <w:marBottom w:val="0"/>
                          <w:divBdr>
                            <w:top w:val="none" w:sz="0" w:space="0" w:color="auto"/>
                            <w:left w:val="none" w:sz="0" w:space="0" w:color="auto"/>
                            <w:bottom w:val="none" w:sz="0" w:space="0" w:color="auto"/>
                            <w:right w:val="none" w:sz="0" w:space="0" w:color="auto"/>
                          </w:divBdr>
                          <w:divsChild>
                            <w:div w:id="1831215767">
                              <w:marLeft w:val="0"/>
                              <w:marRight w:val="0"/>
                              <w:marTop w:val="0"/>
                              <w:marBottom w:val="0"/>
                              <w:divBdr>
                                <w:top w:val="none" w:sz="0" w:space="0" w:color="auto"/>
                                <w:left w:val="none" w:sz="0" w:space="0" w:color="auto"/>
                                <w:bottom w:val="none" w:sz="0" w:space="0" w:color="auto"/>
                                <w:right w:val="none" w:sz="0" w:space="0" w:color="auto"/>
                              </w:divBdr>
                              <w:divsChild>
                                <w:div w:id="880627210">
                                  <w:marLeft w:val="0"/>
                                  <w:marRight w:val="0"/>
                                  <w:marTop w:val="0"/>
                                  <w:marBottom w:val="0"/>
                                  <w:divBdr>
                                    <w:top w:val="none" w:sz="0" w:space="0" w:color="auto"/>
                                    <w:left w:val="none" w:sz="0" w:space="0" w:color="auto"/>
                                    <w:bottom w:val="none" w:sz="0" w:space="0" w:color="auto"/>
                                    <w:right w:val="none" w:sz="0" w:space="0" w:color="auto"/>
                                  </w:divBdr>
                                  <w:divsChild>
                                    <w:div w:id="1210458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199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90988">
              <w:marLeft w:val="0"/>
              <w:marRight w:val="0"/>
              <w:marTop w:val="0"/>
              <w:marBottom w:val="0"/>
              <w:divBdr>
                <w:top w:val="none" w:sz="0" w:space="0" w:color="auto"/>
                <w:left w:val="none" w:sz="0" w:space="0" w:color="auto"/>
                <w:bottom w:val="none" w:sz="0" w:space="0" w:color="auto"/>
                <w:right w:val="none" w:sz="0" w:space="0" w:color="auto"/>
              </w:divBdr>
              <w:divsChild>
                <w:div w:id="98990557">
                  <w:marLeft w:val="0"/>
                  <w:marRight w:val="0"/>
                  <w:marTop w:val="0"/>
                  <w:marBottom w:val="0"/>
                  <w:divBdr>
                    <w:top w:val="none" w:sz="0" w:space="0" w:color="auto"/>
                    <w:left w:val="none" w:sz="0" w:space="0" w:color="auto"/>
                    <w:bottom w:val="none" w:sz="0" w:space="0" w:color="auto"/>
                    <w:right w:val="none" w:sz="0" w:space="0" w:color="auto"/>
                  </w:divBdr>
                  <w:divsChild>
                    <w:div w:id="1978947670">
                      <w:marLeft w:val="0"/>
                      <w:marRight w:val="0"/>
                      <w:marTop w:val="0"/>
                      <w:marBottom w:val="0"/>
                      <w:divBdr>
                        <w:top w:val="none" w:sz="0" w:space="0" w:color="auto"/>
                        <w:left w:val="none" w:sz="0" w:space="0" w:color="auto"/>
                        <w:bottom w:val="none" w:sz="0" w:space="0" w:color="auto"/>
                        <w:right w:val="none" w:sz="0" w:space="0" w:color="auto"/>
                      </w:divBdr>
                      <w:divsChild>
                        <w:div w:id="1485439463">
                          <w:marLeft w:val="0"/>
                          <w:marRight w:val="0"/>
                          <w:marTop w:val="0"/>
                          <w:marBottom w:val="0"/>
                          <w:divBdr>
                            <w:top w:val="none" w:sz="0" w:space="0" w:color="auto"/>
                            <w:left w:val="none" w:sz="0" w:space="0" w:color="auto"/>
                            <w:bottom w:val="none" w:sz="0" w:space="0" w:color="auto"/>
                            <w:right w:val="none" w:sz="0" w:space="0" w:color="auto"/>
                          </w:divBdr>
                          <w:divsChild>
                            <w:div w:id="2022968006">
                              <w:marLeft w:val="0"/>
                              <w:marRight w:val="0"/>
                              <w:marTop w:val="0"/>
                              <w:marBottom w:val="0"/>
                              <w:divBdr>
                                <w:top w:val="none" w:sz="0" w:space="0" w:color="auto"/>
                                <w:left w:val="none" w:sz="0" w:space="0" w:color="auto"/>
                                <w:bottom w:val="none" w:sz="0" w:space="0" w:color="auto"/>
                                <w:right w:val="none" w:sz="0" w:space="0" w:color="auto"/>
                              </w:divBdr>
                              <w:divsChild>
                                <w:div w:id="1012104988">
                                  <w:marLeft w:val="0"/>
                                  <w:marRight w:val="0"/>
                                  <w:marTop w:val="0"/>
                                  <w:marBottom w:val="0"/>
                                  <w:divBdr>
                                    <w:top w:val="none" w:sz="0" w:space="0" w:color="auto"/>
                                    <w:left w:val="none" w:sz="0" w:space="0" w:color="auto"/>
                                    <w:bottom w:val="none" w:sz="0" w:space="0" w:color="auto"/>
                                    <w:right w:val="none" w:sz="0" w:space="0" w:color="auto"/>
                                  </w:divBdr>
                                  <w:divsChild>
                                    <w:div w:id="206833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11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719111">
              <w:marLeft w:val="0"/>
              <w:marRight w:val="0"/>
              <w:marTop w:val="0"/>
              <w:marBottom w:val="0"/>
              <w:divBdr>
                <w:top w:val="none" w:sz="0" w:space="0" w:color="auto"/>
                <w:left w:val="none" w:sz="0" w:space="0" w:color="auto"/>
                <w:bottom w:val="none" w:sz="0" w:space="0" w:color="auto"/>
                <w:right w:val="none" w:sz="0" w:space="0" w:color="auto"/>
              </w:divBdr>
              <w:divsChild>
                <w:div w:id="1587228149">
                  <w:marLeft w:val="0"/>
                  <w:marRight w:val="0"/>
                  <w:marTop w:val="0"/>
                  <w:marBottom w:val="0"/>
                  <w:divBdr>
                    <w:top w:val="none" w:sz="0" w:space="0" w:color="auto"/>
                    <w:left w:val="none" w:sz="0" w:space="0" w:color="auto"/>
                    <w:bottom w:val="none" w:sz="0" w:space="0" w:color="auto"/>
                    <w:right w:val="none" w:sz="0" w:space="0" w:color="auto"/>
                  </w:divBdr>
                  <w:divsChild>
                    <w:div w:id="703292642">
                      <w:marLeft w:val="0"/>
                      <w:marRight w:val="0"/>
                      <w:marTop w:val="0"/>
                      <w:marBottom w:val="0"/>
                      <w:divBdr>
                        <w:top w:val="none" w:sz="0" w:space="0" w:color="auto"/>
                        <w:left w:val="none" w:sz="0" w:space="0" w:color="auto"/>
                        <w:bottom w:val="none" w:sz="0" w:space="0" w:color="auto"/>
                        <w:right w:val="none" w:sz="0" w:space="0" w:color="auto"/>
                      </w:divBdr>
                      <w:divsChild>
                        <w:div w:id="355470154">
                          <w:marLeft w:val="0"/>
                          <w:marRight w:val="0"/>
                          <w:marTop w:val="0"/>
                          <w:marBottom w:val="0"/>
                          <w:divBdr>
                            <w:top w:val="none" w:sz="0" w:space="0" w:color="auto"/>
                            <w:left w:val="none" w:sz="0" w:space="0" w:color="auto"/>
                            <w:bottom w:val="none" w:sz="0" w:space="0" w:color="auto"/>
                            <w:right w:val="none" w:sz="0" w:space="0" w:color="auto"/>
                          </w:divBdr>
                          <w:divsChild>
                            <w:div w:id="914707052">
                              <w:marLeft w:val="0"/>
                              <w:marRight w:val="0"/>
                              <w:marTop w:val="0"/>
                              <w:marBottom w:val="0"/>
                              <w:divBdr>
                                <w:top w:val="none" w:sz="0" w:space="0" w:color="auto"/>
                                <w:left w:val="none" w:sz="0" w:space="0" w:color="auto"/>
                                <w:bottom w:val="none" w:sz="0" w:space="0" w:color="auto"/>
                                <w:right w:val="none" w:sz="0" w:space="0" w:color="auto"/>
                              </w:divBdr>
                              <w:divsChild>
                                <w:div w:id="1535465683">
                                  <w:marLeft w:val="0"/>
                                  <w:marRight w:val="0"/>
                                  <w:marTop w:val="0"/>
                                  <w:marBottom w:val="0"/>
                                  <w:divBdr>
                                    <w:top w:val="none" w:sz="0" w:space="0" w:color="auto"/>
                                    <w:left w:val="none" w:sz="0" w:space="0" w:color="auto"/>
                                    <w:bottom w:val="none" w:sz="0" w:space="0" w:color="auto"/>
                                    <w:right w:val="none" w:sz="0" w:space="0" w:color="auto"/>
                                  </w:divBdr>
                                  <w:divsChild>
                                    <w:div w:id="691539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224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1501600">
              <w:marLeft w:val="0"/>
              <w:marRight w:val="0"/>
              <w:marTop w:val="0"/>
              <w:marBottom w:val="0"/>
              <w:divBdr>
                <w:top w:val="none" w:sz="0" w:space="0" w:color="auto"/>
                <w:left w:val="none" w:sz="0" w:space="0" w:color="auto"/>
                <w:bottom w:val="none" w:sz="0" w:space="0" w:color="auto"/>
                <w:right w:val="none" w:sz="0" w:space="0" w:color="auto"/>
              </w:divBdr>
              <w:divsChild>
                <w:div w:id="1740596993">
                  <w:marLeft w:val="0"/>
                  <w:marRight w:val="0"/>
                  <w:marTop w:val="0"/>
                  <w:marBottom w:val="0"/>
                  <w:divBdr>
                    <w:top w:val="none" w:sz="0" w:space="0" w:color="auto"/>
                    <w:left w:val="none" w:sz="0" w:space="0" w:color="auto"/>
                    <w:bottom w:val="none" w:sz="0" w:space="0" w:color="auto"/>
                    <w:right w:val="none" w:sz="0" w:space="0" w:color="auto"/>
                  </w:divBdr>
                  <w:divsChild>
                    <w:div w:id="1706250405">
                      <w:marLeft w:val="0"/>
                      <w:marRight w:val="0"/>
                      <w:marTop w:val="0"/>
                      <w:marBottom w:val="0"/>
                      <w:divBdr>
                        <w:top w:val="none" w:sz="0" w:space="0" w:color="auto"/>
                        <w:left w:val="none" w:sz="0" w:space="0" w:color="auto"/>
                        <w:bottom w:val="none" w:sz="0" w:space="0" w:color="auto"/>
                        <w:right w:val="none" w:sz="0" w:space="0" w:color="auto"/>
                      </w:divBdr>
                      <w:divsChild>
                        <w:div w:id="753941052">
                          <w:marLeft w:val="0"/>
                          <w:marRight w:val="0"/>
                          <w:marTop w:val="0"/>
                          <w:marBottom w:val="0"/>
                          <w:divBdr>
                            <w:top w:val="none" w:sz="0" w:space="0" w:color="auto"/>
                            <w:left w:val="none" w:sz="0" w:space="0" w:color="auto"/>
                            <w:bottom w:val="none" w:sz="0" w:space="0" w:color="auto"/>
                            <w:right w:val="none" w:sz="0" w:space="0" w:color="auto"/>
                          </w:divBdr>
                        </w:div>
                        <w:div w:id="1968849677">
                          <w:marLeft w:val="0"/>
                          <w:marRight w:val="0"/>
                          <w:marTop w:val="0"/>
                          <w:marBottom w:val="0"/>
                          <w:divBdr>
                            <w:top w:val="none" w:sz="0" w:space="0" w:color="auto"/>
                            <w:left w:val="none" w:sz="0" w:space="0" w:color="auto"/>
                            <w:bottom w:val="none" w:sz="0" w:space="0" w:color="auto"/>
                            <w:right w:val="none" w:sz="0" w:space="0" w:color="auto"/>
                          </w:divBdr>
                          <w:divsChild>
                            <w:div w:id="1076131271">
                              <w:marLeft w:val="0"/>
                              <w:marRight w:val="0"/>
                              <w:marTop w:val="0"/>
                              <w:marBottom w:val="0"/>
                              <w:divBdr>
                                <w:top w:val="none" w:sz="0" w:space="0" w:color="auto"/>
                                <w:left w:val="none" w:sz="0" w:space="0" w:color="auto"/>
                                <w:bottom w:val="none" w:sz="0" w:space="0" w:color="auto"/>
                                <w:right w:val="none" w:sz="0" w:space="0" w:color="auto"/>
                              </w:divBdr>
                              <w:divsChild>
                                <w:div w:id="1809201544">
                                  <w:marLeft w:val="0"/>
                                  <w:marRight w:val="0"/>
                                  <w:marTop w:val="0"/>
                                  <w:marBottom w:val="0"/>
                                  <w:divBdr>
                                    <w:top w:val="none" w:sz="0" w:space="0" w:color="auto"/>
                                    <w:left w:val="none" w:sz="0" w:space="0" w:color="auto"/>
                                    <w:bottom w:val="none" w:sz="0" w:space="0" w:color="auto"/>
                                    <w:right w:val="none" w:sz="0" w:space="0" w:color="auto"/>
                                  </w:divBdr>
                                  <w:divsChild>
                                    <w:div w:id="51461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0854257">
              <w:marLeft w:val="0"/>
              <w:marRight w:val="0"/>
              <w:marTop w:val="0"/>
              <w:marBottom w:val="0"/>
              <w:divBdr>
                <w:top w:val="none" w:sz="0" w:space="0" w:color="auto"/>
                <w:left w:val="none" w:sz="0" w:space="0" w:color="auto"/>
                <w:bottom w:val="none" w:sz="0" w:space="0" w:color="auto"/>
                <w:right w:val="none" w:sz="0" w:space="0" w:color="auto"/>
              </w:divBdr>
              <w:divsChild>
                <w:div w:id="1999455909">
                  <w:marLeft w:val="0"/>
                  <w:marRight w:val="0"/>
                  <w:marTop w:val="0"/>
                  <w:marBottom w:val="0"/>
                  <w:divBdr>
                    <w:top w:val="none" w:sz="0" w:space="0" w:color="auto"/>
                    <w:left w:val="none" w:sz="0" w:space="0" w:color="auto"/>
                    <w:bottom w:val="none" w:sz="0" w:space="0" w:color="auto"/>
                    <w:right w:val="none" w:sz="0" w:space="0" w:color="auto"/>
                  </w:divBdr>
                  <w:divsChild>
                    <w:div w:id="272252842">
                      <w:marLeft w:val="0"/>
                      <w:marRight w:val="0"/>
                      <w:marTop w:val="0"/>
                      <w:marBottom w:val="0"/>
                      <w:divBdr>
                        <w:top w:val="none" w:sz="0" w:space="0" w:color="auto"/>
                        <w:left w:val="none" w:sz="0" w:space="0" w:color="auto"/>
                        <w:bottom w:val="none" w:sz="0" w:space="0" w:color="auto"/>
                        <w:right w:val="none" w:sz="0" w:space="0" w:color="auto"/>
                      </w:divBdr>
                      <w:divsChild>
                        <w:div w:id="1167332457">
                          <w:marLeft w:val="0"/>
                          <w:marRight w:val="0"/>
                          <w:marTop w:val="0"/>
                          <w:marBottom w:val="0"/>
                          <w:divBdr>
                            <w:top w:val="none" w:sz="0" w:space="0" w:color="auto"/>
                            <w:left w:val="none" w:sz="0" w:space="0" w:color="auto"/>
                            <w:bottom w:val="none" w:sz="0" w:space="0" w:color="auto"/>
                            <w:right w:val="none" w:sz="0" w:space="0" w:color="auto"/>
                          </w:divBdr>
                          <w:divsChild>
                            <w:div w:id="1166823575">
                              <w:marLeft w:val="0"/>
                              <w:marRight w:val="0"/>
                              <w:marTop w:val="0"/>
                              <w:marBottom w:val="0"/>
                              <w:divBdr>
                                <w:top w:val="none" w:sz="0" w:space="0" w:color="auto"/>
                                <w:left w:val="none" w:sz="0" w:space="0" w:color="auto"/>
                                <w:bottom w:val="none" w:sz="0" w:space="0" w:color="auto"/>
                                <w:right w:val="none" w:sz="0" w:space="0" w:color="auto"/>
                              </w:divBdr>
                              <w:divsChild>
                                <w:div w:id="1725517538">
                                  <w:marLeft w:val="0"/>
                                  <w:marRight w:val="0"/>
                                  <w:marTop w:val="0"/>
                                  <w:marBottom w:val="0"/>
                                  <w:divBdr>
                                    <w:top w:val="none" w:sz="0" w:space="0" w:color="auto"/>
                                    <w:left w:val="none" w:sz="0" w:space="0" w:color="auto"/>
                                    <w:bottom w:val="none" w:sz="0" w:space="0" w:color="auto"/>
                                    <w:right w:val="none" w:sz="0" w:space="0" w:color="auto"/>
                                  </w:divBdr>
                                  <w:divsChild>
                                    <w:div w:id="34290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56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870527">
              <w:marLeft w:val="0"/>
              <w:marRight w:val="0"/>
              <w:marTop w:val="0"/>
              <w:marBottom w:val="0"/>
              <w:divBdr>
                <w:top w:val="none" w:sz="0" w:space="0" w:color="auto"/>
                <w:left w:val="none" w:sz="0" w:space="0" w:color="auto"/>
                <w:bottom w:val="none" w:sz="0" w:space="0" w:color="auto"/>
                <w:right w:val="none" w:sz="0" w:space="0" w:color="auto"/>
              </w:divBdr>
              <w:divsChild>
                <w:div w:id="607547913">
                  <w:marLeft w:val="0"/>
                  <w:marRight w:val="0"/>
                  <w:marTop w:val="0"/>
                  <w:marBottom w:val="0"/>
                  <w:divBdr>
                    <w:top w:val="none" w:sz="0" w:space="0" w:color="auto"/>
                    <w:left w:val="none" w:sz="0" w:space="0" w:color="auto"/>
                    <w:bottom w:val="none" w:sz="0" w:space="0" w:color="auto"/>
                    <w:right w:val="none" w:sz="0" w:space="0" w:color="auto"/>
                  </w:divBdr>
                  <w:divsChild>
                    <w:div w:id="260189758">
                      <w:marLeft w:val="0"/>
                      <w:marRight w:val="0"/>
                      <w:marTop w:val="0"/>
                      <w:marBottom w:val="0"/>
                      <w:divBdr>
                        <w:top w:val="none" w:sz="0" w:space="0" w:color="auto"/>
                        <w:left w:val="none" w:sz="0" w:space="0" w:color="auto"/>
                        <w:bottom w:val="none" w:sz="0" w:space="0" w:color="auto"/>
                        <w:right w:val="none" w:sz="0" w:space="0" w:color="auto"/>
                      </w:divBdr>
                      <w:divsChild>
                        <w:div w:id="401872064">
                          <w:marLeft w:val="0"/>
                          <w:marRight w:val="0"/>
                          <w:marTop w:val="0"/>
                          <w:marBottom w:val="0"/>
                          <w:divBdr>
                            <w:top w:val="none" w:sz="0" w:space="0" w:color="auto"/>
                            <w:left w:val="none" w:sz="0" w:space="0" w:color="auto"/>
                            <w:bottom w:val="none" w:sz="0" w:space="0" w:color="auto"/>
                            <w:right w:val="none" w:sz="0" w:space="0" w:color="auto"/>
                          </w:divBdr>
                          <w:divsChild>
                            <w:div w:id="309139465">
                              <w:marLeft w:val="0"/>
                              <w:marRight w:val="0"/>
                              <w:marTop w:val="0"/>
                              <w:marBottom w:val="0"/>
                              <w:divBdr>
                                <w:top w:val="none" w:sz="0" w:space="0" w:color="auto"/>
                                <w:left w:val="none" w:sz="0" w:space="0" w:color="auto"/>
                                <w:bottom w:val="none" w:sz="0" w:space="0" w:color="auto"/>
                                <w:right w:val="none" w:sz="0" w:space="0" w:color="auto"/>
                              </w:divBdr>
                              <w:divsChild>
                                <w:div w:id="976105316">
                                  <w:marLeft w:val="0"/>
                                  <w:marRight w:val="0"/>
                                  <w:marTop w:val="0"/>
                                  <w:marBottom w:val="0"/>
                                  <w:divBdr>
                                    <w:top w:val="none" w:sz="0" w:space="0" w:color="auto"/>
                                    <w:left w:val="none" w:sz="0" w:space="0" w:color="auto"/>
                                    <w:bottom w:val="none" w:sz="0" w:space="0" w:color="auto"/>
                                    <w:right w:val="none" w:sz="0" w:space="0" w:color="auto"/>
                                  </w:divBdr>
                                  <w:divsChild>
                                    <w:div w:id="127232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74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857211">
              <w:marLeft w:val="0"/>
              <w:marRight w:val="0"/>
              <w:marTop w:val="0"/>
              <w:marBottom w:val="0"/>
              <w:divBdr>
                <w:top w:val="none" w:sz="0" w:space="0" w:color="auto"/>
                <w:left w:val="none" w:sz="0" w:space="0" w:color="auto"/>
                <w:bottom w:val="none" w:sz="0" w:space="0" w:color="auto"/>
                <w:right w:val="none" w:sz="0" w:space="0" w:color="auto"/>
              </w:divBdr>
              <w:divsChild>
                <w:div w:id="1410614480">
                  <w:marLeft w:val="0"/>
                  <w:marRight w:val="0"/>
                  <w:marTop w:val="0"/>
                  <w:marBottom w:val="0"/>
                  <w:divBdr>
                    <w:top w:val="none" w:sz="0" w:space="0" w:color="auto"/>
                    <w:left w:val="none" w:sz="0" w:space="0" w:color="auto"/>
                    <w:bottom w:val="none" w:sz="0" w:space="0" w:color="auto"/>
                    <w:right w:val="none" w:sz="0" w:space="0" w:color="auto"/>
                  </w:divBdr>
                  <w:divsChild>
                    <w:div w:id="646663309">
                      <w:marLeft w:val="0"/>
                      <w:marRight w:val="0"/>
                      <w:marTop w:val="0"/>
                      <w:marBottom w:val="0"/>
                      <w:divBdr>
                        <w:top w:val="none" w:sz="0" w:space="0" w:color="auto"/>
                        <w:left w:val="none" w:sz="0" w:space="0" w:color="auto"/>
                        <w:bottom w:val="none" w:sz="0" w:space="0" w:color="auto"/>
                        <w:right w:val="none" w:sz="0" w:space="0" w:color="auto"/>
                      </w:divBdr>
                      <w:divsChild>
                        <w:div w:id="1040547706">
                          <w:marLeft w:val="0"/>
                          <w:marRight w:val="0"/>
                          <w:marTop w:val="0"/>
                          <w:marBottom w:val="0"/>
                          <w:divBdr>
                            <w:top w:val="none" w:sz="0" w:space="0" w:color="auto"/>
                            <w:left w:val="none" w:sz="0" w:space="0" w:color="auto"/>
                            <w:bottom w:val="none" w:sz="0" w:space="0" w:color="auto"/>
                            <w:right w:val="none" w:sz="0" w:space="0" w:color="auto"/>
                          </w:divBdr>
                          <w:divsChild>
                            <w:div w:id="1832595804">
                              <w:marLeft w:val="0"/>
                              <w:marRight w:val="0"/>
                              <w:marTop w:val="0"/>
                              <w:marBottom w:val="0"/>
                              <w:divBdr>
                                <w:top w:val="none" w:sz="0" w:space="0" w:color="auto"/>
                                <w:left w:val="none" w:sz="0" w:space="0" w:color="auto"/>
                                <w:bottom w:val="none" w:sz="0" w:space="0" w:color="auto"/>
                                <w:right w:val="none" w:sz="0" w:space="0" w:color="auto"/>
                              </w:divBdr>
                              <w:divsChild>
                                <w:div w:id="1014770357">
                                  <w:marLeft w:val="0"/>
                                  <w:marRight w:val="0"/>
                                  <w:marTop w:val="0"/>
                                  <w:marBottom w:val="0"/>
                                  <w:divBdr>
                                    <w:top w:val="none" w:sz="0" w:space="0" w:color="auto"/>
                                    <w:left w:val="none" w:sz="0" w:space="0" w:color="auto"/>
                                    <w:bottom w:val="none" w:sz="0" w:space="0" w:color="auto"/>
                                    <w:right w:val="none" w:sz="0" w:space="0" w:color="auto"/>
                                  </w:divBdr>
                                  <w:divsChild>
                                    <w:div w:id="863902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15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21809">
          <w:marLeft w:val="0"/>
          <w:marRight w:val="0"/>
          <w:marTop w:val="0"/>
          <w:marBottom w:val="0"/>
          <w:divBdr>
            <w:top w:val="none" w:sz="0" w:space="0" w:color="auto"/>
            <w:left w:val="none" w:sz="0" w:space="0" w:color="auto"/>
            <w:bottom w:val="none" w:sz="0" w:space="0" w:color="auto"/>
            <w:right w:val="none" w:sz="0" w:space="0" w:color="auto"/>
          </w:divBdr>
          <w:divsChild>
            <w:div w:id="338890002">
              <w:marLeft w:val="0"/>
              <w:marRight w:val="0"/>
              <w:marTop w:val="0"/>
              <w:marBottom w:val="0"/>
              <w:divBdr>
                <w:top w:val="none" w:sz="0" w:space="0" w:color="auto"/>
                <w:left w:val="none" w:sz="0" w:space="0" w:color="auto"/>
                <w:bottom w:val="none" w:sz="0" w:space="0" w:color="auto"/>
                <w:right w:val="none" w:sz="0" w:space="0" w:color="auto"/>
              </w:divBdr>
              <w:divsChild>
                <w:div w:id="209191336">
                  <w:marLeft w:val="0"/>
                  <w:marRight w:val="0"/>
                  <w:marTop w:val="0"/>
                  <w:marBottom w:val="0"/>
                  <w:divBdr>
                    <w:top w:val="none" w:sz="0" w:space="0" w:color="auto"/>
                    <w:left w:val="none" w:sz="0" w:space="0" w:color="auto"/>
                    <w:bottom w:val="none" w:sz="0" w:space="0" w:color="auto"/>
                    <w:right w:val="none" w:sz="0" w:space="0" w:color="auto"/>
                  </w:divBdr>
                  <w:divsChild>
                    <w:div w:id="1362240204">
                      <w:marLeft w:val="0"/>
                      <w:marRight w:val="0"/>
                      <w:marTop w:val="0"/>
                      <w:marBottom w:val="0"/>
                      <w:divBdr>
                        <w:top w:val="none" w:sz="0" w:space="0" w:color="auto"/>
                        <w:left w:val="none" w:sz="0" w:space="0" w:color="auto"/>
                        <w:bottom w:val="none" w:sz="0" w:space="0" w:color="auto"/>
                        <w:right w:val="none" w:sz="0" w:space="0" w:color="auto"/>
                      </w:divBdr>
                      <w:divsChild>
                        <w:div w:id="520824306">
                          <w:marLeft w:val="0"/>
                          <w:marRight w:val="0"/>
                          <w:marTop w:val="0"/>
                          <w:marBottom w:val="0"/>
                          <w:divBdr>
                            <w:top w:val="none" w:sz="0" w:space="0" w:color="auto"/>
                            <w:left w:val="none" w:sz="0" w:space="0" w:color="auto"/>
                            <w:bottom w:val="none" w:sz="0" w:space="0" w:color="auto"/>
                            <w:right w:val="none" w:sz="0" w:space="0" w:color="auto"/>
                          </w:divBdr>
                          <w:divsChild>
                            <w:div w:id="1310406300">
                              <w:marLeft w:val="0"/>
                              <w:marRight w:val="0"/>
                              <w:marTop w:val="0"/>
                              <w:marBottom w:val="0"/>
                              <w:divBdr>
                                <w:top w:val="none" w:sz="0" w:space="0" w:color="auto"/>
                                <w:left w:val="none" w:sz="0" w:space="0" w:color="auto"/>
                                <w:bottom w:val="none" w:sz="0" w:space="0" w:color="auto"/>
                                <w:right w:val="none" w:sz="0" w:space="0" w:color="auto"/>
                              </w:divBdr>
                              <w:divsChild>
                                <w:div w:id="2102068056">
                                  <w:marLeft w:val="0"/>
                                  <w:marRight w:val="0"/>
                                  <w:marTop w:val="0"/>
                                  <w:marBottom w:val="0"/>
                                  <w:divBdr>
                                    <w:top w:val="none" w:sz="0" w:space="0" w:color="auto"/>
                                    <w:left w:val="none" w:sz="0" w:space="0" w:color="auto"/>
                                    <w:bottom w:val="none" w:sz="0" w:space="0" w:color="auto"/>
                                    <w:right w:val="none" w:sz="0" w:space="0" w:color="auto"/>
                                  </w:divBdr>
                                  <w:divsChild>
                                    <w:div w:id="139489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841097">
              <w:marLeft w:val="0"/>
              <w:marRight w:val="0"/>
              <w:marTop w:val="0"/>
              <w:marBottom w:val="0"/>
              <w:divBdr>
                <w:top w:val="none" w:sz="0" w:space="0" w:color="auto"/>
                <w:left w:val="none" w:sz="0" w:space="0" w:color="auto"/>
                <w:bottom w:val="none" w:sz="0" w:space="0" w:color="auto"/>
                <w:right w:val="none" w:sz="0" w:space="0" w:color="auto"/>
              </w:divBdr>
              <w:divsChild>
                <w:div w:id="1938169452">
                  <w:marLeft w:val="0"/>
                  <w:marRight w:val="0"/>
                  <w:marTop w:val="0"/>
                  <w:marBottom w:val="0"/>
                  <w:divBdr>
                    <w:top w:val="none" w:sz="0" w:space="0" w:color="auto"/>
                    <w:left w:val="none" w:sz="0" w:space="0" w:color="auto"/>
                    <w:bottom w:val="none" w:sz="0" w:space="0" w:color="auto"/>
                    <w:right w:val="none" w:sz="0" w:space="0" w:color="auto"/>
                  </w:divBdr>
                  <w:divsChild>
                    <w:div w:id="366490030">
                      <w:marLeft w:val="0"/>
                      <w:marRight w:val="0"/>
                      <w:marTop w:val="0"/>
                      <w:marBottom w:val="0"/>
                      <w:divBdr>
                        <w:top w:val="none" w:sz="0" w:space="0" w:color="auto"/>
                        <w:left w:val="none" w:sz="0" w:space="0" w:color="auto"/>
                        <w:bottom w:val="none" w:sz="0" w:space="0" w:color="auto"/>
                        <w:right w:val="none" w:sz="0" w:space="0" w:color="auto"/>
                      </w:divBdr>
                      <w:divsChild>
                        <w:div w:id="399598016">
                          <w:marLeft w:val="0"/>
                          <w:marRight w:val="0"/>
                          <w:marTop w:val="0"/>
                          <w:marBottom w:val="0"/>
                          <w:divBdr>
                            <w:top w:val="none" w:sz="0" w:space="0" w:color="auto"/>
                            <w:left w:val="none" w:sz="0" w:space="0" w:color="auto"/>
                            <w:bottom w:val="none" w:sz="0" w:space="0" w:color="auto"/>
                            <w:right w:val="none" w:sz="0" w:space="0" w:color="auto"/>
                          </w:divBdr>
                          <w:divsChild>
                            <w:div w:id="903881200">
                              <w:marLeft w:val="0"/>
                              <w:marRight w:val="0"/>
                              <w:marTop w:val="0"/>
                              <w:marBottom w:val="0"/>
                              <w:divBdr>
                                <w:top w:val="none" w:sz="0" w:space="0" w:color="auto"/>
                                <w:left w:val="none" w:sz="0" w:space="0" w:color="auto"/>
                                <w:bottom w:val="none" w:sz="0" w:space="0" w:color="auto"/>
                                <w:right w:val="none" w:sz="0" w:space="0" w:color="auto"/>
                              </w:divBdr>
                              <w:divsChild>
                                <w:div w:id="211624176">
                                  <w:marLeft w:val="0"/>
                                  <w:marRight w:val="0"/>
                                  <w:marTop w:val="0"/>
                                  <w:marBottom w:val="0"/>
                                  <w:divBdr>
                                    <w:top w:val="none" w:sz="0" w:space="0" w:color="auto"/>
                                    <w:left w:val="none" w:sz="0" w:space="0" w:color="auto"/>
                                    <w:bottom w:val="none" w:sz="0" w:space="0" w:color="auto"/>
                                    <w:right w:val="none" w:sz="0" w:space="0" w:color="auto"/>
                                  </w:divBdr>
                                  <w:divsChild>
                                    <w:div w:id="92735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81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256003">
              <w:marLeft w:val="0"/>
              <w:marRight w:val="0"/>
              <w:marTop w:val="0"/>
              <w:marBottom w:val="0"/>
              <w:divBdr>
                <w:top w:val="none" w:sz="0" w:space="0" w:color="auto"/>
                <w:left w:val="none" w:sz="0" w:space="0" w:color="auto"/>
                <w:bottom w:val="none" w:sz="0" w:space="0" w:color="auto"/>
                <w:right w:val="none" w:sz="0" w:space="0" w:color="auto"/>
              </w:divBdr>
              <w:divsChild>
                <w:div w:id="488406214">
                  <w:marLeft w:val="0"/>
                  <w:marRight w:val="0"/>
                  <w:marTop w:val="0"/>
                  <w:marBottom w:val="0"/>
                  <w:divBdr>
                    <w:top w:val="none" w:sz="0" w:space="0" w:color="auto"/>
                    <w:left w:val="none" w:sz="0" w:space="0" w:color="auto"/>
                    <w:bottom w:val="none" w:sz="0" w:space="0" w:color="auto"/>
                    <w:right w:val="none" w:sz="0" w:space="0" w:color="auto"/>
                  </w:divBdr>
                  <w:divsChild>
                    <w:div w:id="1443299579">
                      <w:marLeft w:val="0"/>
                      <w:marRight w:val="0"/>
                      <w:marTop w:val="0"/>
                      <w:marBottom w:val="0"/>
                      <w:divBdr>
                        <w:top w:val="none" w:sz="0" w:space="0" w:color="auto"/>
                        <w:left w:val="none" w:sz="0" w:space="0" w:color="auto"/>
                        <w:bottom w:val="none" w:sz="0" w:space="0" w:color="auto"/>
                        <w:right w:val="none" w:sz="0" w:space="0" w:color="auto"/>
                      </w:divBdr>
                      <w:divsChild>
                        <w:div w:id="70391227">
                          <w:marLeft w:val="0"/>
                          <w:marRight w:val="0"/>
                          <w:marTop w:val="0"/>
                          <w:marBottom w:val="0"/>
                          <w:divBdr>
                            <w:top w:val="none" w:sz="0" w:space="0" w:color="auto"/>
                            <w:left w:val="none" w:sz="0" w:space="0" w:color="auto"/>
                            <w:bottom w:val="none" w:sz="0" w:space="0" w:color="auto"/>
                            <w:right w:val="none" w:sz="0" w:space="0" w:color="auto"/>
                          </w:divBdr>
                        </w:div>
                        <w:div w:id="1994598895">
                          <w:marLeft w:val="0"/>
                          <w:marRight w:val="0"/>
                          <w:marTop w:val="0"/>
                          <w:marBottom w:val="0"/>
                          <w:divBdr>
                            <w:top w:val="none" w:sz="0" w:space="0" w:color="auto"/>
                            <w:left w:val="none" w:sz="0" w:space="0" w:color="auto"/>
                            <w:bottom w:val="none" w:sz="0" w:space="0" w:color="auto"/>
                            <w:right w:val="none" w:sz="0" w:space="0" w:color="auto"/>
                          </w:divBdr>
                          <w:divsChild>
                            <w:div w:id="1804614586">
                              <w:marLeft w:val="0"/>
                              <w:marRight w:val="0"/>
                              <w:marTop w:val="0"/>
                              <w:marBottom w:val="0"/>
                              <w:divBdr>
                                <w:top w:val="none" w:sz="0" w:space="0" w:color="auto"/>
                                <w:left w:val="none" w:sz="0" w:space="0" w:color="auto"/>
                                <w:bottom w:val="none" w:sz="0" w:space="0" w:color="auto"/>
                                <w:right w:val="none" w:sz="0" w:space="0" w:color="auto"/>
                              </w:divBdr>
                              <w:divsChild>
                                <w:div w:id="1194071124">
                                  <w:marLeft w:val="0"/>
                                  <w:marRight w:val="0"/>
                                  <w:marTop w:val="0"/>
                                  <w:marBottom w:val="0"/>
                                  <w:divBdr>
                                    <w:top w:val="none" w:sz="0" w:space="0" w:color="auto"/>
                                    <w:left w:val="none" w:sz="0" w:space="0" w:color="auto"/>
                                    <w:bottom w:val="none" w:sz="0" w:space="0" w:color="auto"/>
                                    <w:right w:val="none" w:sz="0" w:space="0" w:color="auto"/>
                                  </w:divBdr>
                                  <w:divsChild>
                                    <w:div w:id="67418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4.xml"/><Relationship Id="rId21" Type="http://schemas.openxmlformats.org/officeDocument/2006/relationships/image" Target="media/image5.png"/><Relationship Id="rId42" Type="http://schemas.openxmlformats.org/officeDocument/2006/relationships/hyperlink" Target="https://meetings.wcpfc.int/node/32186" TargetMode="External"/><Relationship Id="rId63" Type="http://schemas.openxmlformats.org/officeDocument/2006/relationships/image" Target="media/image23.png"/><Relationship Id="rId84" Type="http://schemas.openxmlformats.org/officeDocument/2006/relationships/hyperlink" Target="https://meetings.wcpfc.int/node/32479" TargetMode="External"/><Relationship Id="rId138" Type="http://schemas.openxmlformats.org/officeDocument/2006/relationships/hyperlink" Target="https://data.wcpfc.int/reference-list/port).%20The%20addition%20of%20new%20ports%20into%20this%20reference,%20can%20request" TargetMode="External"/><Relationship Id="rId159" Type="http://schemas.openxmlformats.org/officeDocument/2006/relationships/hyperlink" Target="https://meetings.wcpfc.int/node/32418" TargetMode="External"/><Relationship Id="rId170" Type="http://schemas.openxmlformats.org/officeDocument/2006/relationships/footer" Target="footer11.xml"/><Relationship Id="rId107" Type="http://schemas.openxmlformats.org/officeDocument/2006/relationships/hyperlink" Target="https://meetings.wcpfc.int/node/32264" TargetMode="External"/><Relationship Id="rId11" Type="http://schemas.openxmlformats.org/officeDocument/2006/relationships/image" Target="media/image1.png"/><Relationship Id="rId32" Type="http://schemas.openxmlformats.org/officeDocument/2006/relationships/hyperlink" Target="https://meetings.wcpfc.int/node/32425" TargetMode="External"/><Relationship Id="rId53" Type="http://schemas.openxmlformats.org/officeDocument/2006/relationships/image" Target="media/image14.png"/><Relationship Id="rId74" Type="http://schemas.openxmlformats.org/officeDocument/2006/relationships/hyperlink" Target="https://meetings.wcpfc.int/node/32260" TargetMode="External"/><Relationship Id="rId128" Type="http://schemas.openxmlformats.org/officeDocument/2006/relationships/hyperlink" Target="mailto:support@wcpfc.freshdesk.com" TargetMode="External"/><Relationship Id="rId149" Type="http://schemas.openxmlformats.org/officeDocument/2006/relationships/hyperlink" Target="https://meetings.wcpfc.int/node/32284" TargetMode="External"/><Relationship Id="rId5" Type="http://schemas.openxmlformats.org/officeDocument/2006/relationships/numbering" Target="numbering.xml"/><Relationship Id="rId95" Type="http://schemas.openxmlformats.org/officeDocument/2006/relationships/hyperlink" Target="https://meetings.wcpfc.int/node/32269" TargetMode="External"/><Relationship Id="rId160" Type="http://schemas.openxmlformats.org/officeDocument/2006/relationships/hyperlink" Target="https://meetings.wcpfc.int/node/32430" TargetMode="External"/><Relationship Id="rId22" Type="http://schemas.openxmlformats.org/officeDocument/2006/relationships/hyperlink" Target="https://meetings.wcpfc.int/node/32317" TargetMode="External"/><Relationship Id="rId43" Type="http://schemas.openxmlformats.org/officeDocument/2006/relationships/header" Target="header1.xml"/><Relationship Id="rId64" Type="http://schemas.openxmlformats.org/officeDocument/2006/relationships/hyperlink" Target="https://meetings.wcpfc.int/node/32358" TargetMode="External"/><Relationship Id="rId118" Type="http://schemas.openxmlformats.org/officeDocument/2006/relationships/footer" Target="footer4.xml"/><Relationship Id="rId139" Type="http://schemas.openxmlformats.org/officeDocument/2006/relationships/hyperlink" Target="mailto:support@wcpfc.freshdesk.com" TargetMode="External"/><Relationship Id="rId85" Type="http://schemas.openxmlformats.org/officeDocument/2006/relationships/hyperlink" Target="https://meetings.wcpfc.int/node/32432" TargetMode="External"/><Relationship Id="rId150" Type="http://schemas.openxmlformats.org/officeDocument/2006/relationships/hyperlink" Target="https://meetings.wcpfc.int/node/32678" TargetMode="External"/><Relationship Id="rId171" Type="http://schemas.openxmlformats.org/officeDocument/2006/relationships/fontTable" Target="fontTable.xml"/><Relationship Id="rId12" Type="http://schemas.openxmlformats.org/officeDocument/2006/relationships/footer" Target="footer1.xml"/><Relationship Id="rId33" Type="http://schemas.openxmlformats.org/officeDocument/2006/relationships/hyperlink" Target="https://meetings.wcpfc.int/node/32326" TargetMode="External"/><Relationship Id="rId108" Type="http://schemas.openxmlformats.org/officeDocument/2006/relationships/hyperlink" Target="https://meetings.wcpfc.int/node/32309" TargetMode="External"/><Relationship Id="rId129" Type="http://schemas.openxmlformats.org/officeDocument/2006/relationships/hyperlink" Target="https://unece.org/trade/cefact/unlocode-code-list-country-and-territory" TargetMode="External"/><Relationship Id="rId54" Type="http://schemas.openxmlformats.org/officeDocument/2006/relationships/image" Target="media/image15.png"/><Relationship Id="rId70" Type="http://schemas.openxmlformats.org/officeDocument/2006/relationships/hyperlink" Target="https://meetings.wcpfc.int/node/32527" TargetMode="External"/><Relationship Id="rId75" Type="http://schemas.openxmlformats.org/officeDocument/2006/relationships/hyperlink" Target="https://meetings.wcpfc.int/node/32410" TargetMode="External"/><Relationship Id="rId91" Type="http://schemas.openxmlformats.org/officeDocument/2006/relationships/hyperlink" Target="https://meetings.wcpfc.int/node/32244" TargetMode="External"/><Relationship Id="rId96" Type="http://schemas.openxmlformats.org/officeDocument/2006/relationships/hyperlink" Target="https://meetings.wcpfc.int/node/32285" TargetMode="External"/><Relationship Id="rId140" Type="http://schemas.openxmlformats.org/officeDocument/2006/relationships/hyperlink" Target="https://unece.org/trade/cefact/unlocode-code-list-country-and-territory" TargetMode="External"/><Relationship Id="rId145" Type="http://schemas.openxmlformats.org/officeDocument/2006/relationships/hyperlink" Target="https://meetings.wcpfc.int/node/32285" TargetMode="External"/><Relationship Id="rId161" Type="http://schemas.openxmlformats.org/officeDocument/2006/relationships/hyperlink" Target="https://meetings.wcpfc.int/node/32435" TargetMode="External"/><Relationship Id="rId166" Type="http://schemas.openxmlformats.org/officeDocument/2006/relationships/hyperlink" Target="http://www.climate.gov/climatedashboard"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meetings.wcpfc.int/node/32488" TargetMode="External"/><Relationship Id="rId28" Type="http://schemas.openxmlformats.org/officeDocument/2006/relationships/hyperlink" Target="https://meetings.wcpfc.int/node/32330" TargetMode="External"/><Relationship Id="rId49" Type="http://schemas.openxmlformats.org/officeDocument/2006/relationships/image" Target="media/image10.png"/><Relationship Id="rId114" Type="http://schemas.openxmlformats.org/officeDocument/2006/relationships/image" Target="media/image24.emf"/><Relationship Id="rId119" Type="http://schemas.openxmlformats.org/officeDocument/2006/relationships/footer" Target="footer5.xml"/><Relationship Id="rId44" Type="http://schemas.openxmlformats.org/officeDocument/2006/relationships/header" Target="header2.xml"/><Relationship Id="rId60" Type="http://schemas.openxmlformats.org/officeDocument/2006/relationships/image" Target="media/image20.jpg"/><Relationship Id="rId65" Type="http://schemas.openxmlformats.org/officeDocument/2006/relationships/hyperlink" Target="https://meetings.wcpfc.int/node/32436" TargetMode="External"/><Relationship Id="rId81" Type="http://schemas.openxmlformats.org/officeDocument/2006/relationships/hyperlink" Target="https://meetings.wcpfc.int/node/32537" TargetMode="External"/><Relationship Id="rId86" Type="http://schemas.openxmlformats.org/officeDocument/2006/relationships/hyperlink" Target="https://meetings.wcpfc.int/node/32271" TargetMode="External"/><Relationship Id="rId130" Type="http://schemas.openxmlformats.org/officeDocument/2006/relationships/hyperlink" Target="https://data.wcpfc.int/reference-list/port).%20The%20addition%20of%20new%20ports%20into%20this%20reference,%20can%20request" TargetMode="External"/><Relationship Id="rId135" Type="http://schemas.openxmlformats.org/officeDocument/2006/relationships/footer" Target="footer8.xml"/><Relationship Id="rId151" Type="http://schemas.openxmlformats.org/officeDocument/2006/relationships/hyperlink" Target="https://meetings.wcpfc.int/node/32657" TargetMode="External"/><Relationship Id="rId156" Type="http://schemas.openxmlformats.org/officeDocument/2006/relationships/image" Target="media/image25.gif"/><Relationship Id="rId172" Type="http://schemas.openxmlformats.org/officeDocument/2006/relationships/theme" Target="theme/theme1.xml"/><Relationship Id="rId13" Type="http://schemas.openxmlformats.org/officeDocument/2006/relationships/footer" Target="footer2.xml"/><Relationship Id="rId18" Type="http://schemas.openxmlformats.org/officeDocument/2006/relationships/image" Target="media/image2.png"/><Relationship Id="rId39" Type="http://schemas.openxmlformats.org/officeDocument/2006/relationships/hyperlink" Target="https://meetings.wcpfc.int/node/32444" TargetMode="External"/><Relationship Id="rId109" Type="http://schemas.openxmlformats.org/officeDocument/2006/relationships/hyperlink" Target="https://meetings.wcpfc.int/node/32851" TargetMode="External"/><Relationship Id="rId34" Type="http://schemas.openxmlformats.org/officeDocument/2006/relationships/hyperlink" Target="https://meetings.wcpfc.int/node/32284" TargetMode="External"/><Relationship Id="rId50" Type="http://schemas.openxmlformats.org/officeDocument/2006/relationships/image" Target="media/image11.png"/><Relationship Id="rId55" Type="http://schemas.openxmlformats.org/officeDocument/2006/relationships/image" Target="media/image16.png"/><Relationship Id="rId76" Type="http://schemas.openxmlformats.org/officeDocument/2006/relationships/hyperlink" Target="https://meetings.wcpfc.int/node/32483" TargetMode="External"/><Relationship Id="rId97" Type="http://schemas.openxmlformats.org/officeDocument/2006/relationships/hyperlink" Target="https://meetings.wcpfc.int/node/32270" TargetMode="External"/><Relationship Id="rId104" Type="http://schemas.openxmlformats.org/officeDocument/2006/relationships/hyperlink" Target="https://meetings.wcpfc.int/node/32262" TargetMode="External"/><Relationship Id="rId120" Type="http://schemas.openxmlformats.org/officeDocument/2006/relationships/header" Target="header5.xml"/><Relationship Id="rId125" Type="http://schemas.openxmlformats.org/officeDocument/2006/relationships/hyperlink" Target="mailto:support@wcpfc.freshdesk.com" TargetMode="External"/><Relationship Id="rId141" Type="http://schemas.openxmlformats.org/officeDocument/2006/relationships/hyperlink" Target="https://data.wcpfc.int/reference-list/port).%20The%20addition%20of%20new%20ports%20into%20this%20reference,%20can%20request" TargetMode="External"/><Relationship Id="rId146" Type="http://schemas.openxmlformats.org/officeDocument/2006/relationships/hyperlink" Target="https://meetings.wcpfc.int/node/32279" TargetMode="External"/><Relationship Id="rId167" Type="http://schemas.openxmlformats.org/officeDocument/2006/relationships/hyperlink" Target="https://meetings.wcpfc.int/node/32354" TargetMode="External"/><Relationship Id="rId7" Type="http://schemas.openxmlformats.org/officeDocument/2006/relationships/settings" Target="settings.xml"/><Relationship Id="rId71" Type="http://schemas.openxmlformats.org/officeDocument/2006/relationships/hyperlink" Target="https://meetings.wcpfc.int/node/32496" TargetMode="External"/><Relationship Id="rId92" Type="http://schemas.openxmlformats.org/officeDocument/2006/relationships/hyperlink" Target="https://meetings.wcpfc.int/node/32354" TargetMode="External"/><Relationship Id="rId162" Type="http://schemas.openxmlformats.org/officeDocument/2006/relationships/hyperlink" Target="https://meetings.wcpfc.int/node/32435" TargetMode="External"/><Relationship Id="rId2" Type="http://schemas.openxmlformats.org/officeDocument/2006/relationships/customXml" Target="../customXml/item2.xml"/><Relationship Id="rId29" Type="http://schemas.openxmlformats.org/officeDocument/2006/relationships/hyperlink" Target="https://meetings.wcpfc.int/node/32424" TargetMode="External"/><Relationship Id="rId24" Type="http://schemas.openxmlformats.org/officeDocument/2006/relationships/hyperlink" Target="https://meetings.wcpfc.int/node/32329" TargetMode="External"/><Relationship Id="rId40" Type="http://schemas.openxmlformats.org/officeDocument/2006/relationships/hyperlink" Target="https://meetings.wcpfc.int/node/32678" TargetMode="External"/><Relationship Id="rId45" Type="http://schemas.openxmlformats.org/officeDocument/2006/relationships/image" Target="media/image6.png"/><Relationship Id="rId66" Type="http://schemas.openxmlformats.org/officeDocument/2006/relationships/hyperlink" Target="https://meetings.wcpfc.int/node/32609" TargetMode="External"/><Relationship Id="rId87" Type="http://schemas.openxmlformats.org/officeDocument/2006/relationships/hyperlink" Target="https://meetings.wcpfc.int/node/32434" TargetMode="External"/><Relationship Id="rId110" Type="http://schemas.openxmlformats.org/officeDocument/2006/relationships/hyperlink" Target="https://meetings.wcpfc.int/node/32505" TargetMode="External"/><Relationship Id="rId115" Type="http://schemas.openxmlformats.org/officeDocument/2006/relationships/hyperlink" Target="https://pacificcommunity.github.io/scidata-standard/" TargetMode="External"/><Relationship Id="rId131" Type="http://schemas.openxmlformats.org/officeDocument/2006/relationships/hyperlink" Target="mailto:support@wcpfc.freshdesk.com" TargetMode="External"/><Relationship Id="rId136" Type="http://schemas.openxmlformats.org/officeDocument/2006/relationships/header" Target="header8.xml"/><Relationship Id="rId157" Type="http://schemas.openxmlformats.org/officeDocument/2006/relationships/hyperlink" Target="https://forum.wcpfc.int/uploads/default/original/1X/4436bc6021e9cabfe0525adce31a8157c52d99a6.gif" TargetMode="External"/><Relationship Id="rId61" Type="http://schemas.openxmlformats.org/officeDocument/2006/relationships/image" Target="media/image21.png"/><Relationship Id="rId82" Type="http://schemas.openxmlformats.org/officeDocument/2006/relationships/hyperlink" Target="https://meetings.wcpfc.int/node/32294" TargetMode="External"/><Relationship Id="rId152" Type="http://schemas.openxmlformats.org/officeDocument/2006/relationships/hyperlink" Target="https://meetings.wcpfc.int/node/31622" TargetMode="External"/><Relationship Id="rId19" Type="http://schemas.openxmlformats.org/officeDocument/2006/relationships/image" Target="media/image3.png"/><Relationship Id="rId14" Type="http://schemas.openxmlformats.org/officeDocument/2006/relationships/hyperlink" Target="https://meetings.wcpfc.int/node/32553" TargetMode="External"/><Relationship Id="rId30" Type="http://schemas.openxmlformats.org/officeDocument/2006/relationships/hyperlink" Target="https://meetings.wcpfc.int/node/32572" TargetMode="External"/><Relationship Id="rId35" Type="http://schemas.openxmlformats.org/officeDocument/2006/relationships/hyperlink" Target="https://meetings.wcpfc.int/node/32267" TargetMode="External"/><Relationship Id="rId56" Type="http://schemas.openxmlformats.org/officeDocument/2006/relationships/hyperlink" Target="https://meetings.wcpfc.int/node/32478" TargetMode="External"/><Relationship Id="rId77" Type="http://schemas.openxmlformats.org/officeDocument/2006/relationships/hyperlink" Target="https://meetings.wcpfc.int/node/32261" TargetMode="External"/><Relationship Id="rId100" Type="http://schemas.openxmlformats.org/officeDocument/2006/relationships/hyperlink" Target="https://meetings.wcpfc.int/node/32285" TargetMode="External"/><Relationship Id="rId105" Type="http://schemas.openxmlformats.org/officeDocument/2006/relationships/hyperlink" Target="https://meetings.wcpfc.int/node/32595" TargetMode="External"/><Relationship Id="rId126" Type="http://schemas.openxmlformats.org/officeDocument/2006/relationships/hyperlink" Target="https://unece.org/trade/cefact/unlocode-code-list-country-and-territory" TargetMode="External"/><Relationship Id="rId147" Type="http://schemas.openxmlformats.org/officeDocument/2006/relationships/hyperlink" Target="https://meetings.wcpfc.int/node/32270" TargetMode="External"/><Relationship Id="rId168" Type="http://schemas.openxmlformats.org/officeDocument/2006/relationships/hyperlink" Target="https://meetings.wcpfc.int/node/32297" TargetMode="External"/><Relationship Id="rId8" Type="http://schemas.openxmlformats.org/officeDocument/2006/relationships/webSettings" Target="webSettings.xml"/><Relationship Id="rId51" Type="http://schemas.openxmlformats.org/officeDocument/2006/relationships/image" Target="media/image12.png"/><Relationship Id="rId72" Type="http://schemas.openxmlformats.org/officeDocument/2006/relationships/hyperlink" Target="https://meetings.wcpfc.int/node/32599" TargetMode="External"/><Relationship Id="rId93" Type="http://schemas.openxmlformats.org/officeDocument/2006/relationships/hyperlink" Target="https://meetings.wcpfc.int/node/32280" TargetMode="External"/><Relationship Id="rId98" Type="http://schemas.openxmlformats.org/officeDocument/2006/relationships/hyperlink" Target="https://meetings.wcpfc.int/node/32281" TargetMode="External"/><Relationship Id="rId121" Type="http://schemas.openxmlformats.org/officeDocument/2006/relationships/footer" Target="footer6.xml"/><Relationship Id="rId142" Type="http://schemas.openxmlformats.org/officeDocument/2006/relationships/hyperlink" Target="mailto:support@wcpfc.freshdesk.com" TargetMode="External"/><Relationship Id="rId163" Type="http://schemas.openxmlformats.org/officeDocument/2006/relationships/hyperlink" Target="https://meetings.wcpfc.int/node/32296" TargetMode="External"/><Relationship Id="rId3" Type="http://schemas.openxmlformats.org/officeDocument/2006/relationships/customXml" Target="../customXml/item3.xml"/><Relationship Id="rId25" Type="http://schemas.openxmlformats.org/officeDocument/2006/relationships/hyperlink" Target="https://meetings.wcpfc.int/node/32282" TargetMode="External"/><Relationship Id="rId46" Type="http://schemas.openxmlformats.org/officeDocument/2006/relationships/image" Target="media/image7.png"/><Relationship Id="rId67" Type="http://schemas.openxmlformats.org/officeDocument/2006/relationships/hyperlink" Target="https://meetings.wcpfc.int/node/32524" TargetMode="External"/><Relationship Id="rId116" Type="http://schemas.openxmlformats.org/officeDocument/2006/relationships/header" Target="header3.xml"/><Relationship Id="rId137" Type="http://schemas.openxmlformats.org/officeDocument/2006/relationships/footer" Target="footer9.xml"/><Relationship Id="rId158" Type="http://schemas.openxmlformats.org/officeDocument/2006/relationships/image" Target="media/image26.gif"/><Relationship Id="rId20" Type="http://schemas.openxmlformats.org/officeDocument/2006/relationships/image" Target="media/image4.png"/><Relationship Id="rId41" Type="http://schemas.openxmlformats.org/officeDocument/2006/relationships/hyperlink" Target="https://meetings.wcpfc.int/node/32657" TargetMode="External"/><Relationship Id="rId62" Type="http://schemas.openxmlformats.org/officeDocument/2006/relationships/image" Target="media/image22.png"/><Relationship Id="rId83" Type="http://schemas.openxmlformats.org/officeDocument/2006/relationships/hyperlink" Target="https://meetings.wcpfc.int/node/32316" TargetMode="External"/><Relationship Id="rId88" Type="http://schemas.openxmlformats.org/officeDocument/2006/relationships/hyperlink" Target="https://meetings.wcpfc.int/node/32430" TargetMode="External"/><Relationship Id="rId111" Type="http://schemas.openxmlformats.org/officeDocument/2006/relationships/footer" Target="footer3.xml"/><Relationship Id="rId132" Type="http://schemas.openxmlformats.org/officeDocument/2006/relationships/header" Target="header6.xml"/><Relationship Id="rId153" Type="http://schemas.openxmlformats.org/officeDocument/2006/relationships/hyperlink" Target="https://meetings.wcpfc.int/node/32452" TargetMode="External"/><Relationship Id="rId15" Type="http://schemas.openxmlformats.org/officeDocument/2006/relationships/hyperlink" Target="https://meetings.wcpfc.int/node/32575" TargetMode="External"/><Relationship Id="rId36" Type="http://schemas.openxmlformats.org/officeDocument/2006/relationships/hyperlink" Target="https://meetings.wcpfc.int/node/32552" TargetMode="External"/><Relationship Id="rId57" Type="http://schemas.openxmlformats.org/officeDocument/2006/relationships/image" Target="media/image17.png"/><Relationship Id="rId106" Type="http://schemas.openxmlformats.org/officeDocument/2006/relationships/hyperlink" Target="https://meetings.wcpfc.int/node/32264" TargetMode="External"/><Relationship Id="rId127" Type="http://schemas.openxmlformats.org/officeDocument/2006/relationships/hyperlink" Target="https://data.wcpfc.int/reference-list/port).%20The%20addition%20of%20new%20ports%20into%20this%20reference,%20can%20request" TargetMode="External"/><Relationship Id="rId10" Type="http://schemas.openxmlformats.org/officeDocument/2006/relationships/endnotes" Target="endnotes.xml"/><Relationship Id="rId31" Type="http://schemas.openxmlformats.org/officeDocument/2006/relationships/hyperlink" Target="mailto:discards@wcpfc.int" TargetMode="External"/><Relationship Id="rId52" Type="http://schemas.openxmlformats.org/officeDocument/2006/relationships/image" Target="media/image13.png"/><Relationship Id="rId73" Type="http://schemas.openxmlformats.org/officeDocument/2006/relationships/hyperlink" Target="https://meetings.wcpfc.int/node/32598" TargetMode="External"/><Relationship Id="rId78" Type="http://schemas.openxmlformats.org/officeDocument/2006/relationships/hyperlink" Target="https://meetings.wcpfc.int/node/32489" TargetMode="External"/><Relationship Id="rId94" Type="http://schemas.openxmlformats.org/officeDocument/2006/relationships/hyperlink" Target="https://meetings.wcpfc.int/node/32281" TargetMode="External"/><Relationship Id="rId99" Type="http://schemas.openxmlformats.org/officeDocument/2006/relationships/hyperlink" Target="https://meetings.wcpfc.int/node/32280" TargetMode="External"/><Relationship Id="rId101" Type="http://schemas.openxmlformats.org/officeDocument/2006/relationships/hyperlink" Target="https://meetings.wcpfc.int/node/32269" TargetMode="External"/><Relationship Id="rId122" Type="http://schemas.openxmlformats.org/officeDocument/2006/relationships/hyperlink" Target="https://data.wcpfc.int/reference-list/port).%20The%20addition%20of%20new%20ports%20into%20this%20reference,%20can%20request" TargetMode="External"/><Relationship Id="rId143" Type="http://schemas.openxmlformats.org/officeDocument/2006/relationships/hyperlink" Target="https://unece.org/trade/cefact/unlocode-code-list-country-and-territory" TargetMode="External"/><Relationship Id="rId148" Type="http://schemas.openxmlformats.org/officeDocument/2006/relationships/hyperlink" Target="https://meetings.wcpfc.int/node/32255" TargetMode="External"/><Relationship Id="rId164" Type="http://schemas.openxmlformats.org/officeDocument/2006/relationships/hyperlink" Target="https://meetings.wcpfc.int/node/32432" TargetMode="External"/><Relationship Id="rId169" Type="http://schemas.openxmlformats.org/officeDocument/2006/relationships/header" Target="header9.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meetings.wcpfc.int/node/32255" TargetMode="External"/><Relationship Id="rId47" Type="http://schemas.openxmlformats.org/officeDocument/2006/relationships/image" Target="media/image8.png"/><Relationship Id="rId68" Type="http://schemas.openxmlformats.org/officeDocument/2006/relationships/hyperlink" Target="https://meetings.wcpfc.int/node/32525" TargetMode="External"/><Relationship Id="rId89" Type="http://schemas.openxmlformats.org/officeDocument/2006/relationships/hyperlink" Target="https://meetings.wcpfc.int/node/32287" TargetMode="External"/><Relationship Id="rId112" Type="http://schemas.openxmlformats.org/officeDocument/2006/relationships/hyperlink" Target="https://meetings.wcpfc.int/node/32713" TargetMode="External"/><Relationship Id="rId133" Type="http://schemas.openxmlformats.org/officeDocument/2006/relationships/header" Target="header7.xml"/><Relationship Id="rId154" Type="http://schemas.openxmlformats.org/officeDocument/2006/relationships/hyperlink" Target="https://meetings.wcpfc.int/node/32243" TargetMode="External"/><Relationship Id="rId16" Type="http://schemas.openxmlformats.org/officeDocument/2006/relationships/hyperlink" Target="https://meetings.wcpfc.int/node/32587" TargetMode="External"/><Relationship Id="rId37" Type="http://schemas.openxmlformats.org/officeDocument/2006/relationships/hyperlink" Target="https://meetings.wcpfc.int/node/32247" TargetMode="External"/><Relationship Id="rId58" Type="http://schemas.openxmlformats.org/officeDocument/2006/relationships/image" Target="media/image18.png"/><Relationship Id="rId79" Type="http://schemas.openxmlformats.org/officeDocument/2006/relationships/hyperlink" Target="https://meetings.wcpfc.int/node/32261" TargetMode="External"/><Relationship Id="rId102" Type="http://schemas.openxmlformats.org/officeDocument/2006/relationships/hyperlink" Target="https://meetings.wcpfc.int/node/32542" TargetMode="External"/><Relationship Id="rId123" Type="http://schemas.openxmlformats.org/officeDocument/2006/relationships/hyperlink" Target="mailto:support@wcpfc.freshdesk.com" TargetMode="External"/><Relationship Id="rId144" Type="http://schemas.openxmlformats.org/officeDocument/2006/relationships/footer" Target="footer10.xml"/><Relationship Id="rId90" Type="http://schemas.openxmlformats.org/officeDocument/2006/relationships/hyperlink" Target="https://meetings.wcpfc.int/node/32424" TargetMode="External"/><Relationship Id="rId165" Type="http://schemas.openxmlformats.org/officeDocument/2006/relationships/hyperlink" Target="https://www.cpc.ncep.noaa.gov/products/analysis_monitoring/enso/roni/" TargetMode="External"/><Relationship Id="rId27" Type="http://schemas.openxmlformats.org/officeDocument/2006/relationships/hyperlink" Target="https://meetings.wcpfc.int/node/32474" TargetMode="External"/><Relationship Id="rId48" Type="http://schemas.openxmlformats.org/officeDocument/2006/relationships/image" Target="media/image9.png"/><Relationship Id="rId69" Type="http://schemas.openxmlformats.org/officeDocument/2006/relationships/hyperlink" Target="https://meetings.wcpfc.int/node/32526" TargetMode="External"/><Relationship Id="rId113" Type="http://schemas.openxmlformats.org/officeDocument/2006/relationships/hyperlink" Target="https://meetings.wcpfc.int/node/32295" TargetMode="External"/><Relationship Id="rId134" Type="http://schemas.openxmlformats.org/officeDocument/2006/relationships/footer" Target="footer7.xml"/><Relationship Id="rId80" Type="http://schemas.openxmlformats.org/officeDocument/2006/relationships/hyperlink" Target="https://meetings.wcpfc.int/node/32517" TargetMode="External"/><Relationship Id="rId155" Type="http://schemas.openxmlformats.org/officeDocument/2006/relationships/hyperlink" Target="https://forum.wcpfc.int/uploads/default/original/1X/00319f6b779f8ece879f6e66b0fc6ba0d26633ed.gif" TargetMode="External"/><Relationship Id="rId17" Type="http://schemas.openxmlformats.org/officeDocument/2006/relationships/hyperlink" Target="https://meetings.wcpfc.int/node/32567" TargetMode="External"/><Relationship Id="rId38" Type="http://schemas.openxmlformats.org/officeDocument/2006/relationships/hyperlink" Target="https://meetings.wcpfc.int/node/32357" TargetMode="External"/><Relationship Id="rId59" Type="http://schemas.openxmlformats.org/officeDocument/2006/relationships/image" Target="media/image19.png"/><Relationship Id="rId103" Type="http://schemas.openxmlformats.org/officeDocument/2006/relationships/hyperlink" Target="https://meetings.wcpfc.int/node/32254" TargetMode="External"/><Relationship Id="rId124" Type="http://schemas.openxmlformats.org/officeDocument/2006/relationships/hyperlink" Target="https://data.wcpfc.int/reference-list/port).%20The%20addition%20of%20new%20ports%20into%20this%20reference,%20can%20reques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fao.org/fishery/en/collection/asfis/en" TargetMode="External"/><Relationship Id="rId2" Type="http://schemas.openxmlformats.org/officeDocument/2006/relationships/hyperlink" Target="https://www.fao.org/fishery/en/collection/asfis/en" TargetMode="External"/><Relationship Id="rId1" Type="http://schemas.openxmlformats.org/officeDocument/2006/relationships/hyperlink" Target="https://www.fao.org/fishery/en/collection/asfis/en" TargetMode="External"/><Relationship Id="rId4" Type="http://schemas.openxmlformats.org/officeDocument/2006/relationships/hyperlink" Target="https://www.fao.org/fishery/en/collection/asfi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24DE81D111658488AAECEC1B495C82B" ma:contentTypeVersion="19" ma:contentTypeDescription="Create a new document." ma:contentTypeScope="" ma:versionID="52ade7f677fbde7830c427899f802a3b">
  <xsd:schema xmlns:xsd="http://www.w3.org/2001/XMLSchema" xmlns:xs="http://www.w3.org/2001/XMLSchema" xmlns:p="http://schemas.microsoft.com/office/2006/metadata/properties" xmlns:ns2="471cab51-7815-4e53-a229-948c3b049990" xmlns:ns3="570ae887-fd3b-4e8d-b799-c165d7d2a484" targetNamespace="http://schemas.microsoft.com/office/2006/metadata/properties" ma:root="true" ma:fieldsID="33447a6e0e7c4515af0c5e7f4ca92dc6" ns2:_="" ns3:_="">
    <xsd:import namespace="471cab51-7815-4e53-a229-948c3b049990"/>
    <xsd:import namespace="570ae887-fd3b-4e8d-b799-c165d7d2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Notes" minOccurs="0"/>
                <xsd:element ref="ns2:lcf76f155ced4ddcb4097134ff3c332f" minOccurs="0"/>
                <xsd:element ref="ns3:TaxCatchAll" minOccurs="0"/>
                <xsd:element ref="ns2:DocumentType" minOccurs="0"/>
                <xsd:element ref="ns2:Posted_x003f_" minOccurs="0"/>
                <xsd:element ref="ns2:DocumentTypes" minOccurs="0"/>
                <xsd:element ref="ns2:Owner_x002f_Responsible" minOccurs="0"/>
                <xsd:element ref="ns2:Status" minOccurs="0"/>
                <xsd:element ref="ns2:Revision" minOccurs="0"/>
                <xsd:element ref="ns2:Submittedby" minOccurs="0"/>
                <xsd:element ref="ns2:Secu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1cab51-7815-4e53-a229-948c3b049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Notes" ma:index="15" nillable="true" ma:displayName="Notes" ma:format="Dropdown" ma:internalName="Notes">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3206a9-ba80-4caf-8b0d-9c8108546b7c" ma:termSetId="09814cd3-568e-fe90-9814-8d621ff8fb84" ma:anchorId="fba54fb3-c3e1-fe81-a776-ca4b69148c4d" ma:open="true" ma:isKeyword="false">
      <xsd:complexType>
        <xsd:sequence>
          <xsd:element ref="pc:Terms" minOccurs="0" maxOccurs="1"/>
        </xsd:sequence>
      </xsd:complexType>
    </xsd:element>
    <xsd:element name="DocumentType" ma:index="19" nillable="true" ma:displayName="Document Number" ma:description="meeting-year-document number&#10;note that some IWGs and SB meetings begin with &quot;WCPFC&quot;" ma:format="Dropdown" ma:internalName="DocumentType">
      <xsd:simpleType>
        <xsd:restriction base="dms:Text">
          <xsd:maxLength value="255"/>
        </xsd:restriction>
      </xsd:simpleType>
    </xsd:element>
    <xsd:element name="Posted_x003f_" ma:index="20" nillable="true" ma:displayName="Agenda Item" ma:decimals="2" ma:description="agenda item" ma:format="Dropdown" ma:internalName="Posted_x003f_" ma:percentage="FALSE">
      <xsd:simpleType>
        <xsd:restriction base="dms:Number"/>
      </xsd:simpleType>
    </xsd:element>
    <xsd:element name="DocumentTypes" ma:index="21" nillable="true" ma:displayName="Document Type" ma:description="working paper, info paper, delegation paper, presentation" ma:format="Dropdown" ma:internalName="DocumentTypes">
      <xsd:simpleType>
        <xsd:restriction base="dms:Choice">
          <xsd:enumeration value="Working Paper"/>
          <xsd:enumeration value="Information Paper"/>
          <xsd:enumeration value="Presentation"/>
          <xsd:enumeration value="Delegation Paper"/>
          <xsd:enumeration value="Circular"/>
          <xsd:enumeration value="Announcement"/>
          <xsd:enumeration value="DRAFTS"/>
          <xsd:enumeration value="Sec DRAFT"/>
          <xsd:enumeration value="CCM Statement/Intervention"/>
          <xsd:enumeration value="Observer Paper"/>
          <xsd:enumeration value="Template"/>
        </xsd:restriction>
      </xsd:simpleType>
    </xsd:element>
    <xsd:element name="Owner_x002f_Responsible" ma:index="22" nillable="true" ma:displayName="Owner/Responsible" ma:description="lead author" ma:format="Dropdown" ma:list="UserInfo" ma:SharePointGroup="0" ma:internalName="Owner_x002f_Responsibl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3" nillable="true" ma:displayName="Status" ma:description="received, in review, approved, uploaded, superseded" ma:format="Dropdown" ma:internalName="Status">
      <xsd:simpleType>
        <xsd:restriction base="dms:Choice">
          <xsd:enumeration value="Received"/>
          <xsd:enumeration value="In Review"/>
          <xsd:enumeration value="Approved"/>
          <xsd:enumeration value="Posted"/>
          <xsd:enumeration value="Superseded"/>
          <xsd:enumeration value="N/A"/>
        </xsd:restriction>
      </xsd:simpleType>
    </xsd:element>
    <xsd:element name="Revision" ma:index="24" nillable="true" ma:displayName="Revision" ma:description="original, Rev01, Rev02, etc" ma:format="Dropdown" ma:internalName="Revision">
      <xsd:simpleType>
        <xsd:restriction base="dms:Choice">
          <xsd:enumeration value="Original"/>
          <xsd:enumeration value="Rev01"/>
          <xsd:enumeration value="Rev02"/>
          <xsd:enumeration value="Rev03"/>
          <xsd:enumeration value="Rev04"/>
          <xsd:enumeration value="Rev05"/>
          <xsd:enumeration value="Rev06"/>
          <xsd:enumeration value=" Rev07"/>
          <xsd:enumeration value="Rev08"/>
          <xsd:enumeration value="Rev09"/>
          <xsd:enumeration value="Rev10"/>
        </xsd:restriction>
      </xsd:simpleType>
    </xsd:element>
    <xsd:element name="Submittedby" ma:index="25" nillable="true" ma:displayName="Submitted by" ma:description="enter sender, i.e. CCM, Secretariat, Observer" ma:format="Dropdown" ma:internalName="Submittedby">
      <xsd:complexType>
        <xsd:complexContent>
          <xsd:extension base="dms:MultiChoice">
            <xsd:sequence>
              <xsd:element name="Value" maxOccurs="unbounded" minOccurs="0" nillable="true">
                <xsd:simpleType>
                  <xsd:restriction base="dms:Choice">
                    <xsd:enumeration value="Secretariat"/>
                    <xsd:enumeration value="SPC"/>
                    <xsd:enumeration value="CCM"/>
                    <xsd:enumeration value="Observer"/>
                    <xsd:enumeration value="Chair"/>
                  </xsd:restriction>
                </xsd:simpleType>
              </xsd:element>
            </xsd:sequence>
          </xsd:extension>
        </xsd:complexContent>
      </xsd:complexType>
    </xsd:element>
    <xsd:element name="Security" ma:index="26" nillable="true" ma:displayName="Security" ma:description="Level 00 - everyone/public&#10;Level 01 - Registered Meeting Participants&#10;Level 02 - Non-Public Domain, CCMs" ma:format="Dropdown" ma:internalName="Security">
      <xsd:simpleType>
        <xsd:restriction base="dms:Choice">
          <xsd:enumeration value="Level 00"/>
          <xsd:enumeration value="Level 01"/>
          <xsd:enumeration value="Level 02"/>
        </xsd:restriction>
      </xsd:simpleType>
    </xsd:element>
  </xsd:schema>
  <xsd:schema xmlns:xsd="http://www.w3.org/2001/XMLSchema" xmlns:xs="http://www.w3.org/2001/XMLSchema" xmlns:dms="http://schemas.microsoft.com/office/2006/documentManagement/types" xmlns:pc="http://schemas.microsoft.com/office/infopath/2007/PartnerControls" targetNamespace="570ae887-fd3b-4e8d-b799-c165d7d2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2ddd8246-194d-4d82-ba58-d76b517e76df}" ma:internalName="TaxCatchAll" ma:showField="CatchAllData" ma:web="570ae887-fd3b-4e8d-b799-c165d7d2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Notes xmlns="471cab51-7815-4e53-a229-948c3b049990" xsi:nil="true"/>
    <TaxCatchAll xmlns="570ae887-fd3b-4e8d-b799-c165d7d2a484" xsi:nil="true"/>
    <Posted_x003f_ xmlns="471cab51-7815-4e53-a229-948c3b049990" xsi:nil="true"/>
    <Submittedby xmlns="471cab51-7815-4e53-a229-948c3b049990" xsi:nil="true"/>
    <DocumentTypes xmlns="471cab51-7815-4e53-a229-948c3b049990" xsi:nil="true"/>
    <lcf76f155ced4ddcb4097134ff3c332f xmlns="471cab51-7815-4e53-a229-948c3b049990">
      <Terms xmlns="http://schemas.microsoft.com/office/infopath/2007/PartnerControls"/>
    </lcf76f155ced4ddcb4097134ff3c332f>
    <DocumentType xmlns="471cab51-7815-4e53-a229-948c3b049990" xsi:nil="true"/>
    <Revision xmlns="471cab51-7815-4e53-a229-948c3b049990" xsi:nil="true"/>
    <Owner_x002f_Responsible xmlns="471cab51-7815-4e53-a229-948c3b049990">
      <UserInfo>
        <DisplayName/>
        <AccountId xsi:nil="true"/>
        <AccountType/>
      </UserInfo>
    </Owner_x002f_Responsible>
    <Security xmlns="471cab51-7815-4e53-a229-948c3b049990" xsi:nil="true"/>
    <Status xmlns="471cab51-7815-4e53-a229-948c3b049990" xsi:nil="true"/>
  </documentManagement>
</p:properties>
</file>

<file path=customXml/itemProps1.xml><?xml version="1.0" encoding="utf-8"?>
<ds:datastoreItem xmlns:ds="http://schemas.openxmlformats.org/officeDocument/2006/customXml" ds:itemID="{0B3E014F-033D-4CAC-82F3-545969DF13A1}">
  <ds:schemaRefs>
    <ds:schemaRef ds:uri="http://schemas.microsoft.com/sharepoint/v3/contenttype/forms"/>
  </ds:schemaRefs>
</ds:datastoreItem>
</file>

<file path=customXml/itemProps2.xml><?xml version="1.0" encoding="utf-8"?>
<ds:datastoreItem xmlns:ds="http://schemas.openxmlformats.org/officeDocument/2006/customXml" ds:itemID="{2CFFF2F5-A56B-4F70-98CA-554D7848E742}"/>
</file>

<file path=customXml/itemProps3.xml><?xml version="1.0" encoding="utf-8"?>
<ds:datastoreItem xmlns:ds="http://schemas.openxmlformats.org/officeDocument/2006/customXml" ds:itemID="{D7D8A4D3-D2B5-4A3F-8C09-53CE3C554E39}">
  <ds:schemaRefs>
    <ds:schemaRef ds:uri="http://schemas.openxmlformats.org/officeDocument/2006/bibliography"/>
  </ds:schemaRefs>
</ds:datastoreItem>
</file>

<file path=customXml/itemProps4.xml><?xml version="1.0" encoding="utf-8"?>
<ds:datastoreItem xmlns:ds="http://schemas.openxmlformats.org/officeDocument/2006/customXml" ds:itemID="{37539CFF-BCC9-47F6-A1BC-F0F57A48CC05}">
  <ds:schemaRefs>
    <ds:schemaRef ds:uri="http://schemas.microsoft.com/office/2006/metadata/properties"/>
    <ds:schemaRef ds:uri="http://schemas.microsoft.com/office/infopath/2007/PartnerControls"/>
    <ds:schemaRef ds:uri="471cab51-7815-4e53-a229-948c3b049990"/>
  </ds:schemaRefs>
</ds:datastoreItem>
</file>

<file path=docProps/app.xml><?xml version="1.0" encoding="utf-8"?>
<Properties xmlns="http://schemas.openxmlformats.org/officeDocument/2006/extended-properties" xmlns:vt="http://schemas.openxmlformats.org/officeDocument/2006/docPropsVTypes">
  <Template>Normal.dotm</Template>
  <TotalTime>901</TotalTime>
  <Pages>266</Pages>
  <Words>111186</Words>
  <Characters>633764</Characters>
  <Application>Microsoft Office Word</Application>
  <DocSecurity>0</DocSecurity>
  <Lines>5281</Lines>
  <Paragraphs>1486</Paragraphs>
  <ScaleCrop>false</ScaleCrop>
  <Company>Toshiba</Company>
  <LinksUpToDate>false</LinksUpToDate>
  <CharactersWithSpaces>743464</CharactersWithSpaces>
  <SharedDoc>false</SharedDoc>
  <HLinks>
    <vt:vector size="864" baseType="variant">
      <vt:variant>
        <vt:i4>4849673</vt:i4>
      </vt:variant>
      <vt:variant>
        <vt:i4>507</vt:i4>
      </vt:variant>
      <vt:variant>
        <vt:i4>0</vt:i4>
      </vt:variant>
      <vt:variant>
        <vt:i4>5</vt:i4>
      </vt:variant>
      <vt:variant>
        <vt:lpwstr>https://meetings.wcpfc.int/node/32297</vt:lpwstr>
      </vt:variant>
      <vt:variant>
        <vt:lpwstr/>
      </vt:variant>
      <vt:variant>
        <vt:i4>4587528</vt:i4>
      </vt:variant>
      <vt:variant>
        <vt:i4>504</vt:i4>
      </vt:variant>
      <vt:variant>
        <vt:i4>0</vt:i4>
      </vt:variant>
      <vt:variant>
        <vt:i4>5</vt:i4>
      </vt:variant>
      <vt:variant>
        <vt:lpwstr>https://meetings.wcpfc.int/node/32354</vt:lpwstr>
      </vt:variant>
      <vt:variant>
        <vt:lpwstr/>
      </vt:variant>
      <vt:variant>
        <vt:i4>3014698</vt:i4>
      </vt:variant>
      <vt:variant>
        <vt:i4>501</vt:i4>
      </vt:variant>
      <vt:variant>
        <vt:i4>0</vt:i4>
      </vt:variant>
      <vt:variant>
        <vt:i4>5</vt:i4>
      </vt:variant>
      <vt:variant>
        <vt:lpwstr>http://www.climate.gov/climatedashboard</vt:lpwstr>
      </vt:variant>
      <vt:variant>
        <vt:lpwstr/>
      </vt:variant>
      <vt:variant>
        <vt:i4>7667728</vt:i4>
      </vt:variant>
      <vt:variant>
        <vt:i4>498</vt:i4>
      </vt:variant>
      <vt:variant>
        <vt:i4>0</vt:i4>
      </vt:variant>
      <vt:variant>
        <vt:i4>5</vt:i4>
      </vt:variant>
      <vt:variant>
        <vt:lpwstr>https://www.cpc.ncep.noaa.gov/products/analysis_monitoring/enso/roni/</vt:lpwstr>
      </vt:variant>
      <vt:variant>
        <vt:lpwstr/>
      </vt:variant>
      <vt:variant>
        <vt:i4>4194319</vt:i4>
      </vt:variant>
      <vt:variant>
        <vt:i4>495</vt:i4>
      </vt:variant>
      <vt:variant>
        <vt:i4>0</vt:i4>
      </vt:variant>
      <vt:variant>
        <vt:i4>5</vt:i4>
      </vt:variant>
      <vt:variant>
        <vt:lpwstr>https://meetings.wcpfc.int/node/32432</vt:lpwstr>
      </vt:variant>
      <vt:variant>
        <vt:lpwstr/>
      </vt:variant>
      <vt:variant>
        <vt:i4>4849673</vt:i4>
      </vt:variant>
      <vt:variant>
        <vt:i4>492</vt:i4>
      </vt:variant>
      <vt:variant>
        <vt:i4>0</vt:i4>
      </vt:variant>
      <vt:variant>
        <vt:i4>5</vt:i4>
      </vt:variant>
      <vt:variant>
        <vt:lpwstr>https://meetings.wcpfc.int/node/32296</vt:lpwstr>
      </vt:variant>
      <vt:variant>
        <vt:lpwstr/>
      </vt:variant>
      <vt:variant>
        <vt:i4>4194319</vt:i4>
      </vt:variant>
      <vt:variant>
        <vt:i4>489</vt:i4>
      </vt:variant>
      <vt:variant>
        <vt:i4>0</vt:i4>
      </vt:variant>
      <vt:variant>
        <vt:i4>5</vt:i4>
      </vt:variant>
      <vt:variant>
        <vt:lpwstr>https://meetings.wcpfc.int/node/32435</vt:lpwstr>
      </vt:variant>
      <vt:variant>
        <vt:lpwstr/>
      </vt:variant>
      <vt:variant>
        <vt:i4>4194319</vt:i4>
      </vt:variant>
      <vt:variant>
        <vt:i4>486</vt:i4>
      </vt:variant>
      <vt:variant>
        <vt:i4>0</vt:i4>
      </vt:variant>
      <vt:variant>
        <vt:i4>5</vt:i4>
      </vt:variant>
      <vt:variant>
        <vt:lpwstr>https://meetings.wcpfc.int/node/32435</vt:lpwstr>
      </vt:variant>
      <vt:variant>
        <vt:lpwstr/>
      </vt:variant>
      <vt:variant>
        <vt:i4>4194319</vt:i4>
      </vt:variant>
      <vt:variant>
        <vt:i4>483</vt:i4>
      </vt:variant>
      <vt:variant>
        <vt:i4>0</vt:i4>
      </vt:variant>
      <vt:variant>
        <vt:i4>5</vt:i4>
      </vt:variant>
      <vt:variant>
        <vt:lpwstr>https://meetings.wcpfc.int/node/32430</vt:lpwstr>
      </vt:variant>
      <vt:variant>
        <vt:lpwstr/>
      </vt:variant>
      <vt:variant>
        <vt:i4>4325391</vt:i4>
      </vt:variant>
      <vt:variant>
        <vt:i4>480</vt:i4>
      </vt:variant>
      <vt:variant>
        <vt:i4>0</vt:i4>
      </vt:variant>
      <vt:variant>
        <vt:i4>5</vt:i4>
      </vt:variant>
      <vt:variant>
        <vt:lpwstr>https://meetings.wcpfc.int/node/32418</vt:lpwstr>
      </vt:variant>
      <vt:variant>
        <vt:lpwstr/>
      </vt:variant>
      <vt:variant>
        <vt:i4>2</vt:i4>
      </vt:variant>
      <vt:variant>
        <vt:i4>477</vt:i4>
      </vt:variant>
      <vt:variant>
        <vt:i4>0</vt:i4>
      </vt:variant>
      <vt:variant>
        <vt:i4>5</vt:i4>
      </vt:variant>
      <vt:variant>
        <vt:lpwstr>https://forum.wcpfc.int/uploads/default/original/1X/4436bc6021e9cabfe0525adce31a8157c52d99a6.gif</vt:lpwstr>
      </vt:variant>
      <vt:variant>
        <vt:lpwstr/>
      </vt:variant>
      <vt:variant>
        <vt:i4>5242969</vt:i4>
      </vt:variant>
      <vt:variant>
        <vt:i4>474</vt:i4>
      </vt:variant>
      <vt:variant>
        <vt:i4>0</vt:i4>
      </vt:variant>
      <vt:variant>
        <vt:i4>5</vt:i4>
      </vt:variant>
      <vt:variant>
        <vt:lpwstr>https://forum.wcpfc.int/uploads/default/original/1X/00319f6b779f8ece879f6e66b0fc6ba0d26633ed.gif</vt:lpwstr>
      </vt:variant>
      <vt:variant>
        <vt:lpwstr/>
      </vt:variant>
      <vt:variant>
        <vt:i4>4653065</vt:i4>
      </vt:variant>
      <vt:variant>
        <vt:i4>471</vt:i4>
      </vt:variant>
      <vt:variant>
        <vt:i4>0</vt:i4>
      </vt:variant>
      <vt:variant>
        <vt:i4>5</vt:i4>
      </vt:variant>
      <vt:variant>
        <vt:lpwstr>https://meetings.wcpfc.int/node/32243</vt:lpwstr>
      </vt:variant>
      <vt:variant>
        <vt:lpwstr/>
      </vt:variant>
      <vt:variant>
        <vt:i4>4587535</vt:i4>
      </vt:variant>
      <vt:variant>
        <vt:i4>468</vt:i4>
      </vt:variant>
      <vt:variant>
        <vt:i4>0</vt:i4>
      </vt:variant>
      <vt:variant>
        <vt:i4>5</vt:i4>
      </vt:variant>
      <vt:variant>
        <vt:lpwstr>https://meetings.wcpfc.int/node/32452</vt:lpwstr>
      </vt:variant>
      <vt:variant>
        <vt:lpwstr/>
      </vt:variant>
      <vt:variant>
        <vt:i4>4325389</vt:i4>
      </vt:variant>
      <vt:variant>
        <vt:i4>465</vt:i4>
      </vt:variant>
      <vt:variant>
        <vt:i4>0</vt:i4>
      </vt:variant>
      <vt:variant>
        <vt:i4>5</vt:i4>
      </vt:variant>
      <vt:variant>
        <vt:lpwstr>https://meetings.wcpfc.int/node/31622</vt:lpwstr>
      </vt:variant>
      <vt:variant>
        <vt:lpwstr/>
      </vt:variant>
      <vt:variant>
        <vt:i4>4587533</vt:i4>
      </vt:variant>
      <vt:variant>
        <vt:i4>462</vt:i4>
      </vt:variant>
      <vt:variant>
        <vt:i4>0</vt:i4>
      </vt:variant>
      <vt:variant>
        <vt:i4>5</vt:i4>
      </vt:variant>
      <vt:variant>
        <vt:lpwstr>https://meetings.wcpfc.int/node/32657</vt:lpwstr>
      </vt:variant>
      <vt:variant>
        <vt:lpwstr/>
      </vt:variant>
      <vt:variant>
        <vt:i4>4456461</vt:i4>
      </vt:variant>
      <vt:variant>
        <vt:i4>459</vt:i4>
      </vt:variant>
      <vt:variant>
        <vt:i4>0</vt:i4>
      </vt:variant>
      <vt:variant>
        <vt:i4>5</vt:i4>
      </vt:variant>
      <vt:variant>
        <vt:lpwstr>https://meetings.wcpfc.int/node/32678</vt:lpwstr>
      </vt:variant>
      <vt:variant>
        <vt:lpwstr/>
      </vt:variant>
      <vt:variant>
        <vt:i4>4915209</vt:i4>
      </vt:variant>
      <vt:variant>
        <vt:i4>456</vt:i4>
      </vt:variant>
      <vt:variant>
        <vt:i4>0</vt:i4>
      </vt:variant>
      <vt:variant>
        <vt:i4>5</vt:i4>
      </vt:variant>
      <vt:variant>
        <vt:lpwstr>https://meetings.wcpfc.int/node/32284</vt:lpwstr>
      </vt:variant>
      <vt:variant>
        <vt:lpwstr/>
      </vt:variant>
      <vt:variant>
        <vt:i4>4587529</vt:i4>
      </vt:variant>
      <vt:variant>
        <vt:i4>453</vt:i4>
      </vt:variant>
      <vt:variant>
        <vt:i4>0</vt:i4>
      </vt:variant>
      <vt:variant>
        <vt:i4>5</vt:i4>
      </vt:variant>
      <vt:variant>
        <vt:lpwstr>https://meetings.wcpfc.int/node/32255</vt:lpwstr>
      </vt:variant>
      <vt:variant>
        <vt:lpwstr/>
      </vt:variant>
      <vt:variant>
        <vt:i4>4456457</vt:i4>
      </vt:variant>
      <vt:variant>
        <vt:i4>450</vt:i4>
      </vt:variant>
      <vt:variant>
        <vt:i4>0</vt:i4>
      </vt:variant>
      <vt:variant>
        <vt:i4>5</vt:i4>
      </vt:variant>
      <vt:variant>
        <vt:lpwstr>https://meetings.wcpfc.int/node/32270</vt:lpwstr>
      </vt:variant>
      <vt:variant>
        <vt:lpwstr/>
      </vt:variant>
      <vt:variant>
        <vt:i4>4456457</vt:i4>
      </vt:variant>
      <vt:variant>
        <vt:i4>447</vt:i4>
      </vt:variant>
      <vt:variant>
        <vt:i4>0</vt:i4>
      </vt:variant>
      <vt:variant>
        <vt:i4>5</vt:i4>
      </vt:variant>
      <vt:variant>
        <vt:lpwstr>https://meetings.wcpfc.int/node/32279</vt:lpwstr>
      </vt:variant>
      <vt:variant>
        <vt:lpwstr/>
      </vt:variant>
      <vt:variant>
        <vt:i4>4915209</vt:i4>
      </vt:variant>
      <vt:variant>
        <vt:i4>444</vt:i4>
      </vt:variant>
      <vt:variant>
        <vt:i4>0</vt:i4>
      </vt:variant>
      <vt:variant>
        <vt:i4>5</vt:i4>
      </vt:variant>
      <vt:variant>
        <vt:lpwstr>https://meetings.wcpfc.int/node/32285</vt:lpwstr>
      </vt:variant>
      <vt:variant>
        <vt:lpwstr/>
      </vt:variant>
      <vt:variant>
        <vt:i4>2162726</vt:i4>
      </vt:variant>
      <vt:variant>
        <vt:i4>441</vt:i4>
      </vt:variant>
      <vt:variant>
        <vt:i4>0</vt:i4>
      </vt:variant>
      <vt:variant>
        <vt:i4>5</vt:i4>
      </vt:variant>
      <vt:variant>
        <vt:lpwstr>https://unece.org/trade/cefact/unlocode-code-list-country-and-territory</vt:lpwstr>
      </vt:variant>
      <vt:variant>
        <vt:lpwstr/>
      </vt:variant>
      <vt:variant>
        <vt:i4>7667713</vt:i4>
      </vt:variant>
      <vt:variant>
        <vt:i4>438</vt:i4>
      </vt:variant>
      <vt:variant>
        <vt:i4>0</vt:i4>
      </vt:variant>
      <vt:variant>
        <vt:i4>5</vt:i4>
      </vt:variant>
      <vt:variant>
        <vt:lpwstr>mailto:support@wcpfc.freshdesk.com</vt:lpwstr>
      </vt:variant>
      <vt:variant>
        <vt:lpwstr/>
      </vt:variant>
      <vt:variant>
        <vt:i4>6815783</vt:i4>
      </vt:variant>
      <vt:variant>
        <vt:i4>435</vt:i4>
      </vt:variant>
      <vt:variant>
        <vt:i4>0</vt:i4>
      </vt:variant>
      <vt:variant>
        <vt:i4>5</vt:i4>
      </vt:variant>
      <vt:variant>
        <vt:lpwstr>https://data.wcpfc.int/reference-list/port). The addition of new ports into this reference, can request</vt:lpwstr>
      </vt:variant>
      <vt:variant>
        <vt:lpwstr/>
      </vt:variant>
      <vt:variant>
        <vt:i4>2162726</vt:i4>
      </vt:variant>
      <vt:variant>
        <vt:i4>432</vt:i4>
      </vt:variant>
      <vt:variant>
        <vt:i4>0</vt:i4>
      </vt:variant>
      <vt:variant>
        <vt:i4>5</vt:i4>
      </vt:variant>
      <vt:variant>
        <vt:lpwstr>https://unece.org/trade/cefact/unlocode-code-list-country-and-territory</vt:lpwstr>
      </vt:variant>
      <vt:variant>
        <vt:lpwstr/>
      </vt:variant>
      <vt:variant>
        <vt:i4>7667713</vt:i4>
      </vt:variant>
      <vt:variant>
        <vt:i4>429</vt:i4>
      </vt:variant>
      <vt:variant>
        <vt:i4>0</vt:i4>
      </vt:variant>
      <vt:variant>
        <vt:i4>5</vt:i4>
      </vt:variant>
      <vt:variant>
        <vt:lpwstr>mailto:support@wcpfc.freshdesk.com</vt:lpwstr>
      </vt:variant>
      <vt:variant>
        <vt:lpwstr/>
      </vt:variant>
      <vt:variant>
        <vt:i4>6815783</vt:i4>
      </vt:variant>
      <vt:variant>
        <vt:i4>426</vt:i4>
      </vt:variant>
      <vt:variant>
        <vt:i4>0</vt:i4>
      </vt:variant>
      <vt:variant>
        <vt:i4>5</vt:i4>
      </vt:variant>
      <vt:variant>
        <vt:lpwstr>https://data.wcpfc.int/reference-list/port). The addition of new ports into this reference, can request</vt:lpwstr>
      </vt:variant>
      <vt:variant>
        <vt:lpwstr/>
      </vt:variant>
      <vt:variant>
        <vt:i4>7667713</vt:i4>
      </vt:variant>
      <vt:variant>
        <vt:i4>423</vt:i4>
      </vt:variant>
      <vt:variant>
        <vt:i4>0</vt:i4>
      </vt:variant>
      <vt:variant>
        <vt:i4>5</vt:i4>
      </vt:variant>
      <vt:variant>
        <vt:lpwstr>mailto:support@wcpfc.freshdesk.com</vt:lpwstr>
      </vt:variant>
      <vt:variant>
        <vt:lpwstr/>
      </vt:variant>
      <vt:variant>
        <vt:i4>6815783</vt:i4>
      </vt:variant>
      <vt:variant>
        <vt:i4>420</vt:i4>
      </vt:variant>
      <vt:variant>
        <vt:i4>0</vt:i4>
      </vt:variant>
      <vt:variant>
        <vt:i4>5</vt:i4>
      </vt:variant>
      <vt:variant>
        <vt:lpwstr>https://data.wcpfc.int/reference-list/port). The addition of new ports into this reference, can request</vt:lpwstr>
      </vt:variant>
      <vt:variant>
        <vt:lpwstr/>
      </vt:variant>
      <vt:variant>
        <vt:i4>2162726</vt:i4>
      </vt:variant>
      <vt:variant>
        <vt:i4>417</vt:i4>
      </vt:variant>
      <vt:variant>
        <vt:i4>0</vt:i4>
      </vt:variant>
      <vt:variant>
        <vt:i4>5</vt:i4>
      </vt:variant>
      <vt:variant>
        <vt:lpwstr>https://unece.org/trade/cefact/unlocode-code-list-country-and-territory</vt:lpwstr>
      </vt:variant>
      <vt:variant>
        <vt:lpwstr/>
      </vt:variant>
      <vt:variant>
        <vt:i4>7667713</vt:i4>
      </vt:variant>
      <vt:variant>
        <vt:i4>414</vt:i4>
      </vt:variant>
      <vt:variant>
        <vt:i4>0</vt:i4>
      </vt:variant>
      <vt:variant>
        <vt:i4>5</vt:i4>
      </vt:variant>
      <vt:variant>
        <vt:lpwstr>mailto:support@wcpfc.freshdesk.com</vt:lpwstr>
      </vt:variant>
      <vt:variant>
        <vt:lpwstr/>
      </vt:variant>
      <vt:variant>
        <vt:i4>6815783</vt:i4>
      </vt:variant>
      <vt:variant>
        <vt:i4>411</vt:i4>
      </vt:variant>
      <vt:variant>
        <vt:i4>0</vt:i4>
      </vt:variant>
      <vt:variant>
        <vt:i4>5</vt:i4>
      </vt:variant>
      <vt:variant>
        <vt:lpwstr>https://data.wcpfc.int/reference-list/port). The addition of new ports into this reference, can request</vt:lpwstr>
      </vt:variant>
      <vt:variant>
        <vt:lpwstr/>
      </vt:variant>
      <vt:variant>
        <vt:i4>2162726</vt:i4>
      </vt:variant>
      <vt:variant>
        <vt:i4>408</vt:i4>
      </vt:variant>
      <vt:variant>
        <vt:i4>0</vt:i4>
      </vt:variant>
      <vt:variant>
        <vt:i4>5</vt:i4>
      </vt:variant>
      <vt:variant>
        <vt:lpwstr>https://unece.org/trade/cefact/unlocode-code-list-country-and-territory</vt:lpwstr>
      </vt:variant>
      <vt:variant>
        <vt:lpwstr/>
      </vt:variant>
      <vt:variant>
        <vt:i4>7667713</vt:i4>
      </vt:variant>
      <vt:variant>
        <vt:i4>405</vt:i4>
      </vt:variant>
      <vt:variant>
        <vt:i4>0</vt:i4>
      </vt:variant>
      <vt:variant>
        <vt:i4>5</vt:i4>
      </vt:variant>
      <vt:variant>
        <vt:lpwstr>mailto:support@wcpfc.freshdesk.com</vt:lpwstr>
      </vt:variant>
      <vt:variant>
        <vt:lpwstr/>
      </vt:variant>
      <vt:variant>
        <vt:i4>6815783</vt:i4>
      </vt:variant>
      <vt:variant>
        <vt:i4>402</vt:i4>
      </vt:variant>
      <vt:variant>
        <vt:i4>0</vt:i4>
      </vt:variant>
      <vt:variant>
        <vt:i4>5</vt:i4>
      </vt:variant>
      <vt:variant>
        <vt:lpwstr>https://data.wcpfc.int/reference-list/port). The addition of new ports into this reference, can request</vt:lpwstr>
      </vt:variant>
      <vt:variant>
        <vt:lpwstr/>
      </vt:variant>
      <vt:variant>
        <vt:i4>2162726</vt:i4>
      </vt:variant>
      <vt:variant>
        <vt:i4>399</vt:i4>
      </vt:variant>
      <vt:variant>
        <vt:i4>0</vt:i4>
      </vt:variant>
      <vt:variant>
        <vt:i4>5</vt:i4>
      </vt:variant>
      <vt:variant>
        <vt:lpwstr>https://unece.org/trade/cefact/unlocode-code-list-country-and-territory</vt:lpwstr>
      </vt:variant>
      <vt:variant>
        <vt:lpwstr/>
      </vt:variant>
      <vt:variant>
        <vt:i4>7667713</vt:i4>
      </vt:variant>
      <vt:variant>
        <vt:i4>396</vt:i4>
      </vt:variant>
      <vt:variant>
        <vt:i4>0</vt:i4>
      </vt:variant>
      <vt:variant>
        <vt:i4>5</vt:i4>
      </vt:variant>
      <vt:variant>
        <vt:lpwstr>mailto:support@wcpfc.freshdesk.com</vt:lpwstr>
      </vt:variant>
      <vt:variant>
        <vt:lpwstr/>
      </vt:variant>
      <vt:variant>
        <vt:i4>6815783</vt:i4>
      </vt:variant>
      <vt:variant>
        <vt:i4>393</vt:i4>
      </vt:variant>
      <vt:variant>
        <vt:i4>0</vt:i4>
      </vt:variant>
      <vt:variant>
        <vt:i4>5</vt:i4>
      </vt:variant>
      <vt:variant>
        <vt:lpwstr>https://data.wcpfc.int/reference-list/port). The addition of new ports into this reference, can request</vt:lpwstr>
      </vt:variant>
      <vt:variant>
        <vt:lpwstr/>
      </vt:variant>
      <vt:variant>
        <vt:i4>851972</vt:i4>
      </vt:variant>
      <vt:variant>
        <vt:i4>390</vt:i4>
      </vt:variant>
      <vt:variant>
        <vt:i4>0</vt:i4>
      </vt:variant>
      <vt:variant>
        <vt:i4>5</vt:i4>
      </vt:variant>
      <vt:variant>
        <vt:lpwstr>https://pacificcommunity.github.io/scidata-standard/</vt:lpwstr>
      </vt:variant>
      <vt:variant>
        <vt:lpwstr/>
      </vt:variant>
      <vt:variant>
        <vt:i4>4849673</vt:i4>
      </vt:variant>
      <vt:variant>
        <vt:i4>387</vt:i4>
      </vt:variant>
      <vt:variant>
        <vt:i4>0</vt:i4>
      </vt:variant>
      <vt:variant>
        <vt:i4>5</vt:i4>
      </vt:variant>
      <vt:variant>
        <vt:lpwstr>https://meetings.wcpfc.int/node/32295</vt:lpwstr>
      </vt:variant>
      <vt:variant>
        <vt:lpwstr/>
      </vt:variant>
      <vt:variant>
        <vt:i4>4390926</vt:i4>
      </vt:variant>
      <vt:variant>
        <vt:i4>384</vt:i4>
      </vt:variant>
      <vt:variant>
        <vt:i4>0</vt:i4>
      </vt:variant>
      <vt:variant>
        <vt:i4>5</vt:i4>
      </vt:variant>
      <vt:variant>
        <vt:lpwstr>https://meetings.wcpfc.int/node/32505</vt:lpwstr>
      </vt:variant>
      <vt:variant>
        <vt:lpwstr/>
      </vt:variant>
      <vt:variant>
        <vt:i4>4587523</vt:i4>
      </vt:variant>
      <vt:variant>
        <vt:i4>381</vt:i4>
      </vt:variant>
      <vt:variant>
        <vt:i4>0</vt:i4>
      </vt:variant>
      <vt:variant>
        <vt:i4>5</vt:i4>
      </vt:variant>
      <vt:variant>
        <vt:lpwstr>https://meetings.wcpfc.int/node/32851</vt:lpwstr>
      </vt:variant>
      <vt:variant>
        <vt:lpwstr/>
      </vt:variant>
      <vt:variant>
        <vt:i4>4390920</vt:i4>
      </vt:variant>
      <vt:variant>
        <vt:i4>378</vt:i4>
      </vt:variant>
      <vt:variant>
        <vt:i4>0</vt:i4>
      </vt:variant>
      <vt:variant>
        <vt:i4>5</vt:i4>
      </vt:variant>
      <vt:variant>
        <vt:lpwstr>https://meetings.wcpfc.int/node/32309</vt:lpwstr>
      </vt:variant>
      <vt:variant>
        <vt:lpwstr/>
      </vt:variant>
      <vt:variant>
        <vt:i4>4521993</vt:i4>
      </vt:variant>
      <vt:variant>
        <vt:i4>375</vt:i4>
      </vt:variant>
      <vt:variant>
        <vt:i4>0</vt:i4>
      </vt:variant>
      <vt:variant>
        <vt:i4>5</vt:i4>
      </vt:variant>
      <vt:variant>
        <vt:lpwstr>https://meetings.wcpfc.int/node/32264</vt:lpwstr>
      </vt:variant>
      <vt:variant>
        <vt:lpwstr/>
      </vt:variant>
      <vt:variant>
        <vt:i4>4849678</vt:i4>
      </vt:variant>
      <vt:variant>
        <vt:i4>372</vt:i4>
      </vt:variant>
      <vt:variant>
        <vt:i4>0</vt:i4>
      </vt:variant>
      <vt:variant>
        <vt:i4>5</vt:i4>
      </vt:variant>
      <vt:variant>
        <vt:lpwstr>https://meetings.wcpfc.int/node/32595</vt:lpwstr>
      </vt:variant>
      <vt:variant>
        <vt:lpwstr/>
      </vt:variant>
      <vt:variant>
        <vt:i4>4521993</vt:i4>
      </vt:variant>
      <vt:variant>
        <vt:i4>369</vt:i4>
      </vt:variant>
      <vt:variant>
        <vt:i4>0</vt:i4>
      </vt:variant>
      <vt:variant>
        <vt:i4>5</vt:i4>
      </vt:variant>
      <vt:variant>
        <vt:lpwstr>https://meetings.wcpfc.int/node/32262</vt:lpwstr>
      </vt:variant>
      <vt:variant>
        <vt:lpwstr/>
      </vt:variant>
      <vt:variant>
        <vt:i4>4849678</vt:i4>
      </vt:variant>
      <vt:variant>
        <vt:i4>366</vt:i4>
      </vt:variant>
      <vt:variant>
        <vt:i4>0</vt:i4>
      </vt:variant>
      <vt:variant>
        <vt:i4>5</vt:i4>
      </vt:variant>
      <vt:variant>
        <vt:lpwstr>https://meetings.wcpfc.int/node/32593</vt:lpwstr>
      </vt:variant>
      <vt:variant>
        <vt:lpwstr/>
      </vt:variant>
      <vt:variant>
        <vt:i4>4587529</vt:i4>
      </vt:variant>
      <vt:variant>
        <vt:i4>363</vt:i4>
      </vt:variant>
      <vt:variant>
        <vt:i4>0</vt:i4>
      </vt:variant>
      <vt:variant>
        <vt:i4>5</vt:i4>
      </vt:variant>
      <vt:variant>
        <vt:lpwstr>https://meetings.wcpfc.int/node/32254</vt:lpwstr>
      </vt:variant>
      <vt:variant>
        <vt:lpwstr/>
      </vt:variant>
      <vt:variant>
        <vt:i4>4653070</vt:i4>
      </vt:variant>
      <vt:variant>
        <vt:i4>360</vt:i4>
      </vt:variant>
      <vt:variant>
        <vt:i4>0</vt:i4>
      </vt:variant>
      <vt:variant>
        <vt:i4>5</vt:i4>
      </vt:variant>
      <vt:variant>
        <vt:lpwstr>https://meetings.wcpfc.int/node/32542</vt:lpwstr>
      </vt:variant>
      <vt:variant>
        <vt:lpwstr/>
      </vt:variant>
      <vt:variant>
        <vt:i4>4456457</vt:i4>
      </vt:variant>
      <vt:variant>
        <vt:i4>357</vt:i4>
      </vt:variant>
      <vt:variant>
        <vt:i4>0</vt:i4>
      </vt:variant>
      <vt:variant>
        <vt:i4>5</vt:i4>
      </vt:variant>
      <vt:variant>
        <vt:lpwstr>https://meetings.wcpfc.int/node/32270</vt:lpwstr>
      </vt:variant>
      <vt:variant>
        <vt:lpwstr/>
      </vt:variant>
      <vt:variant>
        <vt:i4>4915209</vt:i4>
      </vt:variant>
      <vt:variant>
        <vt:i4>354</vt:i4>
      </vt:variant>
      <vt:variant>
        <vt:i4>0</vt:i4>
      </vt:variant>
      <vt:variant>
        <vt:i4>5</vt:i4>
      </vt:variant>
      <vt:variant>
        <vt:lpwstr>https://meetings.wcpfc.int/node/32285</vt:lpwstr>
      </vt:variant>
      <vt:variant>
        <vt:lpwstr/>
      </vt:variant>
      <vt:variant>
        <vt:i4>4521993</vt:i4>
      </vt:variant>
      <vt:variant>
        <vt:i4>351</vt:i4>
      </vt:variant>
      <vt:variant>
        <vt:i4>0</vt:i4>
      </vt:variant>
      <vt:variant>
        <vt:i4>5</vt:i4>
      </vt:variant>
      <vt:variant>
        <vt:lpwstr>https://meetings.wcpfc.int/node/32269</vt:lpwstr>
      </vt:variant>
      <vt:variant>
        <vt:lpwstr/>
      </vt:variant>
      <vt:variant>
        <vt:i4>4915209</vt:i4>
      </vt:variant>
      <vt:variant>
        <vt:i4>348</vt:i4>
      </vt:variant>
      <vt:variant>
        <vt:i4>0</vt:i4>
      </vt:variant>
      <vt:variant>
        <vt:i4>5</vt:i4>
      </vt:variant>
      <vt:variant>
        <vt:lpwstr>https://meetings.wcpfc.int/node/32281</vt:lpwstr>
      </vt:variant>
      <vt:variant>
        <vt:lpwstr/>
      </vt:variant>
      <vt:variant>
        <vt:i4>4915209</vt:i4>
      </vt:variant>
      <vt:variant>
        <vt:i4>345</vt:i4>
      </vt:variant>
      <vt:variant>
        <vt:i4>0</vt:i4>
      </vt:variant>
      <vt:variant>
        <vt:i4>5</vt:i4>
      </vt:variant>
      <vt:variant>
        <vt:lpwstr>https://meetings.wcpfc.int/node/32280</vt:lpwstr>
      </vt:variant>
      <vt:variant>
        <vt:lpwstr/>
      </vt:variant>
      <vt:variant>
        <vt:i4>4587528</vt:i4>
      </vt:variant>
      <vt:variant>
        <vt:i4>342</vt:i4>
      </vt:variant>
      <vt:variant>
        <vt:i4>0</vt:i4>
      </vt:variant>
      <vt:variant>
        <vt:i4>5</vt:i4>
      </vt:variant>
      <vt:variant>
        <vt:lpwstr>https://meetings.wcpfc.int/node/32354</vt:lpwstr>
      </vt:variant>
      <vt:variant>
        <vt:lpwstr/>
      </vt:variant>
      <vt:variant>
        <vt:i4>4653065</vt:i4>
      </vt:variant>
      <vt:variant>
        <vt:i4>339</vt:i4>
      </vt:variant>
      <vt:variant>
        <vt:i4>0</vt:i4>
      </vt:variant>
      <vt:variant>
        <vt:i4>5</vt:i4>
      </vt:variant>
      <vt:variant>
        <vt:lpwstr>https://meetings.wcpfc.int/node/32244</vt:lpwstr>
      </vt:variant>
      <vt:variant>
        <vt:lpwstr/>
      </vt:variant>
      <vt:variant>
        <vt:i4>4259855</vt:i4>
      </vt:variant>
      <vt:variant>
        <vt:i4>336</vt:i4>
      </vt:variant>
      <vt:variant>
        <vt:i4>0</vt:i4>
      </vt:variant>
      <vt:variant>
        <vt:i4>5</vt:i4>
      </vt:variant>
      <vt:variant>
        <vt:lpwstr>https://meetings.wcpfc.int/node/32424</vt:lpwstr>
      </vt:variant>
      <vt:variant>
        <vt:lpwstr/>
      </vt:variant>
      <vt:variant>
        <vt:i4>4915209</vt:i4>
      </vt:variant>
      <vt:variant>
        <vt:i4>333</vt:i4>
      </vt:variant>
      <vt:variant>
        <vt:i4>0</vt:i4>
      </vt:variant>
      <vt:variant>
        <vt:i4>5</vt:i4>
      </vt:variant>
      <vt:variant>
        <vt:lpwstr>https://meetings.wcpfc.int/node/32287</vt:lpwstr>
      </vt:variant>
      <vt:variant>
        <vt:lpwstr/>
      </vt:variant>
      <vt:variant>
        <vt:i4>4194319</vt:i4>
      </vt:variant>
      <vt:variant>
        <vt:i4>330</vt:i4>
      </vt:variant>
      <vt:variant>
        <vt:i4>0</vt:i4>
      </vt:variant>
      <vt:variant>
        <vt:i4>5</vt:i4>
      </vt:variant>
      <vt:variant>
        <vt:lpwstr>https://meetings.wcpfc.int/node/32430</vt:lpwstr>
      </vt:variant>
      <vt:variant>
        <vt:lpwstr/>
      </vt:variant>
      <vt:variant>
        <vt:i4>4194319</vt:i4>
      </vt:variant>
      <vt:variant>
        <vt:i4>327</vt:i4>
      </vt:variant>
      <vt:variant>
        <vt:i4>0</vt:i4>
      </vt:variant>
      <vt:variant>
        <vt:i4>5</vt:i4>
      </vt:variant>
      <vt:variant>
        <vt:lpwstr>https://meetings.wcpfc.int/node/32434</vt:lpwstr>
      </vt:variant>
      <vt:variant>
        <vt:lpwstr/>
      </vt:variant>
      <vt:variant>
        <vt:i4>4456457</vt:i4>
      </vt:variant>
      <vt:variant>
        <vt:i4>324</vt:i4>
      </vt:variant>
      <vt:variant>
        <vt:i4>0</vt:i4>
      </vt:variant>
      <vt:variant>
        <vt:i4>5</vt:i4>
      </vt:variant>
      <vt:variant>
        <vt:lpwstr>https://meetings.wcpfc.int/node/32271</vt:lpwstr>
      </vt:variant>
      <vt:variant>
        <vt:lpwstr/>
      </vt:variant>
      <vt:variant>
        <vt:i4>4194319</vt:i4>
      </vt:variant>
      <vt:variant>
        <vt:i4>321</vt:i4>
      </vt:variant>
      <vt:variant>
        <vt:i4>0</vt:i4>
      </vt:variant>
      <vt:variant>
        <vt:i4>5</vt:i4>
      </vt:variant>
      <vt:variant>
        <vt:lpwstr>https://meetings.wcpfc.int/node/32432</vt:lpwstr>
      </vt:variant>
      <vt:variant>
        <vt:lpwstr/>
      </vt:variant>
      <vt:variant>
        <vt:i4>4456463</vt:i4>
      </vt:variant>
      <vt:variant>
        <vt:i4>318</vt:i4>
      </vt:variant>
      <vt:variant>
        <vt:i4>0</vt:i4>
      </vt:variant>
      <vt:variant>
        <vt:i4>5</vt:i4>
      </vt:variant>
      <vt:variant>
        <vt:lpwstr>https://meetings.wcpfc.int/node/32479</vt:lpwstr>
      </vt:variant>
      <vt:variant>
        <vt:lpwstr/>
      </vt:variant>
      <vt:variant>
        <vt:i4>4325384</vt:i4>
      </vt:variant>
      <vt:variant>
        <vt:i4>315</vt:i4>
      </vt:variant>
      <vt:variant>
        <vt:i4>0</vt:i4>
      </vt:variant>
      <vt:variant>
        <vt:i4>5</vt:i4>
      </vt:variant>
      <vt:variant>
        <vt:lpwstr>https://meetings.wcpfc.int/node/32316</vt:lpwstr>
      </vt:variant>
      <vt:variant>
        <vt:lpwstr/>
      </vt:variant>
      <vt:variant>
        <vt:i4>4849673</vt:i4>
      </vt:variant>
      <vt:variant>
        <vt:i4>312</vt:i4>
      </vt:variant>
      <vt:variant>
        <vt:i4>0</vt:i4>
      </vt:variant>
      <vt:variant>
        <vt:i4>5</vt:i4>
      </vt:variant>
      <vt:variant>
        <vt:lpwstr>https://meetings.wcpfc.int/node/32294</vt:lpwstr>
      </vt:variant>
      <vt:variant>
        <vt:lpwstr/>
      </vt:variant>
      <vt:variant>
        <vt:i4>4194318</vt:i4>
      </vt:variant>
      <vt:variant>
        <vt:i4>309</vt:i4>
      </vt:variant>
      <vt:variant>
        <vt:i4>0</vt:i4>
      </vt:variant>
      <vt:variant>
        <vt:i4>5</vt:i4>
      </vt:variant>
      <vt:variant>
        <vt:lpwstr>https://meetings.wcpfc.int/node/32537</vt:lpwstr>
      </vt:variant>
      <vt:variant>
        <vt:lpwstr/>
      </vt:variant>
      <vt:variant>
        <vt:i4>4325390</vt:i4>
      </vt:variant>
      <vt:variant>
        <vt:i4>306</vt:i4>
      </vt:variant>
      <vt:variant>
        <vt:i4>0</vt:i4>
      </vt:variant>
      <vt:variant>
        <vt:i4>5</vt:i4>
      </vt:variant>
      <vt:variant>
        <vt:lpwstr>https://meetings.wcpfc.int/node/32517</vt:lpwstr>
      </vt:variant>
      <vt:variant>
        <vt:lpwstr/>
      </vt:variant>
      <vt:variant>
        <vt:i4>4521993</vt:i4>
      </vt:variant>
      <vt:variant>
        <vt:i4>303</vt:i4>
      </vt:variant>
      <vt:variant>
        <vt:i4>0</vt:i4>
      </vt:variant>
      <vt:variant>
        <vt:i4>5</vt:i4>
      </vt:variant>
      <vt:variant>
        <vt:lpwstr>https://meetings.wcpfc.int/node/32261</vt:lpwstr>
      </vt:variant>
      <vt:variant>
        <vt:lpwstr/>
      </vt:variant>
      <vt:variant>
        <vt:i4>4915215</vt:i4>
      </vt:variant>
      <vt:variant>
        <vt:i4>300</vt:i4>
      </vt:variant>
      <vt:variant>
        <vt:i4>0</vt:i4>
      </vt:variant>
      <vt:variant>
        <vt:i4>5</vt:i4>
      </vt:variant>
      <vt:variant>
        <vt:lpwstr>https://meetings.wcpfc.int/node/32489</vt:lpwstr>
      </vt:variant>
      <vt:variant>
        <vt:lpwstr/>
      </vt:variant>
      <vt:variant>
        <vt:i4>4521993</vt:i4>
      </vt:variant>
      <vt:variant>
        <vt:i4>297</vt:i4>
      </vt:variant>
      <vt:variant>
        <vt:i4>0</vt:i4>
      </vt:variant>
      <vt:variant>
        <vt:i4>5</vt:i4>
      </vt:variant>
      <vt:variant>
        <vt:lpwstr>https://meetings.wcpfc.int/node/32261</vt:lpwstr>
      </vt:variant>
      <vt:variant>
        <vt:lpwstr/>
      </vt:variant>
      <vt:variant>
        <vt:i4>4915215</vt:i4>
      </vt:variant>
      <vt:variant>
        <vt:i4>294</vt:i4>
      </vt:variant>
      <vt:variant>
        <vt:i4>0</vt:i4>
      </vt:variant>
      <vt:variant>
        <vt:i4>5</vt:i4>
      </vt:variant>
      <vt:variant>
        <vt:lpwstr>https://meetings.wcpfc.int/node/32483</vt:lpwstr>
      </vt:variant>
      <vt:variant>
        <vt:lpwstr/>
      </vt:variant>
      <vt:variant>
        <vt:i4>4325391</vt:i4>
      </vt:variant>
      <vt:variant>
        <vt:i4>291</vt:i4>
      </vt:variant>
      <vt:variant>
        <vt:i4>0</vt:i4>
      </vt:variant>
      <vt:variant>
        <vt:i4>5</vt:i4>
      </vt:variant>
      <vt:variant>
        <vt:lpwstr>https://meetings.wcpfc.int/node/32410</vt:lpwstr>
      </vt:variant>
      <vt:variant>
        <vt:lpwstr/>
      </vt:variant>
      <vt:variant>
        <vt:i4>4521993</vt:i4>
      </vt:variant>
      <vt:variant>
        <vt:i4>288</vt:i4>
      </vt:variant>
      <vt:variant>
        <vt:i4>0</vt:i4>
      </vt:variant>
      <vt:variant>
        <vt:i4>5</vt:i4>
      </vt:variant>
      <vt:variant>
        <vt:lpwstr>https://meetings.wcpfc.int/node/32260</vt:lpwstr>
      </vt:variant>
      <vt:variant>
        <vt:lpwstr/>
      </vt:variant>
      <vt:variant>
        <vt:i4>4849678</vt:i4>
      </vt:variant>
      <vt:variant>
        <vt:i4>285</vt:i4>
      </vt:variant>
      <vt:variant>
        <vt:i4>0</vt:i4>
      </vt:variant>
      <vt:variant>
        <vt:i4>5</vt:i4>
      </vt:variant>
      <vt:variant>
        <vt:lpwstr>https://meetings.wcpfc.int/node/32598</vt:lpwstr>
      </vt:variant>
      <vt:variant>
        <vt:lpwstr/>
      </vt:variant>
      <vt:variant>
        <vt:i4>4849678</vt:i4>
      </vt:variant>
      <vt:variant>
        <vt:i4>282</vt:i4>
      </vt:variant>
      <vt:variant>
        <vt:i4>0</vt:i4>
      </vt:variant>
      <vt:variant>
        <vt:i4>5</vt:i4>
      </vt:variant>
      <vt:variant>
        <vt:lpwstr>https://meetings.wcpfc.int/node/32599</vt:lpwstr>
      </vt:variant>
      <vt:variant>
        <vt:lpwstr/>
      </vt:variant>
      <vt:variant>
        <vt:i4>4849679</vt:i4>
      </vt:variant>
      <vt:variant>
        <vt:i4>279</vt:i4>
      </vt:variant>
      <vt:variant>
        <vt:i4>0</vt:i4>
      </vt:variant>
      <vt:variant>
        <vt:i4>5</vt:i4>
      </vt:variant>
      <vt:variant>
        <vt:lpwstr>https://meetings.wcpfc.int/node/32496</vt:lpwstr>
      </vt:variant>
      <vt:variant>
        <vt:lpwstr/>
      </vt:variant>
      <vt:variant>
        <vt:i4>4259854</vt:i4>
      </vt:variant>
      <vt:variant>
        <vt:i4>276</vt:i4>
      </vt:variant>
      <vt:variant>
        <vt:i4>0</vt:i4>
      </vt:variant>
      <vt:variant>
        <vt:i4>5</vt:i4>
      </vt:variant>
      <vt:variant>
        <vt:lpwstr>https://meetings.wcpfc.int/node/32527</vt:lpwstr>
      </vt:variant>
      <vt:variant>
        <vt:lpwstr/>
      </vt:variant>
      <vt:variant>
        <vt:i4>4259854</vt:i4>
      </vt:variant>
      <vt:variant>
        <vt:i4>273</vt:i4>
      </vt:variant>
      <vt:variant>
        <vt:i4>0</vt:i4>
      </vt:variant>
      <vt:variant>
        <vt:i4>5</vt:i4>
      </vt:variant>
      <vt:variant>
        <vt:lpwstr>https://meetings.wcpfc.int/node/32526</vt:lpwstr>
      </vt:variant>
      <vt:variant>
        <vt:lpwstr/>
      </vt:variant>
      <vt:variant>
        <vt:i4>4259854</vt:i4>
      </vt:variant>
      <vt:variant>
        <vt:i4>270</vt:i4>
      </vt:variant>
      <vt:variant>
        <vt:i4>0</vt:i4>
      </vt:variant>
      <vt:variant>
        <vt:i4>5</vt:i4>
      </vt:variant>
      <vt:variant>
        <vt:lpwstr>https://meetings.wcpfc.int/node/32525</vt:lpwstr>
      </vt:variant>
      <vt:variant>
        <vt:lpwstr/>
      </vt:variant>
      <vt:variant>
        <vt:i4>4259854</vt:i4>
      </vt:variant>
      <vt:variant>
        <vt:i4>267</vt:i4>
      </vt:variant>
      <vt:variant>
        <vt:i4>0</vt:i4>
      </vt:variant>
      <vt:variant>
        <vt:i4>5</vt:i4>
      </vt:variant>
      <vt:variant>
        <vt:lpwstr>https://meetings.wcpfc.int/node/32524</vt:lpwstr>
      </vt:variant>
      <vt:variant>
        <vt:lpwstr/>
      </vt:variant>
      <vt:variant>
        <vt:i4>4390925</vt:i4>
      </vt:variant>
      <vt:variant>
        <vt:i4>264</vt:i4>
      </vt:variant>
      <vt:variant>
        <vt:i4>0</vt:i4>
      </vt:variant>
      <vt:variant>
        <vt:i4>5</vt:i4>
      </vt:variant>
      <vt:variant>
        <vt:lpwstr>https://meetings.wcpfc.int/node/32609</vt:lpwstr>
      </vt:variant>
      <vt:variant>
        <vt:lpwstr/>
      </vt:variant>
      <vt:variant>
        <vt:i4>4194319</vt:i4>
      </vt:variant>
      <vt:variant>
        <vt:i4>261</vt:i4>
      </vt:variant>
      <vt:variant>
        <vt:i4>0</vt:i4>
      </vt:variant>
      <vt:variant>
        <vt:i4>5</vt:i4>
      </vt:variant>
      <vt:variant>
        <vt:lpwstr>https://meetings.wcpfc.int/node/32436</vt:lpwstr>
      </vt:variant>
      <vt:variant>
        <vt:lpwstr/>
      </vt:variant>
      <vt:variant>
        <vt:i4>4587528</vt:i4>
      </vt:variant>
      <vt:variant>
        <vt:i4>258</vt:i4>
      </vt:variant>
      <vt:variant>
        <vt:i4>0</vt:i4>
      </vt:variant>
      <vt:variant>
        <vt:i4>5</vt:i4>
      </vt:variant>
      <vt:variant>
        <vt:lpwstr>https://meetings.wcpfc.int/node/32358</vt:lpwstr>
      </vt:variant>
      <vt:variant>
        <vt:lpwstr/>
      </vt:variant>
      <vt:variant>
        <vt:i4>4456463</vt:i4>
      </vt:variant>
      <vt:variant>
        <vt:i4>255</vt:i4>
      </vt:variant>
      <vt:variant>
        <vt:i4>0</vt:i4>
      </vt:variant>
      <vt:variant>
        <vt:i4>5</vt:i4>
      </vt:variant>
      <vt:variant>
        <vt:lpwstr>https://meetings.wcpfc.int/node/32478</vt:lpwstr>
      </vt:variant>
      <vt:variant>
        <vt:lpwstr/>
      </vt:variant>
      <vt:variant>
        <vt:i4>4915210</vt:i4>
      </vt:variant>
      <vt:variant>
        <vt:i4>252</vt:i4>
      </vt:variant>
      <vt:variant>
        <vt:i4>0</vt:i4>
      </vt:variant>
      <vt:variant>
        <vt:i4>5</vt:i4>
      </vt:variant>
      <vt:variant>
        <vt:lpwstr>https://meetings.wcpfc.int/node/32186</vt:lpwstr>
      </vt:variant>
      <vt:variant>
        <vt:lpwstr/>
      </vt:variant>
      <vt:variant>
        <vt:i4>4587533</vt:i4>
      </vt:variant>
      <vt:variant>
        <vt:i4>246</vt:i4>
      </vt:variant>
      <vt:variant>
        <vt:i4>0</vt:i4>
      </vt:variant>
      <vt:variant>
        <vt:i4>5</vt:i4>
      </vt:variant>
      <vt:variant>
        <vt:lpwstr>https://meetings.wcpfc.int/node/32657</vt:lpwstr>
      </vt:variant>
      <vt:variant>
        <vt:lpwstr/>
      </vt:variant>
      <vt:variant>
        <vt:i4>4456461</vt:i4>
      </vt:variant>
      <vt:variant>
        <vt:i4>243</vt:i4>
      </vt:variant>
      <vt:variant>
        <vt:i4>0</vt:i4>
      </vt:variant>
      <vt:variant>
        <vt:i4>5</vt:i4>
      </vt:variant>
      <vt:variant>
        <vt:lpwstr>https://meetings.wcpfc.int/node/32678</vt:lpwstr>
      </vt:variant>
      <vt:variant>
        <vt:lpwstr/>
      </vt:variant>
      <vt:variant>
        <vt:i4>4653071</vt:i4>
      </vt:variant>
      <vt:variant>
        <vt:i4>240</vt:i4>
      </vt:variant>
      <vt:variant>
        <vt:i4>0</vt:i4>
      </vt:variant>
      <vt:variant>
        <vt:i4>5</vt:i4>
      </vt:variant>
      <vt:variant>
        <vt:lpwstr>https://meetings.wcpfc.int/node/32444</vt:lpwstr>
      </vt:variant>
      <vt:variant>
        <vt:lpwstr/>
      </vt:variant>
      <vt:variant>
        <vt:i4>4587528</vt:i4>
      </vt:variant>
      <vt:variant>
        <vt:i4>237</vt:i4>
      </vt:variant>
      <vt:variant>
        <vt:i4>0</vt:i4>
      </vt:variant>
      <vt:variant>
        <vt:i4>5</vt:i4>
      </vt:variant>
      <vt:variant>
        <vt:lpwstr>https://meetings.wcpfc.int/node/32357</vt:lpwstr>
      </vt:variant>
      <vt:variant>
        <vt:lpwstr/>
      </vt:variant>
      <vt:variant>
        <vt:i4>4653065</vt:i4>
      </vt:variant>
      <vt:variant>
        <vt:i4>234</vt:i4>
      </vt:variant>
      <vt:variant>
        <vt:i4>0</vt:i4>
      </vt:variant>
      <vt:variant>
        <vt:i4>5</vt:i4>
      </vt:variant>
      <vt:variant>
        <vt:lpwstr>https://meetings.wcpfc.int/node/32247</vt:lpwstr>
      </vt:variant>
      <vt:variant>
        <vt:lpwstr/>
      </vt:variant>
      <vt:variant>
        <vt:i4>4587534</vt:i4>
      </vt:variant>
      <vt:variant>
        <vt:i4>231</vt:i4>
      </vt:variant>
      <vt:variant>
        <vt:i4>0</vt:i4>
      </vt:variant>
      <vt:variant>
        <vt:i4>5</vt:i4>
      </vt:variant>
      <vt:variant>
        <vt:lpwstr>https://meetings.wcpfc.int/node/32552</vt:lpwstr>
      </vt:variant>
      <vt:variant>
        <vt:lpwstr/>
      </vt:variant>
      <vt:variant>
        <vt:i4>4521993</vt:i4>
      </vt:variant>
      <vt:variant>
        <vt:i4>228</vt:i4>
      </vt:variant>
      <vt:variant>
        <vt:i4>0</vt:i4>
      </vt:variant>
      <vt:variant>
        <vt:i4>5</vt:i4>
      </vt:variant>
      <vt:variant>
        <vt:lpwstr>https://meetings.wcpfc.int/node/32267</vt:lpwstr>
      </vt:variant>
      <vt:variant>
        <vt:lpwstr/>
      </vt:variant>
      <vt:variant>
        <vt:i4>4915209</vt:i4>
      </vt:variant>
      <vt:variant>
        <vt:i4>225</vt:i4>
      </vt:variant>
      <vt:variant>
        <vt:i4>0</vt:i4>
      </vt:variant>
      <vt:variant>
        <vt:i4>5</vt:i4>
      </vt:variant>
      <vt:variant>
        <vt:lpwstr>https://meetings.wcpfc.int/node/32284</vt:lpwstr>
      </vt:variant>
      <vt:variant>
        <vt:lpwstr/>
      </vt:variant>
      <vt:variant>
        <vt:i4>4259848</vt:i4>
      </vt:variant>
      <vt:variant>
        <vt:i4>222</vt:i4>
      </vt:variant>
      <vt:variant>
        <vt:i4>0</vt:i4>
      </vt:variant>
      <vt:variant>
        <vt:i4>5</vt:i4>
      </vt:variant>
      <vt:variant>
        <vt:lpwstr>https://meetings.wcpfc.int/node/32326</vt:lpwstr>
      </vt:variant>
      <vt:variant>
        <vt:lpwstr/>
      </vt:variant>
      <vt:variant>
        <vt:i4>4259855</vt:i4>
      </vt:variant>
      <vt:variant>
        <vt:i4>219</vt:i4>
      </vt:variant>
      <vt:variant>
        <vt:i4>0</vt:i4>
      </vt:variant>
      <vt:variant>
        <vt:i4>5</vt:i4>
      </vt:variant>
      <vt:variant>
        <vt:lpwstr>https://meetings.wcpfc.int/node/32425</vt:lpwstr>
      </vt:variant>
      <vt:variant>
        <vt:lpwstr/>
      </vt:variant>
      <vt:variant>
        <vt:i4>7667788</vt:i4>
      </vt:variant>
      <vt:variant>
        <vt:i4>216</vt:i4>
      </vt:variant>
      <vt:variant>
        <vt:i4>0</vt:i4>
      </vt:variant>
      <vt:variant>
        <vt:i4>5</vt:i4>
      </vt:variant>
      <vt:variant>
        <vt:lpwstr>mailto:discards@wcpfc.int</vt:lpwstr>
      </vt:variant>
      <vt:variant>
        <vt:lpwstr/>
      </vt:variant>
      <vt:variant>
        <vt:i4>4456462</vt:i4>
      </vt:variant>
      <vt:variant>
        <vt:i4>213</vt:i4>
      </vt:variant>
      <vt:variant>
        <vt:i4>0</vt:i4>
      </vt:variant>
      <vt:variant>
        <vt:i4>5</vt:i4>
      </vt:variant>
      <vt:variant>
        <vt:lpwstr>https://meetings.wcpfc.int/node/32572</vt:lpwstr>
      </vt:variant>
      <vt:variant>
        <vt:lpwstr/>
      </vt:variant>
      <vt:variant>
        <vt:i4>4259855</vt:i4>
      </vt:variant>
      <vt:variant>
        <vt:i4>210</vt:i4>
      </vt:variant>
      <vt:variant>
        <vt:i4>0</vt:i4>
      </vt:variant>
      <vt:variant>
        <vt:i4>5</vt:i4>
      </vt:variant>
      <vt:variant>
        <vt:lpwstr>https://meetings.wcpfc.int/node/32424</vt:lpwstr>
      </vt:variant>
      <vt:variant>
        <vt:lpwstr/>
      </vt:variant>
      <vt:variant>
        <vt:i4>4194312</vt:i4>
      </vt:variant>
      <vt:variant>
        <vt:i4>207</vt:i4>
      </vt:variant>
      <vt:variant>
        <vt:i4>0</vt:i4>
      </vt:variant>
      <vt:variant>
        <vt:i4>5</vt:i4>
      </vt:variant>
      <vt:variant>
        <vt:lpwstr>https://meetings.wcpfc.int/node/32330</vt:lpwstr>
      </vt:variant>
      <vt:variant>
        <vt:lpwstr/>
      </vt:variant>
      <vt:variant>
        <vt:i4>4456463</vt:i4>
      </vt:variant>
      <vt:variant>
        <vt:i4>204</vt:i4>
      </vt:variant>
      <vt:variant>
        <vt:i4>0</vt:i4>
      </vt:variant>
      <vt:variant>
        <vt:i4>5</vt:i4>
      </vt:variant>
      <vt:variant>
        <vt:lpwstr>https://meetings.wcpfc.int/node/32474</vt:lpwstr>
      </vt:variant>
      <vt:variant>
        <vt:lpwstr/>
      </vt:variant>
      <vt:variant>
        <vt:i4>4587529</vt:i4>
      </vt:variant>
      <vt:variant>
        <vt:i4>201</vt:i4>
      </vt:variant>
      <vt:variant>
        <vt:i4>0</vt:i4>
      </vt:variant>
      <vt:variant>
        <vt:i4>5</vt:i4>
      </vt:variant>
      <vt:variant>
        <vt:lpwstr>https://meetings.wcpfc.int/node/32255</vt:lpwstr>
      </vt:variant>
      <vt:variant>
        <vt:lpwstr/>
      </vt:variant>
      <vt:variant>
        <vt:i4>4915209</vt:i4>
      </vt:variant>
      <vt:variant>
        <vt:i4>198</vt:i4>
      </vt:variant>
      <vt:variant>
        <vt:i4>0</vt:i4>
      </vt:variant>
      <vt:variant>
        <vt:i4>5</vt:i4>
      </vt:variant>
      <vt:variant>
        <vt:lpwstr>https://meetings.wcpfc.int/node/32282</vt:lpwstr>
      </vt:variant>
      <vt:variant>
        <vt:lpwstr/>
      </vt:variant>
      <vt:variant>
        <vt:i4>4259848</vt:i4>
      </vt:variant>
      <vt:variant>
        <vt:i4>195</vt:i4>
      </vt:variant>
      <vt:variant>
        <vt:i4>0</vt:i4>
      </vt:variant>
      <vt:variant>
        <vt:i4>5</vt:i4>
      </vt:variant>
      <vt:variant>
        <vt:lpwstr>https://meetings.wcpfc.int/node/32329</vt:lpwstr>
      </vt:variant>
      <vt:variant>
        <vt:lpwstr/>
      </vt:variant>
      <vt:variant>
        <vt:i4>4915215</vt:i4>
      </vt:variant>
      <vt:variant>
        <vt:i4>192</vt:i4>
      </vt:variant>
      <vt:variant>
        <vt:i4>0</vt:i4>
      </vt:variant>
      <vt:variant>
        <vt:i4>5</vt:i4>
      </vt:variant>
      <vt:variant>
        <vt:lpwstr>https://meetings.wcpfc.int/node/32488</vt:lpwstr>
      </vt:variant>
      <vt:variant>
        <vt:lpwstr/>
      </vt:variant>
      <vt:variant>
        <vt:i4>4325384</vt:i4>
      </vt:variant>
      <vt:variant>
        <vt:i4>189</vt:i4>
      </vt:variant>
      <vt:variant>
        <vt:i4>0</vt:i4>
      </vt:variant>
      <vt:variant>
        <vt:i4>5</vt:i4>
      </vt:variant>
      <vt:variant>
        <vt:lpwstr>https://meetings.wcpfc.int/node/32317</vt:lpwstr>
      </vt:variant>
      <vt:variant>
        <vt:lpwstr/>
      </vt:variant>
      <vt:variant>
        <vt:i4>4521998</vt:i4>
      </vt:variant>
      <vt:variant>
        <vt:i4>186</vt:i4>
      </vt:variant>
      <vt:variant>
        <vt:i4>0</vt:i4>
      </vt:variant>
      <vt:variant>
        <vt:i4>5</vt:i4>
      </vt:variant>
      <vt:variant>
        <vt:lpwstr>https://meetings.wcpfc.int/node/32567</vt:lpwstr>
      </vt:variant>
      <vt:variant>
        <vt:lpwstr/>
      </vt:variant>
      <vt:variant>
        <vt:i4>4915214</vt:i4>
      </vt:variant>
      <vt:variant>
        <vt:i4>183</vt:i4>
      </vt:variant>
      <vt:variant>
        <vt:i4>0</vt:i4>
      </vt:variant>
      <vt:variant>
        <vt:i4>5</vt:i4>
      </vt:variant>
      <vt:variant>
        <vt:lpwstr>https://meetings.wcpfc.int/node/32587</vt:lpwstr>
      </vt:variant>
      <vt:variant>
        <vt:lpwstr/>
      </vt:variant>
      <vt:variant>
        <vt:i4>4456462</vt:i4>
      </vt:variant>
      <vt:variant>
        <vt:i4>180</vt:i4>
      </vt:variant>
      <vt:variant>
        <vt:i4>0</vt:i4>
      </vt:variant>
      <vt:variant>
        <vt:i4>5</vt:i4>
      </vt:variant>
      <vt:variant>
        <vt:lpwstr>https://meetings.wcpfc.int/node/32575</vt:lpwstr>
      </vt:variant>
      <vt:variant>
        <vt:lpwstr/>
      </vt:variant>
      <vt:variant>
        <vt:i4>4587534</vt:i4>
      </vt:variant>
      <vt:variant>
        <vt:i4>177</vt:i4>
      </vt:variant>
      <vt:variant>
        <vt:i4>0</vt:i4>
      </vt:variant>
      <vt:variant>
        <vt:i4>5</vt:i4>
      </vt:variant>
      <vt:variant>
        <vt:lpwstr>https://meetings.wcpfc.int/node/32553</vt:lpwstr>
      </vt:variant>
      <vt:variant>
        <vt:lpwstr/>
      </vt:variant>
      <vt:variant>
        <vt:i4>1179705</vt:i4>
      </vt:variant>
      <vt:variant>
        <vt:i4>170</vt:i4>
      </vt:variant>
      <vt:variant>
        <vt:i4>0</vt:i4>
      </vt:variant>
      <vt:variant>
        <vt:i4>5</vt:i4>
      </vt:variant>
      <vt:variant>
        <vt:lpwstr/>
      </vt:variant>
      <vt:variant>
        <vt:lpwstr>_Toc239261450</vt:lpwstr>
      </vt:variant>
      <vt:variant>
        <vt:i4>1245241</vt:i4>
      </vt:variant>
      <vt:variant>
        <vt:i4>164</vt:i4>
      </vt:variant>
      <vt:variant>
        <vt:i4>0</vt:i4>
      </vt:variant>
      <vt:variant>
        <vt:i4>5</vt:i4>
      </vt:variant>
      <vt:variant>
        <vt:lpwstr/>
      </vt:variant>
      <vt:variant>
        <vt:lpwstr>_Toc239261449</vt:lpwstr>
      </vt:variant>
      <vt:variant>
        <vt:i4>1245241</vt:i4>
      </vt:variant>
      <vt:variant>
        <vt:i4>158</vt:i4>
      </vt:variant>
      <vt:variant>
        <vt:i4>0</vt:i4>
      </vt:variant>
      <vt:variant>
        <vt:i4>5</vt:i4>
      </vt:variant>
      <vt:variant>
        <vt:lpwstr/>
      </vt:variant>
      <vt:variant>
        <vt:lpwstr>_Toc239261448</vt:lpwstr>
      </vt:variant>
      <vt:variant>
        <vt:i4>1245241</vt:i4>
      </vt:variant>
      <vt:variant>
        <vt:i4>152</vt:i4>
      </vt:variant>
      <vt:variant>
        <vt:i4>0</vt:i4>
      </vt:variant>
      <vt:variant>
        <vt:i4>5</vt:i4>
      </vt:variant>
      <vt:variant>
        <vt:lpwstr/>
      </vt:variant>
      <vt:variant>
        <vt:lpwstr>_Toc239261447</vt:lpwstr>
      </vt:variant>
      <vt:variant>
        <vt:i4>1245241</vt:i4>
      </vt:variant>
      <vt:variant>
        <vt:i4>146</vt:i4>
      </vt:variant>
      <vt:variant>
        <vt:i4>0</vt:i4>
      </vt:variant>
      <vt:variant>
        <vt:i4>5</vt:i4>
      </vt:variant>
      <vt:variant>
        <vt:lpwstr/>
      </vt:variant>
      <vt:variant>
        <vt:lpwstr>_Toc239261446</vt:lpwstr>
      </vt:variant>
      <vt:variant>
        <vt:i4>1245241</vt:i4>
      </vt:variant>
      <vt:variant>
        <vt:i4>140</vt:i4>
      </vt:variant>
      <vt:variant>
        <vt:i4>0</vt:i4>
      </vt:variant>
      <vt:variant>
        <vt:i4>5</vt:i4>
      </vt:variant>
      <vt:variant>
        <vt:lpwstr/>
      </vt:variant>
      <vt:variant>
        <vt:lpwstr>_Toc239261445</vt:lpwstr>
      </vt:variant>
      <vt:variant>
        <vt:i4>1245241</vt:i4>
      </vt:variant>
      <vt:variant>
        <vt:i4>134</vt:i4>
      </vt:variant>
      <vt:variant>
        <vt:i4>0</vt:i4>
      </vt:variant>
      <vt:variant>
        <vt:i4>5</vt:i4>
      </vt:variant>
      <vt:variant>
        <vt:lpwstr/>
      </vt:variant>
      <vt:variant>
        <vt:lpwstr>_Toc239261444</vt:lpwstr>
      </vt:variant>
      <vt:variant>
        <vt:i4>1245241</vt:i4>
      </vt:variant>
      <vt:variant>
        <vt:i4>128</vt:i4>
      </vt:variant>
      <vt:variant>
        <vt:i4>0</vt:i4>
      </vt:variant>
      <vt:variant>
        <vt:i4>5</vt:i4>
      </vt:variant>
      <vt:variant>
        <vt:lpwstr/>
      </vt:variant>
      <vt:variant>
        <vt:lpwstr>_Toc239261443</vt:lpwstr>
      </vt:variant>
      <vt:variant>
        <vt:i4>1245241</vt:i4>
      </vt:variant>
      <vt:variant>
        <vt:i4>122</vt:i4>
      </vt:variant>
      <vt:variant>
        <vt:i4>0</vt:i4>
      </vt:variant>
      <vt:variant>
        <vt:i4>5</vt:i4>
      </vt:variant>
      <vt:variant>
        <vt:lpwstr/>
      </vt:variant>
      <vt:variant>
        <vt:lpwstr>_Toc239261442</vt:lpwstr>
      </vt:variant>
      <vt:variant>
        <vt:i4>1245241</vt:i4>
      </vt:variant>
      <vt:variant>
        <vt:i4>116</vt:i4>
      </vt:variant>
      <vt:variant>
        <vt:i4>0</vt:i4>
      </vt:variant>
      <vt:variant>
        <vt:i4>5</vt:i4>
      </vt:variant>
      <vt:variant>
        <vt:lpwstr/>
      </vt:variant>
      <vt:variant>
        <vt:lpwstr>_Toc239261441</vt:lpwstr>
      </vt:variant>
      <vt:variant>
        <vt:i4>1245241</vt:i4>
      </vt:variant>
      <vt:variant>
        <vt:i4>110</vt:i4>
      </vt:variant>
      <vt:variant>
        <vt:i4>0</vt:i4>
      </vt:variant>
      <vt:variant>
        <vt:i4>5</vt:i4>
      </vt:variant>
      <vt:variant>
        <vt:lpwstr/>
      </vt:variant>
      <vt:variant>
        <vt:lpwstr>_Toc239261440</vt:lpwstr>
      </vt:variant>
      <vt:variant>
        <vt:i4>1310777</vt:i4>
      </vt:variant>
      <vt:variant>
        <vt:i4>104</vt:i4>
      </vt:variant>
      <vt:variant>
        <vt:i4>0</vt:i4>
      </vt:variant>
      <vt:variant>
        <vt:i4>5</vt:i4>
      </vt:variant>
      <vt:variant>
        <vt:lpwstr/>
      </vt:variant>
      <vt:variant>
        <vt:lpwstr>_Toc239261439</vt:lpwstr>
      </vt:variant>
      <vt:variant>
        <vt:i4>1310777</vt:i4>
      </vt:variant>
      <vt:variant>
        <vt:i4>98</vt:i4>
      </vt:variant>
      <vt:variant>
        <vt:i4>0</vt:i4>
      </vt:variant>
      <vt:variant>
        <vt:i4>5</vt:i4>
      </vt:variant>
      <vt:variant>
        <vt:lpwstr/>
      </vt:variant>
      <vt:variant>
        <vt:lpwstr>_Toc239261438</vt:lpwstr>
      </vt:variant>
      <vt:variant>
        <vt:i4>1310777</vt:i4>
      </vt:variant>
      <vt:variant>
        <vt:i4>92</vt:i4>
      </vt:variant>
      <vt:variant>
        <vt:i4>0</vt:i4>
      </vt:variant>
      <vt:variant>
        <vt:i4>5</vt:i4>
      </vt:variant>
      <vt:variant>
        <vt:lpwstr/>
      </vt:variant>
      <vt:variant>
        <vt:lpwstr>_Toc239261437</vt:lpwstr>
      </vt:variant>
      <vt:variant>
        <vt:i4>1310777</vt:i4>
      </vt:variant>
      <vt:variant>
        <vt:i4>86</vt:i4>
      </vt:variant>
      <vt:variant>
        <vt:i4>0</vt:i4>
      </vt:variant>
      <vt:variant>
        <vt:i4>5</vt:i4>
      </vt:variant>
      <vt:variant>
        <vt:lpwstr/>
      </vt:variant>
      <vt:variant>
        <vt:lpwstr>_Toc239261436</vt:lpwstr>
      </vt:variant>
      <vt:variant>
        <vt:i4>1310777</vt:i4>
      </vt:variant>
      <vt:variant>
        <vt:i4>80</vt:i4>
      </vt:variant>
      <vt:variant>
        <vt:i4>0</vt:i4>
      </vt:variant>
      <vt:variant>
        <vt:i4>5</vt:i4>
      </vt:variant>
      <vt:variant>
        <vt:lpwstr/>
      </vt:variant>
      <vt:variant>
        <vt:lpwstr>_Toc239261435</vt:lpwstr>
      </vt:variant>
      <vt:variant>
        <vt:i4>1310777</vt:i4>
      </vt:variant>
      <vt:variant>
        <vt:i4>74</vt:i4>
      </vt:variant>
      <vt:variant>
        <vt:i4>0</vt:i4>
      </vt:variant>
      <vt:variant>
        <vt:i4>5</vt:i4>
      </vt:variant>
      <vt:variant>
        <vt:lpwstr/>
      </vt:variant>
      <vt:variant>
        <vt:lpwstr>_Toc239261434</vt:lpwstr>
      </vt:variant>
      <vt:variant>
        <vt:i4>1310777</vt:i4>
      </vt:variant>
      <vt:variant>
        <vt:i4>68</vt:i4>
      </vt:variant>
      <vt:variant>
        <vt:i4>0</vt:i4>
      </vt:variant>
      <vt:variant>
        <vt:i4>5</vt:i4>
      </vt:variant>
      <vt:variant>
        <vt:lpwstr/>
      </vt:variant>
      <vt:variant>
        <vt:lpwstr>_Toc239261433</vt:lpwstr>
      </vt:variant>
      <vt:variant>
        <vt:i4>1310777</vt:i4>
      </vt:variant>
      <vt:variant>
        <vt:i4>62</vt:i4>
      </vt:variant>
      <vt:variant>
        <vt:i4>0</vt:i4>
      </vt:variant>
      <vt:variant>
        <vt:i4>5</vt:i4>
      </vt:variant>
      <vt:variant>
        <vt:lpwstr/>
      </vt:variant>
      <vt:variant>
        <vt:lpwstr>_Toc239261432</vt:lpwstr>
      </vt:variant>
      <vt:variant>
        <vt:i4>1310777</vt:i4>
      </vt:variant>
      <vt:variant>
        <vt:i4>56</vt:i4>
      </vt:variant>
      <vt:variant>
        <vt:i4>0</vt:i4>
      </vt:variant>
      <vt:variant>
        <vt:i4>5</vt:i4>
      </vt:variant>
      <vt:variant>
        <vt:lpwstr/>
      </vt:variant>
      <vt:variant>
        <vt:lpwstr>_Toc239261431</vt:lpwstr>
      </vt:variant>
      <vt:variant>
        <vt:i4>1310777</vt:i4>
      </vt:variant>
      <vt:variant>
        <vt:i4>50</vt:i4>
      </vt:variant>
      <vt:variant>
        <vt:i4>0</vt:i4>
      </vt:variant>
      <vt:variant>
        <vt:i4>5</vt:i4>
      </vt:variant>
      <vt:variant>
        <vt:lpwstr/>
      </vt:variant>
      <vt:variant>
        <vt:lpwstr>_Toc239261430</vt:lpwstr>
      </vt:variant>
      <vt:variant>
        <vt:i4>1376313</vt:i4>
      </vt:variant>
      <vt:variant>
        <vt:i4>44</vt:i4>
      </vt:variant>
      <vt:variant>
        <vt:i4>0</vt:i4>
      </vt:variant>
      <vt:variant>
        <vt:i4>5</vt:i4>
      </vt:variant>
      <vt:variant>
        <vt:lpwstr/>
      </vt:variant>
      <vt:variant>
        <vt:lpwstr>_Toc239261429</vt:lpwstr>
      </vt:variant>
      <vt:variant>
        <vt:i4>1376313</vt:i4>
      </vt:variant>
      <vt:variant>
        <vt:i4>38</vt:i4>
      </vt:variant>
      <vt:variant>
        <vt:i4>0</vt:i4>
      </vt:variant>
      <vt:variant>
        <vt:i4>5</vt:i4>
      </vt:variant>
      <vt:variant>
        <vt:lpwstr/>
      </vt:variant>
      <vt:variant>
        <vt:lpwstr>_Toc239261428</vt:lpwstr>
      </vt:variant>
      <vt:variant>
        <vt:i4>1376313</vt:i4>
      </vt:variant>
      <vt:variant>
        <vt:i4>32</vt:i4>
      </vt:variant>
      <vt:variant>
        <vt:i4>0</vt:i4>
      </vt:variant>
      <vt:variant>
        <vt:i4>5</vt:i4>
      </vt:variant>
      <vt:variant>
        <vt:lpwstr/>
      </vt:variant>
      <vt:variant>
        <vt:lpwstr>_Toc239261427</vt:lpwstr>
      </vt:variant>
      <vt:variant>
        <vt:i4>1376313</vt:i4>
      </vt:variant>
      <vt:variant>
        <vt:i4>26</vt:i4>
      </vt:variant>
      <vt:variant>
        <vt:i4>0</vt:i4>
      </vt:variant>
      <vt:variant>
        <vt:i4>5</vt:i4>
      </vt:variant>
      <vt:variant>
        <vt:lpwstr/>
      </vt:variant>
      <vt:variant>
        <vt:lpwstr>_Toc239261426</vt:lpwstr>
      </vt:variant>
      <vt:variant>
        <vt:i4>1376313</vt:i4>
      </vt:variant>
      <vt:variant>
        <vt:i4>20</vt:i4>
      </vt:variant>
      <vt:variant>
        <vt:i4>0</vt:i4>
      </vt:variant>
      <vt:variant>
        <vt:i4>5</vt:i4>
      </vt:variant>
      <vt:variant>
        <vt:lpwstr/>
      </vt:variant>
      <vt:variant>
        <vt:lpwstr>_Toc239261425</vt:lpwstr>
      </vt:variant>
      <vt:variant>
        <vt:i4>1376313</vt:i4>
      </vt:variant>
      <vt:variant>
        <vt:i4>14</vt:i4>
      </vt:variant>
      <vt:variant>
        <vt:i4>0</vt:i4>
      </vt:variant>
      <vt:variant>
        <vt:i4>5</vt:i4>
      </vt:variant>
      <vt:variant>
        <vt:lpwstr/>
      </vt:variant>
      <vt:variant>
        <vt:lpwstr>_Toc239261424</vt:lpwstr>
      </vt:variant>
      <vt:variant>
        <vt:i4>1376313</vt:i4>
      </vt:variant>
      <vt:variant>
        <vt:i4>8</vt:i4>
      </vt:variant>
      <vt:variant>
        <vt:i4>0</vt:i4>
      </vt:variant>
      <vt:variant>
        <vt:i4>5</vt:i4>
      </vt:variant>
      <vt:variant>
        <vt:lpwstr/>
      </vt:variant>
      <vt:variant>
        <vt:lpwstr>_Toc239261423</vt:lpwstr>
      </vt:variant>
      <vt:variant>
        <vt:i4>1376313</vt:i4>
      </vt:variant>
      <vt:variant>
        <vt:i4>2</vt:i4>
      </vt:variant>
      <vt:variant>
        <vt:i4>0</vt:i4>
      </vt:variant>
      <vt:variant>
        <vt:i4>5</vt:i4>
      </vt:variant>
      <vt:variant>
        <vt:lpwstr/>
      </vt:variant>
      <vt:variant>
        <vt:lpwstr>_Toc239261422</vt:lpwstr>
      </vt:variant>
      <vt:variant>
        <vt:i4>7143540</vt:i4>
      </vt:variant>
      <vt:variant>
        <vt:i4>9</vt:i4>
      </vt:variant>
      <vt:variant>
        <vt:i4>0</vt:i4>
      </vt:variant>
      <vt:variant>
        <vt:i4>5</vt:i4>
      </vt:variant>
      <vt:variant>
        <vt:lpwstr>https://www.fao.org/fishery/en/collection/asfis/en</vt:lpwstr>
      </vt:variant>
      <vt:variant>
        <vt:lpwstr/>
      </vt:variant>
      <vt:variant>
        <vt:i4>7143540</vt:i4>
      </vt:variant>
      <vt:variant>
        <vt:i4>6</vt:i4>
      </vt:variant>
      <vt:variant>
        <vt:i4>0</vt:i4>
      </vt:variant>
      <vt:variant>
        <vt:i4>5</vt:i4>
      </vt:variant>
      <vt:variant>
        <vt:lpwstr>https://www.fao.org/fishery/en/collection/asfis/en</vt:lpwstr>
      </vt:variant>
      <vt:variant>
        <vt:lpwstr/>
      </vt:variant>
      <vt:variant>
        <vt:i4>7143540</vt:i4>
      </vt:variant>
      <vt:variant>
        <vt:i4>3</vt:i4>
      </vt:variant>
      <vt:variant>
        <vt:i4>0</vt:i4>
      </vt:variant>
      <vt:variant>
        <vt:i4>5</vt:i4>
      </vt:variant>
      <vt:variant>
        <vt:lpwstr>https://www.fao.org/fishery/en/collection/asfis/en</vt:lpwstr>
      </vt:variant>
      <vt:variant>
        <vt:lpwstr/>
      </vt:variant>
      <vt:variant>
        <vt:i4>7143540</vt:i4>
      </vt:variant>
      <vt:variant>
        <vt:i4>0</vt:i4>
      </vt:variant>
      <vt:variant>
        <vt:i4>0</vt:i4>
      </vt:variant>
      <vt:variant>
        <vt:i4>5</vt:i4>
      </vt:variant>
      <vt:variant>
        <vt:lpwstr>https://www.fao.org/fishery/en/collection/asfis/en</vt:lpwstr>
      </vt:variant>
      <vt:variant>
        <vt:lpwstr/>
      </vt:variant>
      <vt:variant>
        <vt:i4>4128855</vt:i4>
      </vt:variant>
      <vt:variant>
        <vt:i4>0</vt:i4>
      </vt:variant>
      <vt:variant>
        <vt:i4>0</vt:i4>
      </vt:variant>
      <vt:variant>
        <vt:i4>5</vt:i4>
      </vt:variant>
      <vt:variant>
        <vt:lpwstr>mailto:sungkwon.soh@wcpfc.int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Preferred Customer</dc:creator>
  <cp:keywords/>
  <dc:description/>
  <cp:lastModifiedBy>SungKwon Soh</cp:lastModifiedBy>
  <cp:revision>8</cp:revision>
  <cp:lastPrinted>2025-09-15T06:49:00Z</cp:lastPrinted>
  <dcterms:created xsi:type="dcterms:W3CDTF">2026-10-26T11:06:00Z</dcterms:created>
  <dcterms:modified xsi:type="dcterms:W3CDTF">2026-10-27T11:35:00Z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a27adaed-31a5-45b0-a9d8-29956b4f3b7c</vt:lpwstr>
  </property>
  <property fmtid="{D5CDD505-2E9C-101B-9397-08002B2CF9AE}" pid="3" name="ContentTypeId">
    <vt:lpwstr>0x010100A24DE81D111658488AAECEC1B495C82B</vt:lpwstr>
  </property>
  <property fmtid="{D5CDD505-2E9C-101B-9397-08002B2CF9AE}" pid="4" name="docLang">
    <vt:lpwstr>en</vt:lpwstr>
  </property>
</Properties>
</file>