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749" w14:textId="77777777" w:rsidR="000637AF" w:rsidRPr="00306AC4" w:rsidRDefault="000637AF" w:rsidP="000637AF">
      <w:pPr>
        <w:adjustRightInd w:val="0"/>
        <w:snapToGrid w:val="0"/>
        <w:jc w:val="center"/>
        <w:rPr>
          <w:rFonts w:ascii="Calibri" w:hAnsi="Calibri" w:cs="Calibri"/>
          <w:b/>
        </w:rPr>
      </w:pPr>
      <w:r w:rsidRPr="00306AC4">
        <w:rPr>
          <w:rFonts w:ascii="Calibri" w:hAnsi="Calibri" w:cs="Calibri"/>
          <w:b/>
        </w:rPr>
        <w:t xml:space="preserve">JOINT IATTC AND WCPFC-NC WORKING GROUP MEETING ON THE </w:t>
      </w:r>
    </w:p>
    <w:p w14:paraId="40CE9117" w14:textId="77777777" w:rsidR="000637AF" w:rsidRPr="00306AC4" w:rsidRDefault="000637AF" w:rsidP="000637AF">
      <w:pPr>
        <w:adjustRightInd w:val="0"/>
        <w:snapToGrid w:val="0"/>
        <w:jc w:val="center"/>
        <w:rPr>
          <w:rFonts w:ascii="Calibri" w:hAnsi="Calibri" w:cs="Calibri"/>
          <w:b/>
        </w:rPr>
      </w:pPr>
      <w:r w:rsidRPr="00306AC4">
        <w:rPr>
          <w:rFonts w:ascii="Calibri" w:hAnsi="Calibri" w:cs="Calibri"/>
          <w:b/>
        </w:rPr>
        <w:t>MANAGEMENT OF PACIFIC BLUEFIN TUNA</w:t>
      </w:r>
    </w:p>
    <w:p w14:paraId="59314159" w14:textId="624B006A" w:rsidR="000637AF" w:rsidRDefault="000637AF" w:rsidP="000637AF">
      <w:pPr>
        <w:adjustRightInd w:val="0"/>
        <w:snapToGrid w:val="0"/>
        <w:jc w:val="center"/>
        <w:rPr>
          <w:rFonts w:ascii="Calibri" w:eastAsia="Malgun Gothic" w:hAnsi="Calibri" w:cs="Calibri"/>
          <w:b/>
          <w:lang w:eastAsia="ko-KR"/>
        </w:rPr>
      </w:pPr>
      <w:r>
        <w:rPr>
          <w:rFonts w:ascii="Calibri" w:eastAsia="Malgun Gothic" w:hAnsi="Calibri" w:cs="Calibri" w:hint="eastAsia"/>
          <w:b/>
          <w:lang w:eastAsia="ko-KR"/>
        </w:rPr>
        <w:t>ELEVENTH</w:t>
      </w:r>
      <w:r w:rsidRPr="00306AC4">
        <w:rPr>
          <w:rFonts w:ascii="Calibri" w:eastAsia="Times New Roman" w:hAnsi="Calibri" w:cs="Calibri"/>
          <w:b/>
        </w:rPr>
        <w:t xml:space="preserve"> SESSION (JWG</w:t>
      </w:r>
      <w:r>
        <w:rPr>
          <w:rFonts w:ascii="Calibri" w:eastAsia="Malgun Gothic" w:hAnsi="Calibri" w:cs="Calibri" w:hint="eastAsia"/>
          <w:b/>
          <w:lang w:eastAsia="ko-KR"/>
        </w:rPr>
        <w:t>11</w:t>
      </w:r>
      <w:r w:rsidRPr="00306AC4">
        <w:rPr>
          <w:rFonts w:ascii="Calibri" w:eastAsia="Times New Roman" w:hAnsi="Calibri" w:cs="Calibri"/>
          <w:b/>
        </w:rPr>
        <w:t>)</w:t>
      </w:r>
    </w:p>
    <w:p w14:paraId="186E3938" w14:textId="59EE52B8" w:rsidR="00252618" w:rsidRPr="00CB0B9C" w:rsidRDefault="00BB02B8" w:rsidP="00BE3FD4">
      <w:pPr>
        <w:adjustRightInd w:val="0"/>
        <w:snapToGrid w:val="0"/>
        <w:spacing w:before="120"/>
        <w:jc w:val="center"/>
        <w:rPr>
          <w:rFonts w:ascii="Calibri" w:hAnsi="Calibri" w:cs="Calibri"/>
          <w:sz w:val="24"/>
          <w:lang w:val="en-NZ" w:eastAsia="ko-KR"/>
        </w:rPr>
      </w:pPr>
      <w:r>
        <w:rPr>
          <w:rFonts w:ascii="Calibri" w:eastAsia="Malgun Gothic" w:hAnsi="Calibri" w:cs="Calibri" w:hint="eastAsia"/>
          <w:sz w:val="24"/>
          <w:lang w:val="en-NZ" w:eastAsia="ko-KR"/>
        </w:rPr>
        <w:t>8</w:t>
      </w:r>
      <w:r w:rsidR="00252618" w:rsidRPr="00CB0B9C">
        <w:rPr>
          <w:rFonts w:ascii="Calibri" w:hAnsi="Calibri" w:cs="Calibri"/>
          <w:sz w:val="24"/>
          <w:lang w:val="en-NZ"/>
        </w:rPr>
        <w:t xml:space="preserve"> –</w:t>
      </w:r>
      <w:r w:rsidR="00252618" w:rsidRPr="00CB0B9C">
        <w:rPr>
          <w:rFonts w:ascii="Calibri" w:hAnsi="Calibri" w:cs="Calibri"/>
          <w:sz w:val="24"/>
          <w:lang w:val="en-NZ" w:eastAsia="ko-KR"/>
        </w:rPr>
        <w:t xml:space="preserve"> 1</w:t>
      </w:r>
      <w:r>
        <w:rPr>
          <w:rFonts w:ascii="Calibri" w:eastAsia="Malgun Gothic" w:hAnsi="Calibri" w:cs="Calibri" w:hint="eastAsia"/>
          <w:sz w:val="24"/>
          <w:lang w:val="en-NZ" w:eastAsia="ko-KR"/>
        </w:rPr>
        <w:t>1</w:t>
      </w:r>
      <w:r w:rsidR="00252618" w:rsidRPr="00CB0B9C">
        <w:rPr>
          <w:rFonts w:ascii="Calibri" w:hAnsi="Calibri" w:cs="Calibri"/>
          <w:sz w:val="24"/>
          <w:lang w:val="en-NZ"/>
        </w:rPr>
        <w:t xml:space="preserve"> July 202</w:t>
      </w:r>
      <w:r w:rsidR="00252618" w:rsidRPr="00CB0B9C">
        <w:rPr>
          <w:rFonts w:ascii="Calibri" w:hAnsi="Calibri" w:cs="Calibri"/>
          <w:sz w:val="24"/>
          <w:lang w:val="en-NZ" w:eastAsia="ko-KR"/>
        </w:rPr>
        <w:t>6</w:t>
      </w:r>
    </w:p>
    <w:p w14:paraId="5795EB2A" w14:textId="77777777" w:rsidR="00252618" w:rsidRPr="00CB0B9C" w:rsidRDefault="00252618" w:rsidP="00A15E52">
      <w:pPr>
        <w:adjustRightInd w:val="0"/>
        <w:snapToGrid w:val="0"/>
        <w:jc w:val="center"/>
        <w:rPr>
          <w:rFonts w:ascii="Calibri" w:hAnsi="Calibri" w:cs="Calibri"/>
          <w:sz w:val="24"/>
          <w:lang w:val="en-NZ" w:eastAsia="ko-KR"/>
        </w:rPr>
      </w:pPr>
      <w:r w:rsidRPr="00CB0B9C">
        <w:rPr>
          <w:rFonts w:ascii="Calibri" w:hAnsi="Calibri" w:cs="Calibri"/>
          <w:sz w:val="24"/>
          <w:lang w:val="en-NZ" w:eastAsia="ko-KR"/>
        </w:rPr>
        <w:t>Nagasaki, Japan (Hybrid)</w:t>
      </w:r>
    </w:p>
    <w:p w14:paraId="2D6B9196" w14:textId="15AD9150" w:rsidR="00252618" w:rsidRDefault="007447E0" w:rsidP="00A15E52">
      <w:pPr>
        <w:pStyle w:val="BodyText"/>
        <w:pBdr>
          <w:top w:val="single" w:sz="18" w:space="1" w:color="auto"/>
          <w:bottom w:val="single" w:sz="18" w:space="1" w:color="auto"/>
        </w:pBdr>
        <w:adjustRightInd w:val="0"/>
        <w:snapToGrid w:val="0"/>
        <w:rPr>
          <w:rFonts w:ascii="Calibri" w:hAnsi="Calibri" w:cs="Calibri"/>
          <w:b/>
          <w:bCs/>
        </w:rPr>
      </w:pPr>
      <w:r w:rsidRPr="00CB0B9C">
        <w:rPr>
          <w:rFonts w:ascii="Calibri" w:hAnsi="Calibri" w:cs="Calibri"/>
          <w:b/>
          <w:bCs/>
        </w:rPr>
        <w:t>INTERIM PACIFIC BLUEFIN TUNA MANAGEMENT PROCEDURE</w:t>
      </w:r>
    </w:p>
    <w:p w14:paraId="5AD9E054" w14:textId="00CE3163" w:rsidR="00B96C2C" w:rsidRPr="0005171C" w:rsidRDefault="00B96C2C" w:rsidP="00A15E52">
      <w:pPr>
        <w:pStyle w:val="BodyText"/>
        <w:pBdr>
          <w:top w:val="single" w:sz="18" w:space="1" w:color="auto"/>
          <w:bottom w:val="single" w:sz="18" w:space="1" w:color="auto"/>
        </w:pBdr>
        <w:adjustRightInd w:val="0"/>
        <w:snapToGrid w:val="0"/>
        <w:rPr>
          <w:rFonts w:ascii="Calibri" w:eastAsiaTheme="minorEastAsia" w:hAnsi="Calibri" w:cs="Calibri"/>
          <w:lang w:val="en-NZ" w:eastAsia="ko-KR"/>
        </w:rPr>
      </w:pPr>
      <w:r w:rsidRPr="0005171C">
        <w:rPr>
          <w:rFonts w:ascii="Calibri" w:hAnsi="Calibri" w:cs="Calibri" w:hint="eastAsia"/>
          <w:lang w:eastAsia="ko-KR"/>
        </w:rPr>
        <w:t xml:space="preserve">(CMM 2026-XX/RESOLUTION </w:t>
      </w:r>
      <w:r w:rsidR="0005171C" w:rsidRPr="0005171C">
        <w:rPr>
          <w:rFonts w:ascii="Calibri" w:hAnsi="Calibri" w:cs="Calibri" w:hint="eastAsia"/>
          <w:lang w:eastAsia="ko-KR"/>
        </w:rPr>
        <w:t>C-26-XX)</w:t>
      </w:r>
    </w:p>
    <w:p w14:paraId="00A49F4F" w14:textId="03866A09" w:rsidR="0078215E" w:rsidRPr="001F19CB" w:rsidRDefault="0078215E" w:rsidP="0078215E">
      <w:pPr>
        <w:adjustRightInd w:val="0"/>
        <w:snapToGrid w:val="0"/>
        <w:jc w:val="right"/>
        <w:rPr>
          <w:rFonts w:ascii="Calibri" w:eastAsia="Malgun Gothic" w:hAnsi="Calibri" w:cs="Calibri"/>
          <w:b/>
          <w:lang w:val="en-NZ" w:eastAsia="ko-KR"/>
        </w:rPr>
      </w:pPr>
      <w:r w:rsidRPr="00306AC4">
        <w:rPr>
          <w:rFonts w:ascii="Calibri" w:eastAsia="MS Mincho" w:hAnsi="Calibri" w:cs="Calibri"/>
          <w:b/>
          <w:lang w:val="en-NZ"/>
        </w:rPr>
        <w:t>IATTC-NC-JWG1</w:t>
      </w:r>
      <w:r>
        <w:rPr>
          <w:rFonts w:ascii="Calibri" w:eastAsia="Malgun Gothic" w:hAnsi="Calibri" w:cs="Calibri" w:hint="eastAsia"/>
          <w:b/>
          <w:lang w:val="en-NZ" w:eastAsia="ko-KR"/>
        </w:rPr>
        <w:t>1</w:t>
      </w:r>
      <w:r w:rsidRPr="00306AC4">
        <w:rPr>
          <w:rFonts w:ascii="Calibri" w:eastAsia="MS Mincho" w:hAnsi="Calibri" w:cs="Calibri"/>
          <w:b/>
          <w:lang w:val="en-NZ"/>
        </w:rPr>
        <w:t>-202</w:t>
      </w:r>
      <w:r>
        <w:rPr>
          <w:rFonts w:ascii="Calibri" w:eastAsia="Malgun Gothic" w:hAnsi="Calibri" w:cs="Calibri" w:hint="eastAsia"/>
          <w:b/>
          <w:lang w:val="en-NZ" w:eastAsia="ko-KR"/>
        </w:rPr>
        <w:t>6</w:t>
      </w:r>
      <w:r w:rsidR="001F19CB">
        <w:rPr>
          <w:rFonts w:ascii="Calibri" w:eastAsia="Malgun Gothic" w:hAnsi="Calibri" w:cs="Calibri" w:hint="eastAsia"/>
          <w:b/>
          <w:lang w:val="en-NZ" w:eastAsia="ko-KR"/>
        </w:rPr>
        <w:t>-</w:t>
      </w:r>
      <w:r w:rsidRPr="00306AC4">
        <w:rPr>
          <w:rFonts w:ascii="Calibri" w:hAnsi="Calibri" w:cs="Calibri"/>
          <w:b/>
          <w:lang w:val="en-NZ" w:eastAsia="ko-KR"/>
        </w:rPr>
        <w:t>WP0</w:t>
      </w:r>
      <w:r w:rsidR="000E7724">
        <w:rPr>
          <w:rFonts w:ascii="Calibri" w:hAnsi="Calibri" w:cs="Calibri"/>
          <w:b/>
          <w:lang w:val="en-NZ" w:eastAsia="ko-KR"/>
        </w:rPr>
        <w:t>2</w:t>
      </w:r>
    </w:p>
    <w:p w14:paraId="468043CF" w14:textId="0BAE2E11" w:rsidR="0078215E" w:rsidRPr="00306AC4" w:rsidRDefault="0078215E" w:rsidP="0078215E">
      <w:pPr>
        <w:adjustRightInd w:val="0"/>
        <w:snapToGrid w:val="0"/>
        <w:jc w:val="right"/>
        <w:rPr>
          <w:rFonts w:ascii="Calibri" w:hAnsi="Calibri" w:cs="Calibri"/>
          <w:b/>
          <w:lang w:val="en-NZ" w:eastAsia="ko-KR"/>
        </w:rPr>
      </w:pPr>
      <w:r w:rsidRPr="00306AC4">
        <w:rPr>
          <w:rFonts w:ascii="Calibri" w:hAnsi="Calibri" w:cs="Calibri"/>
          <w:b/>
          <w:lang w:val="en-NZ" w:eastAsia="ko-KR"/>
        </w:rPr>
        <w:t>(</w:t>
      </w:r>
      <w:r w:rsidRPr="00306AC4">
        <w:rPr>
          <w:rFonts w:ascii="Calibri" w:eastAsia="MS Mincho" w:hAnsi="Calibri" w:cs="Calibri"/>
          <w:b/>
          <w:lang w:val="en-NZ"/>
        </w:rPr>
        <w:t>WCPFC-NC</w:t>
      </w:r>
      <w:r w:rsidRPr="00306AC4">
        <w:rPr>
          <w:rFonts w:ascii="Calibri" w:hAnsi="Calibri" w:cs="Calibri"/>
          <w:b/>
          <w:lang w:val="en-NZ" w:eastAsia="ko-KR"/>
        </w:rPr>
        <w:t>2</w:t>
      </w:r>
      <w:r w:rsidR="00700842">
        <w:rPr>
          <w:rFonts w:ascii="Calibri" w:eastAsia="Malgun Gothic" w:hAnsi="Calibri" w:cs="Calibri" w:hint="eastAsia"/>
          <w:b/>
          <w:lang w:val="en-NZ" w:eastAsia="ko-KR"/>
        </w:rPr>
        <w:t>2</w:t>
      </w:r>
      <w:r w:rsidRPr="00306AC4">
        <w:rPr>
          <w:rFonts w:ascii="Calibri" w:eastAsia="MS Mincho" w:hAnsi="Calibri" w:cs="Calibri"/>
          <w:b/>
          <w:lang w:val="en-NZ"/>
        </w:rPr>
        <w:t>-202</w:t>
      </w:r>
      <w:r w:rsidR="00700842">
        <w:rPr>
          <w:rFonts w:ascii="Calibri" w:eastAsia="Malgun Gothic" w:hAnsi="Calibri" w:cs="Calibri" w:hint="eastAsia"/>
          <w:b/>
          <w:lang w:val="en-NZ" w:eastAsia="ko-KR"/>
        </w:rPr>
        <w:t>6</w:t>
      </w:r>
      <w:r w:rsidR="006B7ECF">
        <w:rPr>
          <w:rFonts w:ascii="Calibri" w:eastAsia="Malgun Gothic" w:hAnsi="Calibri" w:cs="Calibri" w:hint="eastAsia"/>
          <w:b/>
          <w:lang w:val="en-NZ" w:eastAsia="ko-KR"/>
        </w:rPr>
        <w:t>-</w:t>
      </w:r>
      <w:r w:rsidRPr="00306AC4">
        <w:rPr>
          <w:rFonts w:ascii="Calibri" w:hAnsi="Calibri" w:cs="Calibri"/>
          <w:b/>
          <w:lang w:val="en-NZ" w:eastAsia="ko-KR"/>
        </w:rPr>
        <w:t>WP0</w:t>
      </w:r>
      <w:r w:rsidR="00E53CAA">
        <w:rPr>
          <w:rFonts w:ascii="Calibri" w:eastAsia="Malgun Gothic" w:hAnsi="Calibri" w:cs="Calibri" w:hint="eastAsia"/>
          <w:b/>
          <w:lang w:val="en-NZ" w:eastAsia="ko-KR"/>
        </w:rPr>
        <w:t>4</w:t>
      </w:r>
      <w:r w:rsidRPr="00306AC4">
        <w:rPr>
          <w:rFonts w:ascii="Calibri" w:hAnsi="Calibri" w:cs="Calibri"/>
          <w:b/>
          <w:lang w:val="en-NZ" w:eastAsia="ko-KR"/>
        </w:rPr>
        <w:t>)</w:t>
      </w:r>
    </w:p>
    <w:p w14:paraId="16BDBC97" w14:textId="02FF0998" w:rsidR="00252618" w:rsidRPr="00CB0B9C" w:rsidRDefault="00F1652A" w:rsidP="00A15E52">
      <w:pPr>
        <w:adjustRightInd w:val="0"/>
        <w:snapToGrid w:val="0"/>
        <w:jc w:val="right"/>
        <w:rPr>
          <w:rFonts w:ascii="Calibri" w:hAnsi="Calibri" w:cs="Calibri"/>
          <w:b/>
          <w:sz w:val="24"/>
          <w:lang w:val="en-NZ" w:eastAsia="ko-KR"/>
        </w:rPr>
      </w:pPr>
      <w:r>
        <w:rPr>
          <w:rFonts w:ascii="Calibri" w:eastAsia="Malgun Gothic" w:hAnsi="Calibri" w:cs="Calibri" w:hint="eastAsia"/>
          <w:b/>
          <w:sz w:val="24"/>
          <w:lang w:val="en-NZ" w:eastAsia="ko-KR"/>
        </w:rPr>
        <w:t>13</w:t>
      </w:r>
      <w:r w:rsidR="00252618" w:rsidRPr="00CB0B9C">
        <w:rPr>
          <w:rFonts w:ascii="Calibri" w:hAnsi="Calibri" w:cs="Calibri"/>
          <w:b/>
          <w:sz w:val="24"/>
          <w:lang w:val="en-NZ" w:eastAsia="ko-KR"/>
        </w:rPr>
        <w:t xml:space="preserve"> June 2025</w:t>
      </w:r>
    </w:p>
    <w:p w14:paraId="3C8DA2F5" w14:textId="77777777" w:rsidR="00CB0B9C" w:rsidRPr="00CB0B9C" w:rsidRDefault="00CB0B9C" w:rsidP="00A15E52">
      <w:pPr>
        <w:autoSpaceDE w:val="0"/>
        <w:autoSpaceDN w:val="0"/>
        <w:adjustRightInd w:val="0"/>
        <w:jc w:val="center"/>
        <w:rPr>
          <w:rFonts w:ascii="Calibri" w:eastAsia="Malgun Gothic" w:hAnsi="Calibri" w:cs="Calibri"/>
          <w:kern w:val="0"/>
          <w:sz w:val="24"/>
          <w:lang w:eastAsia="ko-KR"/>
        </w:rPr>
      </w:pPr>
    </w:p>
    <w:p w14:paraId="7133A220" w14:textId="41BB35A2" w:rsidR="005508F5" w:rsidRPr="0005171C" w:rsidRDefault="0005171C" w:rsidP="00A15E52">
      <w:pPr>
        <w:autoSpaceDE w:val="0"/>
        <w:autoSpaceDN w:val="0"/>
        <w:adjustRightInd w:val="0"/>
        <w:jc w:val="center"/>
        <w:rPr>
          <w:rFonts w:ascii="Calibri" w:eastAsia="Malgun Gothic" w:hAnsi="Calibri" w:cs="Calibri"/>
          <w:b/>
          <w:bCs/>
          <w:kern w:val="0"/>
          <w:sz w:val="24"/>
          <w:lang w:eastAsia="ko-KR"/>
        </w:rPr>
      </w:pPr>
      <w:r>
        <w:rPr>
          <w:rFonts w:ascii="Calibri" w:eastAsia="Malgun Gothic" w:hAnsi="Calibri" w:cs="Calibri" w:hint="eastAsia"/>
          <w:b/>
          <w:bCs/>
          <w:kern w:val="0"/>
          <w:sz w:val="24"/>
          <w:lang w:eastAsia="ko-KR"/>
        </w:rPr>
        <w:t>PBFJWG</w:t>
      </w:r>
      <w:r w:rsidR="009D0D2D">
        <w:rPr>
          <w:rFonts w:ascii="Calibri" w:eastAsia="Malgun Gothic" w:hAnsi="Calibri" w:cs="Calibri" w:hint="eastAsia"/>
          <w:b/>
          <w:bCs/>
          <w:kern w:val="0"/>
          <w:sz w:val="24"/>
          <w:lang w:eastAsia="ko-KR"/>
        </w:rPr>
        <w:t xml:space="preserve"> Co-Chairs</w:t>
      </w:r>
    </w:p>
    <w:p w14:paraId="64DF88FA" w14:textId="77777777" w:rsidR="005508F5" w:rsidRPr="00CB0B9C" w:rsidRDefault="005508F5" w:rsidP="005313BF">
      <w:pPr>
        <w:autoSpaceDE w:val="0"/>
        <w:autoSpaceDN w:val="0"/>
        <w:adjustRightInd w:val="0"/>
        <w:rPr>
          <w:rFonts w:ascii="Calibri" w:hAnsi="Calibri" w:cs="Calibri"/>
          <w:kern w:val="0"/>
          <w:sz w:val="24"/>
        </w:rPr>
      </w:pPr>
    </w:p>
    <w:p w14:paraId="6E96D97A" w14:textId="56768FB0" w:rsidR="005508F5" w:rsidRPr="009D0D2D" w:rsidRDefault="005508F5"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The Western and Central Pacific Fisheries Commission (WCPFC) adopts, in accordance with Article 10 of the Convention, the following Conservation and Management Measure.</w:t>
      </w:r>
    </w:p>
    <w:p w14:paraId="04B8C919" w14:textId="77777777" w:rsidR="00A13ABA" w:rsidRPr="009D0D2D" w:rsidRDefault="00A13ABA" w:rsidP="005313BF">
      <w:pPr>
        <w:autoSpaceDE w:val="0"/>
        <w:autoSpaceDN w:val="0"/>
        <w:adjustRightInd w:val="0"/>
        <w:snapToGrid w:val="0"/>
        <w:rPr>
          <w:rFonts w:ascii="Calibri" w:hAnsi="Calibri" w:cs="Calibri"/>
          <w:kern w:val="0"/>
          <w:sz w:val="22"/>
          <w:szCs w:val="22"/>
        </w:rPr>
      </w:pPr>
    </w:p>
    <w:p w14:paraId="1AB193A9" w14:textId="20ACA485" w:rsidR="00200892" w:rsidRPr="009D0D2D" w:rsidRDefault="00200892"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The Inter-American Tropical Tuna Commission (IATTC) adopts, in accordance with</w:t>
      </w:r>
      <w:r w:rsidR="001F6932" w:rsidRPr="009D0D2D">
        <w:rPr>
          <w:rFonts w:ascii="Calibri" w:hAnsi="Calibri" w:cs="Calibri"/>
          <w:kern w:val="0"/>
          <w:sz w:val="22"/>
          <w:szCs w:val="22"/>
        </w:rPr>
        <w:t xml:space="preserve"> Article VII, paragraph 1(c)</w:t>
      </w:r>
      <w:r w:rsidR="00A13ABA" w:rsidRPr="009D0D2D">
        <w:rPr>
          <w:rFonts w:ascii="Calibri" w:hAnsi="Calibri" w:cs="Calibri"/>
          <w:kern w:val="0"/>
          <w:sz w:val="22"/>
          <w:szCs w:val="22"/>
        </w:rPr>
        <w:t xml:space="preserve"> of the Antigua Convention, the following Resolution.</w:t>
      </w:r>
    </w:p>
    <w:p w14:paraId="24E9A3BD" w14:textId="77777777" w:rsidR="005508F5" w:rsidRPr="009D0D2D" w:rsidRDefault="005508F5" w:rsidP="005313BF">
      <w:pPr>
        <w:autoSpaceDE w:val="0"/>
        <w:autoSpaceDN w:val="0"/>
        <w:adjustRightInd w:val="0"/>
        <w:snapToGrid w:val="0"/>
        <w:rPr>
          <w:rFonts w:ascii="Calibri" w:hAnsi="Calibri" w:cs="Calibri"/>
          <w:kern w:val="0"/>
          <w:sz w:val="22"/>
          <w:szCs w:val="22"/>
        </w:rPr>
      </w:pPr>
    </w:p>
    <w:p w14:paraId="2C22046C" w14:textId="27D7E2A4"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 xml:space="preserve">Objective </w:t>
      </w:r>
      <w:r w:rsidR="00682B02" w:rsidRPr="009D0D2D">
        <w:rPr>
          <w:rFonts w:ascii="Calibri" w:hAnsi="Calibri" w:cs="Calibri"/>
          <w:b/>
          <w:bCs/>
          <w:kern w:val="0"/>
          <w:sz w:val="22"/>
          <w:szCs w:val="22"/>
        </w:rPr>
        <w:t xml:space="preserve">and Implementation of </w:t>
      </w:r>
      <w:r w:rsidR="006E1620" w:rsidRPr="009D0D2D">
        <w:rPr>
          <w:rFonts w:ascii="Calibri" w:hAnsi="Calibri" w:cs="Calibri"/>
          <w:b/>
          <w:bCs/>
          <w:kern w:val="0"/>
          <w:sz w:val="22"/>
          <w:szCs w:val="22"/>
        </w:rPr>
        <w:t xml:space="preserve">the </w:t>
      </w:r>
      <w:r w:rsidR="003D0017" w:rsidRPr="009D0D2D">
        <w:rPr>
          <w:rFonts w:ascii="Calibri" w:hAnsi="Calibri" w:cs="Calibri"/>
          <w:b/>
          <w:bCs/>
          <w:kern w:val="0"/>
          <w:sz w:val="22"/>
          <w:szCs w:val="22"/>
        </w:rPr>
        <w:t>Interim Management Procedure (</w:t>
      </w:r>
      <w:r w:rsidR="00682B02" w:rsidRPr="009D0D2D">
        <w:rPr>
          <w:rFonts w:ascii="Calibri" w:hAnsi="Calibri" w:cs="Calibri"/>
          <w:b/>
          <w:bCs/>
          <w:kern w:val="0"/>
          <w:sz w:val="22"/>
          <w:szCs w:val="22"/>
        </w:rPr>
        <w:t>MP</w:t>
      </w:r>
      <w:r w:rsidR="003D0017" w:rsidRPr="009D0D2D">
        <w:rPr>
          <w:rFonts w:ascii="Calibri" w:hAnsi="Calibri" w:cs="Calibri"/>
          <w:b/>
          <w:bCs/>
          <w:kern w:val="0"/>
          <w:sz w:val="22"/>
          <w:szCs w:val="22"/>
        </w:rPr>
        <w:t>)</w:t>
      </w:r>
    </w:p>
    <w:p w14:paraId="6C7A868F" w14:textId="77777777" w:rsidR="000B74D7" w:rsidRPr="009D0D2D" w:rsidRDefault="000B74D7" w:rsidP="005313BF">
      <w:pPr>
        <w:autoSpaceDE w:val="0"/>
        <w:autoSpaceDN w:val="0"/>
        <w:adjustRightInd w:val="0"/>
        <w:snapToGrid w:val="0"/>
        <w:rPr>
          <w:rFonts w:ascii="Calibri" w:hAnsi="Calibri" w:cs="Calibri"/>
          <w:kern w:val="0"/>
          <w:sz w:val="22"/>
          <w:szCs w:val="22"/>
        </w:rPr>
      </w:pPr>
    </w:p>
    <w:p w14:paraId="78BFFB6E" w14:textId="77777777" w:rsidR="001039FB" w:rsidRPr="009D0D2D" w:rsidRDefault="00FD21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w:t>
      </w:r>
      <w:r w:rsidR="005508F5" w:rsidRPr="009D0D2D">
        <w:rPr>
          <w:rFonts w:ascii="Calibri" w:hAnsi="Calibri" w:cs="Calibri"/>
          <w:kern w:val="0"/>
          <w:sz w:val="22"/>
          <w:szCs w:val="22"/>
        </w:rPr>
        <w:t xml:space="preserve"> objective of the MP</w:t>
      </w:r>
      <w:r w:rsidR="003D0017" w:rsidRPr="009D0D2D">
        <w:rPr>
          <w:rFonts w:ascii="Calibri" w:hAnsi="Calibri" w:cs="Calibri"/>
          <w:kern w:val="0"/>
          <w:sz w:val="22"/>
          <w:szCs w:val="22"/>
        </w:rPr>
        <w:t xml:space="preserve"> </w:t>
      </w:r>
      <w:r w:rsidR="005508F5" w:rsidRPr="009D0D2D">
        <w:rPr>
          <w:rFonts w:ascii="Calibri" w:hAnsi="Calibri" w:cs="Calibri"/>
          <w:kern w:val="0"/>
          <w:sz w:val="22"/>
          <w:szCs w:val="22"/>
        </w:rPr>
        <w:t>for Pacific bluefin tuna</w:t>
      </w:r>
      <w:r w:rsidRPr="009D0D2D">
        <w:rPr>
          <w:rFonts w:ascii="Calibri" w:hAnsi="Calibri" w:cs="Calibri"/>
          <w:kern w:val="0"/>
          <w:sz w:val="22"/>
          <w:szCs w:val="22"/>
        </w:rPr>
        <w:t xml:space="preserve"> i</w:t>
      </w:r>
      <w:r w:rsidR="005508F5" w:rsidRPr="009D0D2D">
        <w:rPr>
          <w:rFonts w:ascii="Calibri" w:hAnsi="Calibri" w:cs="Calibri"/>
          <w:kern w:val="0"/>
          <w:sz w:val="22"/>
          <w:szCs w:val="22"/>
        </w:rPr>
        <w:t>s to ensure</w:t>
      </w:r>
      <w:r w:rsidR="005C086E" w:rsidRPr="009D0D2D">
        <w:rPr>
          <w:rFonts w:ascii="Calibri" w:hAnsi="Calibri" w:cs="Calibri"/>
          <w:kern w:val="0"/>
          <w:sz w:val="22"/>
          <w:szCs w:val="22"/>
        </w:rPr>
        <w:t xml:space="preserve"> that</w:t>
      </w:r>
      <w:r w:rsidR="009D7079" w:rsidRPr="009D0D2D">
        <w:rPr>
          <w:rFonts w:ascii="Calibri" w:hAnsi="Calibri" w:cs="Calibri"/>
          <w:kern w:val="0"/>
          <w:sz w:val="22"/>
          <w:szCs w:val="22"/>
        </w:rPr>
        <w:t>:</w:t>
      </w:r>
      <w:r w:rsidR="005508F5" w:rsidRPr="009D0D2D">
        <w:rPr>
          <w:rFonts w:ascii="Calibri" w:hAnsi="Calibri" w:cs="Calibri"/>
          <w:kern w:val="0"/>
          <w:sz w:val="22"/>
          <w:szCs w:val="22"/>
        </w:rPr>
        <w:t xml:space="preserve"> </w:t>
      </w:r>
    </w:p>
    <w:p w14:paraId="59B54E4F" w14:textId="77777777" w:rsidR="001039FB" w:rsidRPr="009D0D2D" w:rsidRDefault="005508F5" w:rsidP="00A15E52">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fishing mortality (F) is maintained at or below F</w:t>
      </w:r>
      <w:r w:rsidRPr="009D0D2D">
        <w:rPr>
          <w:rFonts w:ascii="Calibri" w:hAnsi="Calibri" w:cs="Calibri"/>
          <w:kern w:val="0"/>
          <w:sz w:val="22"/>
          <w:szCs w:val="22"/>
          <w:vertAlign w:val="subscript"/>
        </w:rPr>
        <w:t>TARGET</w:t>
      </w:r>
      <w:r w:rsidRPr="009D0D2D">
        <w:rPr>
          <w:rFonts w:ascii="Calibri" w:hAnsi="Calibri" w:cs="Calibri"/>
          <w:kern w:val="0"/>
          <w:sz w:val="22"/>
          <w:szCs w:val="22"/>
        </w:rPr>
        <w:t xml:space="preserve"> with a probability of at least 50 percent; </w:t>
      </w:r>
    </w:p>
    <w:p w14:paraId="7178CA99" w14:textId="77777777" w:rsidR="001039FB" w:rsidRPr="009D0D2D" w:rsidRDefault="005508F5" w:rsidP="00A15E52">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 xml:space="preserve">spawning stock biomass (SSB) is maintained above </w:t>
      </w:r>
      <w:r w:rsidR="00E27BD4" w:rsidRPr="009D0D2D">
        <w:rPr>
          <w:rFonts w:ascii="Calibri" w:hAnsi="Calibri" w:cs="Calibri"/>
          <w:kern w:val="0"/>
          <w:sz w:val="22"/>
          <w:szCs w:val="22"/>
        </w:rPr>
        <w:t>the Limit Reference Point (LRP)</w:t>
      </w:r>
      <w:r w:rsidR="00AE3D7C" w:rsidRPr="009D0D2D">
        <w:rPr>
          <w:rFonts w:ascii="Calibri" w:hAnsi="Calibri" w:cs="Calibri"/>
          <w:kern w:val="0"/>
          <w:sz w:val="22"/>
          <w:szCs w:val="22"/>
        </w:rPr>
        <w:t>, with a probability of at least 90%</w:t>
      </w:r>
      <w:r w:rsidRPr="009D0D2D">
        <w:rPr>
          <w:rFonts w:ascii="Calibri" w:hAnsi="Calibri" w:cs="Calibri"/>
          <w:kern w:val="0"/>
          <w:sz w:val="22"/>
          <w:szCs w:val="22"/>
        </w:rPr>
        <w:t>;</w:t>
      </w:r>
      <w:r w:rsidR="008D74C9" w:rsidRPr="009D0D2D">
        <w:rPr>
          <w:rFonts w:ascii="Calibri" w:hAnsi="Calibri" w:cs="Calibri"/>
          <w:kern w:val="0"/>
          <w:sz w:val="22"/>
          <w:szCs w:val="22"/>
        </w:rPr>
        <w:t xml:space="preserve"> and</w:t>
      </w:r>
    </w:p>
    <w:p w14:paraId="523AE951" w14:textId="77777777" w:rsidR="00030331" w:rsidRPr="009D0D2D" w:rsidRDefault="00DE188A" w:rsidP="00A15E52">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w:t>
      </w:r>
      <w:r w:rsidR="005508F5" w:rsidRPr="009D0D2D">
        <w:rPr>
          <w:rFonts w:ascii="Calibri" w:hAnsi="Calibri" w:cs="Calibri"/>
          <w:kern w:val="0"/>
          <w:sz w:val="22"/>
          <w:szCs w:val="22"/>
        </w:rPr>
        <w:t>an equitable balance in proportional fishery impact between the Western Central Pacific Ocean (WCPO) and the Eastern Pacific Ocean (EPO)</w:t>
      </w:r>
      <w:r w:rsidR="000375F3" w:rsidRPr="009D0D2D">
        <w:rPr>
          <w:rFonts w:ascii="Calibri" w:hAnsi="Calibri" w:cs="Calibri"/>
          <w:kern w:val="0"/>
          <w:sz w:val="22"/>
          <w:szCs w:val="22"/>
        </w:rPr>
        <w:t xml:space="preserve"> is being</w:t>
      </w:r>
      <w:r w:rsidR="00533727" w:rsidRPr="009D0D2D">
        <w:rPr>
          <w:rFonts w:ascii="Calibri" w:hAnsi="Calibri" w:cs="Calibri"/>
          <w:kern w:val="0"/>
          <w:sz w:val="22"/>
          <w:szCs w:val="22"/>
        </w:rPr>
        <w:t xml:space="preserve"> achieved gradually</w:t>
      </w:r>
      <w:r w:rsidR="003D0017" w:rsidRPr="009D0D2D">
        <w:rPr>
          <w:rFonts w:ascii="Calibri" w:hAnsi="Calibri" w:cs="Calibri"/>
          <w:kern w:val="0"/>
          <w:sz w:val="22"/>
          <w:szCs w:val="22"/>
        </w:rPr>
        <w:t>]</w:t>
      </w:r>
      <w:r w:rsidR="00BE4904" w:rsidRPr="009D0D2D">
        <w:rPr>
          <w:rFonts w:ascii="Calibri" w:hAnsi="Calibri" w:cs="Calibri"/>
          <w:kern w:val="0"/>
          <w:sz w:val="22"/>
          <w:szCs w:val="22"/>
        </w:rPr>
        <w:t>;</w:t>
      </w:r>
    </w:p>
    <w:p w14:paraId="51415509" w14:textId="1B7AD49A" w:rsidR="005508F5" w:rsidRPr="009D0D2D" w:rsidRDefault="001B5BF2" w:rsidP="005C7074">
      <w:pPr>
        <w:pStyle w:val="ListParagraph"/>
        <w:autoSpaceDE w:val="0"/>
        <w:autoSpaceDN w:val="0"/>
        <w:adjustRightInd w:val="0"/>
        <w:snapToGrid w:val="0"/>
        <w:ind w:left="0"/>
        <w:contextualSpacing w:val="0"/>
        <w:rPr>
          <w:rFonts w:ascii="Calibri" w:hAnsi="Calibri" w:cs="Calibri"/>
          <w:kern w:val="0"/>
          <w:sz w:val="22"/>
          <w:szCs w:val="22"/>
        </w:rPr>
      </w:pPr>
      <w:r w:rsidRPr="009D0D2D">
        <w:rPr>
          <w:rFonts w:ascii="Calibri" w:hAnsi="Calibri" w:cs="Calibri"/>
          <w:kern w:val="0"/>
          <w:sz w:val="22"/>
          <w:szCs w:val="22"/>
        </w:rPr>
        <w:t xml:space="preserve">with a view to </w:t>
      </w:r>
      <w:r w:rsidR="005508F5" w:rsidRPr="009D0D2D">
        <w:rPr>
          <w:rFonts w:ascii="Calibri" w:hAnsi="Calibri" w:cs="Calibri"/>
          <w:kern w:val="0"/>
          <w:sz w:val="22"/>
          <w:szCs w:val="22"/>
        </w:rPr>
        <w:t>maximiz</w:t>
      </w:r>
      <w:r w:rsidR="000375F3" w:rsidRPr="009D0D2D">
        <w:rPr>
          <w:rFonts w:ascii="Calibri" w:hAnsi="Calibri" w:cs="Calibri"/>
          <w:kern w:val="0"/>
          <w:sz w:val="22"/>
          <w:szCs w:val="22"/>
        </w:rPr>
        <w:t>ing</w:t>
      </w:r>
      <w:r w:rsidR="005508F5" w:rsidRPr="009D0D2D">
        <w:rPr>
          <w:rFonts w:ascii="Calibri" w:hAnsi="Calibri" w:cs="Calibri"/>
          <w:kern w:val="0"/>
          <w:sz w:val="22"/>
          <w:szCs w:val="22"/>
        </w:rPr>
        <w:t xml:space="preserve"> yield over the medium (5-10 years) and long (10-30 years) terms, as well as average annual yield from the fishery and </w:t>
      </w:r>
      <w:r w:rsidR="000375F3" w:rsidRPr="009D0D2D">
        <w:rPr>
          <w:rFonts w:ascii="Calibri" w:hAnsi="Calibri" w:cs="Calibri"/>
          <w:kern w:val="0"/>
          <w:sz w:val="22"/>
          <w:szCs w:val="22"/>
        </w:rPr>
        <w:t xml:space="preserve">increasing </w:t>
      </w:r>
      <w:r w:rsidR="005508F5" w:rsidRPr="009D0D2D">
        <w:rPr>
          <w:rFonts w:ascii="Calibri" w:hAnsi="Calibri" w:cs="Calibri"/>
          <w:kern w:val="0"/>
          <w:sz w:val="22"/>
          <w:szCs w:val="22"/>
        </w:rPr>
        <w:t>average annual catch in all fisheries across WCPFO and EPO, in a manner that achieves relative stability in fishing levels between management periods</w:t>
      </w:r>
      <w:r w:rsidR="006B0E14" w:rsidRPr="009D0D2D">
        <w:rPr>
          <w:rFonts w:ascii="Calibri" w:hAnsi="Calibri" w:cs="Calibri"/>
          <w:kern w:val="0"/>
          <w:sz w:val="22"/>
          <w:szCs w:val="22"/>
        </w:rPr>
        <w:t xml:space="preserve"> </w:t>
      </w:r>
      <w:r w:rsidR="00D4459F" w:rsidRPr="009D0D2D">
        <w:rPr>
          <w:rFonts w:ascii="Calibri" w:hAnsi="Calibri" w:cs="Calibri"/>
          <w:kern w:val="0"/>
          <w:sz w:val="22"/>
          <w:szCs w:val="22"/>
        </w:rPr>
        <w:t xml:space="preserve">and </w:t>
      </w:r>
      <w:r w:rsidR="007834D9" w:rsidRPr="009D0D2D">
        <w:rPr>
          <w:rFonts w:ascii="Calibri" w:hAnsi="Calibri" w:cs="Calibri"/>
          <w:kern w:val="0"/>
          <w:sz w:val="22"/>
          <w:szCs w:val="22"/>
        </w:rPr>
        <w:t xml:space="preserve">in </w:t>
      </w:r>
      <w:r w:rsidR="006B0E14" w:rsidRPr="009D0D2D">
        <w:rPr>
          <w:rFonts w:ascii="Calibri" w:hAnsi="Calibri" w:cs="Calibri"/>
          <w:kern w:val="0"/>
          <w:sz w:val="22"/>
          <w:szCs w:val="22"/>
        </w:rPr>
        <w:t xml:space="preserve">the </w:t>
      </w:r>
      <w:r w:rsidR="00D4459F" w:rsidRPr="009D0D2D">
        <w:rPr>
          <w:rFonts w:ascii="Calibri" w:hAnsi="Calibri" w:cs="Calibri"/>
          <w:kern w:val="0"/>
          <w:sz w:val="22"/>
          <w:szCs w:val="22"/>
        </w:rPr>
        <w:t>long</w:t>
      </w:r>
      <w:r w:rsidR="007834D9" w:rsidRPr="009D0D2D">
        <w:rPr>
          <w:rFonts w:ascii="Calibri" w:hAnsi="Calibri" w:cs="Calibri"/>
          <w:kern w:val="0"/>
          <w:sz w:val="22"/>
          <w:szCs w:val="22"/>
        </w:rPr>
        <w:t xml:space="preserve">er </w:t>
      </w:r>
      <w:r w:rsidR="00D4459F" w:rsidRPr="009D0D2D">
        <w:rPr>
          <w:rFonts w:ascii="Calibri" w:hAnsi="Calibri" w:cs="Calibri"/>
          <w:kern w:val="0"/>
          <w:sz w:val="22"/>
          <w:szCs w:val="22"/>
        </w:rPr>
        <w:t>term</w:t>
      </w:r>
      <w:r w:rsidR="005508F5" w:rsidRPr="009D0D2D">
        <w:rPr>
          <w:rFonts w:ascii="Calibri" w:hAnsi="Calibri" w:cs="Calibri"/>
          <w:kern w:val="0"/>
          <w:sz w:val="22"/>
          <w:szCs w:val="22"/>
        </w:rPr>
        <w:t>.</w:t>
      </w:r>
    </w:p>
    <w:p w14:paraId="7F877471" w14:textId="77777777" w:rsidR="005508F5" w:rsidRPr="009D0D2D" w:rsidRDefault="005508F5" w:rsidP="005313BF">
      <w:pPr>
        <w:autoSpaceDE w:val="0"/>
        <w:autoSpaceDN w:val="0"/>
        <w:adjustRightInd w:val="0"/>
        <w:snapToGrid w:val="0"/>
        <w:rPr>
          <w:rFonts w:ascii="Calibri" w:hAnsi="Calibri" w:cs="Calibri"/>
          <w:kern w:val="0"/>
          <w:sz w:val="22"/>
          <w:szCs w:val="22"/>
          <w:u w:val="single"/>
        </w:rPr>
      </w:pPr>
    </w:p>
    <w:p w14:paraId="3DC6A698" w14:textId="08678E77" w:rsidR="005508F5" w:rsidRPr="009D0D2D" w:rsidRDefault="00666458"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IATTC</w:t>
      </w:r>
      <w:r w:rsidR="001342A2" w:rsidRPr="009D0D2D">
        <w:rPr>
          <w:rFonts w:ascii="Calibri" w:hAnsi="Calibri" w:cs="Calibri"/>
          <w:kern w:val="0"/>
          <w:sz w:val="22"/>
          <w:szCs w:val="22"/>
        </w:rPr>
        <w:t>-</w:t>
      </w:r>
      <w:r w:rsidRPr="009D0D2D">
        <w:rPr>
          <w:rFonts w:ascii="Calibri" w:hAnsi="Calibri" w:cs="Calibri"/>
          <w:kern w:val="0"/>
          <w:sz w:val="22"/>
          <w:szCs w:val="22"/>
        </w:rPr>
        <w:t xml:space="preserve">WCPFC </w:t>
      </w:r>
      <w:r w:rsidR="00625B70" w:rsidRPr="009D0D2D">
        <w:rPr>
          <w:rFonts w:ascii="Calibri" w:hAnsi="Calibri" w:cs="Calibri"/>
          <w:kern w:val="0"/>
          <w:sz w:val="22"/>
          <w:szCs w:val="22"/>
        </w:rPr>
        <w:t xml:space="preserve">Northern Committee </w:t>
      </w:r>
      <w:r w:rsidRPr="009D0D2D">
        <w:rPr>
          <w:rFonts w:ascii="Calibri" w:hAnsi="Calibri" w:cs="Calibri"/>
          <w:kern w:val="0"/>
          <w:sz w:val="22"/>
          <w:szCs w:val="22"/>
        </w:rPr>
        <w:t>Joint Working Group on the Management of Pacific bluefin tuna (JWG)</w:t>
      </w:r>
      <w:r w:rsidR="00625B70" w:rsidRPr="009D0D2D">
        <w:rPr>
          <w:rFonts w:ascii="Calibri" w:hAnsi="Calibri" w:cs="Calibri"/>
          <w:kern w:val="0"/>
          <w:sz w:val="22"/>
          <w:szCs w:val="22"/>
        </w:rPr>
        <w:t xml:space="preserve"> </w:t>
      </w:r>
      <w:r w:rsidR="000375F3" w:rsidRPr="009D0D2D">
        <w:rPr>
          <w:rFonts w:ascii="Calibri" w:hAnsi="Calibri" w:cs="Calibri"/>
          <w:kern w:val="0"/>
          <w:sz w:val="22"/>
          <w:szCs w:val="22"/>
        </w:rPr>
        <w:t xml:space="preserve">is </w:t>
      </w:r>
      <w:r w:rsidR="009C26A7" w:rsidRPr="009D0D2D">
        <w:rPr>
          <w:rFonts w:ascii="Calibri" w:hAnsi="Calibri" w:cs="Calibri"/>
          <w:kern w:val="0"/>
          <w:sz w:val="22"/>
          <w:szCs w:val="22"/>
        </w:rPr>
        <w:t>held annually</w:t>
      </w:r>
      <w:r w:rsidR="000375F3" w:rsidRPr="009D0D2D">
        <w:rPr>
          <w:rFonts w:ascii="Calibri" w:hAnsi="Calibri" w:cs="Calibri"/>
          <w:kern w:val="0"/>
          <w:sz w:val="22"/>
          <w:szCs w:val="22"/>
        </w:rPr>
        <w:t xml:space="preserve"> to</w:t>
      </w:r>
      <w:r w:rsidR="00625B70" w:rsidRPr="009D0D2D">
        <w:rPr>
          <w:rFonts w:ascii="Calibri" w:hAnsi="Calibri" w:cs="Calibri"/>
          <w:kern w:val="0"/>
          <w:sz w:val="22"/>
          <w:szCs w:val="22"/>
        </w:rPr>
        <w:t xml:space="preserve"> provide recommendations </w:t>
      </w:r>
      <w:r w:rsidR="006149AF" w:rsidRPr="009D0D2D">
        <w:rPr>
          <w:rFonts w:ascii="Calibri" w:hAnsi="Calibri" w:cs="Calibri"/>
          <w:kern w:val="0"/>
          <w:sz w:val="22"/>
          <w:szCs w:val="22"/>
        </w:rPr>
        <w:t>on</w:t>
      </w:r>
      <w:r w:rsidR="00B13E74" w:rsidRPr="009D0D2D">
        <w:rPr>
          <w:rFonts w:ascii="Calibri" w:hAnsi="Calibri" w:cs="Calibri"/>
          <w:kern w:val="0"/>
          <w:sz w:val="22"/>
          <w:szCs w:val="22"/>
        </w:rPr>
        <w:t xml:space="preserve"> </w:t>
      </w:r>
      <w:r w:rsidR="005508F5" w:rsidRPr="009D0D2D">
        <w:rPr>
          <w:rFonts w:ascii="Calibri" w:hAnsi="Calibri" w:cs="Calibri"/>
          <w:kern w:val="0"/>
          <w:sz w:val="22"/>
          <w:szCs w:val="22"/>
        </w:rPr>
        <w:t xml:space="preserve">catch limits and other relevant measures </w:t>
      </w:r>
      <w:r w:rsidR="000B33B4" w:rsidRPr="009D0D2D">
        <w:rPr>
          <w:rFonts w:ascii="Calibri" w:hAnsi="Calibri" w:cs="Calibri"/>
          <w:kern w:val="0"/>
          <w:sz w:val="22"/>
          <w:szCs w:val="22"/>
        </w:rPr>
        <w:t>to the WCPFC</w:t>
      </w:r>
      <w:r w:rsidR="003A4BFB" w:rsidRPr="009D0D2D">
        <w:rPr>
          <w:rFonts w:ascii="Calibri" w:hAnsi="Calibri" w:cs="Calibri"/>
          <w:kern w:val="0"/>
          <w:sz w:val="22"/>
          <w:szCs w:val="22"/>
        </w:rPr>
        <w:t>-</w:t>
      </w:r>
      <w:r w:rsidR="000B33B4" w:rsidRPr="009D0D2D">
        <w:rPr>
          <w:rFonts w:ascii="Calibri" w:hAnsi="Calibri" w:cs="Calibri"/>
          <w:kern w:val="0"/>
          <w:sz w:val="22"/>
          <w:szCs w:val="22"/>
        </w:rPr>
        <w:t>NC and IATTC, respectively</w:t>
      </w:r>
      <w:r w:rsidR="00D97B70" w:rsidRPr="009D0D2D">
        <w:rPr>
          <w:rFonts w:ascii="Calibri" w:hAnsi="Calibri" w:cs="Calibri"/>
          <w:kern w:val="0"/>
          <w:sz w:val="22"/>
          <w:szCs w:val="22"/>
        </w:rPr>
        <w:t xml:space="preserve">, to implement </w:t>
      </w:r>
      <w:r w:rsidR="005508F5" w:rsidRPr="009D0D2D">
        <w:rPr>
          <w:rFonts w:ascii="Calibri" w:hAnsi="Calibri" w:cs="Calibri"/>
          <w:kern w:val="0"/>
          <w:sz w:val="22"/>
          <w:szCs w:val="22"/>
        </w:rPr>
        <w:t>a CMM</w:t>
      </w:r>
      <w:r w:rsidR="0015452E" w:rsidRPr="009D0D2D">
        <w:rPr>
          <w:rFonts w:ascii="Calibri" w:hAnsi="Calibri" w:cs="Calibri"/>
          <w:kern w:val="0"/>
          <w:sz w:val="22"/>
          <w:szCs w:val="22"/>
        </w:rPr>
        <w:t>/ Resolution</w:t>
      </w:r>
      <w:r w:rsidR="005508F5" w:rsidRPr="009D0D2D">
        <w:rPr>
          <w:rFonts w:ascii="Calibri" w:hAnsi="Calibri" w:cs="Calibri"/>
          <w:kern w:val="0"/>
          <w:sz w:val="22"/>
          <w:szCs w:val="22"/>
        </w:rPr>
        <w:t xml:space="preserve"> for each two-year period</w:t>
      </w:r>
      <w:r w:rsidR="00EE023E" w:rsidRPr="009D0D2D">
        <w:rPr>
          <w:rFonts w:ascii="Calibri" w:hAnsi="Calibri" w:cs="Calibri"/>
          <w:kern w:val="0"/>
          <w:sz w:val="22"/>
          <w:szCs w:val="22"/>
        </w:rPr>
        <w:t xml:space="preserve"> in the schedule</w:t>
      </w:r>
      <w:r w:rsidR="005508F5" w:rsidRPr="009D0D2D">
        <w:rPr>
          <w:rFonts w:ascii="Calibri" w:hAnsi="Calibri" w:cs="Calibri"/>
          <w:kern w:val="0"/>
          <w:sz w:val="22"/>
          <w:szCs w:val="22"/>
        </w:rPr>
        <w:t xml:space="preserve"> </w:t>
      </w:r>
      <w:r w:rsidR="00C87805" w:rsidRPr="009D0D2D">
        <w:rPr>
          <w:rFonts w:ascii="Calibri" w:hAnsi="Calibri" w:cs="Calibri"/>
          <w:kern w:val="0"/>
          <w:sz w:val="22"/>
          <w:szCs w:val="22"/>
        </w:rPr>
        <w:t>as</w:t>
      </w:r>
      <w:r w:rsidR="00EE023E" w:rsidRPr="009D0D2D">
        <w:rPr>
          <w:rFonts w:ascii="Calibri" w:hAnsi="Calibri" w:cs="Calibri"/>
          <w:kern w:val="0"/>
          <w:sz w:val="22"/>
          <w:szCs w:val="22"/>
        </w:rPr>
        <w:t xml:space="preserve"> </w:t>
      </w:r>
      <w:r w:rsidR="005508F5" w:rsidRPr="009D0D2D">
        <w:rPr>
          <w:rFonts w:ascii="Calibri" w:hAnsi="Calibri" w:cs="Calibri"/>
          <w:kern w:val="0"/>
          <w:sz w:val="22"/>
          <w:szCs w:val="22"/>
        </w:rPr>
        <w:t xml:space="preserve">described in paragraph </w:t>
      </w:r>
      <w:r w:rsidR="00804415" w:rsidRPr="009D0D2D">
        <w:rPr>
          <w:rFonts w:ascii="Calibri" w:hAnsi="Calibri" w:cs="Calibri"/>
          <w:kern w:val="0"/>
          <w:sz w:val="22"/>
          <w:szCs w:val="22"/>
        </w:rPr>
        <w:t>7</w:t>
      </w:r>
      <w:r w:rsidR="00CC461E" w:rsidRPr="009D0D2D">
        <w:rPr>
          <w:rFonts w:ascii="Calibri" w:hAnsi="Calibri" w:cs="Calibri"/>
          <w:kern w:val="0"/>
          <w:sz w:val="22"/>
          <w:szCs w:val="22"/>
        </w:rPr>
        <w:t xml:space="preserve"> </w:t>
      </w:r>
      <w:r w:rsidR="005508F5" w:rsidRPr="009D0D2D">
        <w:rPr>
          <w:rFonts w:ascii="Calibri" w:hAnsi="Calibri" w:cs="Calibri"/>
          <w:kern w:val="0"/>
          <w:sz w:val="22"/>
          <w:szCs w:val="22"/>
        </w:rPr>
        <w:t>below.</w:t>
      </w:r>
      <w:r w:rsidR="00B9461B" w:rsidRPr="009D0D2D">
        <w:rPr>
          <w:rFonts w:ascii="Calibri" w:hAnsi="Calibri" w:cs="Calibri"/>
          <w:kern w:val="0"/>
          <w:sz w:val="22"/>
          <w:szCs w:val="22"/>
        </w:rPr>
        <w:t xml:space="preserve"> </w:t>
      </w:r>
      <w:r w:rsidR="00A6436B" w:rsidRPr="009D0D2D">
        <w:rPr>
          <w:rFonts w:ascii="Calibri" w:hAnsi="Calibri" w:cs="Calibri"/>
          <w:kern w:val="0"/>
          <w:sz w:val="22"/>
          <w:szCs w:val="22"/>
        </w:rPr>
        <w:t xml:space="preserve">Catch limits </w:t>
      </w:r>
      <w:r w:rsidR="005E121B" w:rsidRPr="009D0D2D">
        <w:rPr>
          <w:rFonts w:ascii="Calibri" w:hAnsi="Calibri" w:cs="Calibri"/>
          <w:kern w:val="0"/>
          <w:sz w:val="22"/>
          <w:szCs w:val="22"/>
        </w:rPr>
        <w:t xml:space="preserve">and other </w:t>
      </w:r>
      <w:r w:rsidR="001A5B80" w:rsidRPr="009D0D2D">
        <w:rPr>
          <w:rFonts w:ascii="Calibri" w:hAnsi="Calibri" w:cs="Calibri"/>
          <w:kern w:val="0"/>
          <w:sz w:val="22"/>
          <w:szCs w:val="22"/>
        </w:rPr>
        <w:t xml:space="preserve">relevant </w:t>
      </w:r>
      <w:r w:rsidR="005E121B" w:rsidRPr="009D0D2D">
        <w:rPr>
          <w:rFonts w:ascii="Calibri" w:hAnsi="Calibri" w:cs="Calibri"/>
          <w:kern w:val="0"/>
          <w:sz w:val="22"/>
          <w:szCs w:val="22"/>
        </w:rPr>
        <w:t xml:space="preserve">measures </w:t>
      </w:r>
      <w:r w:rsidR="00BB3A27" w:rsidRPr="009D0D2D">
        <w:rPr>
          <w:rFonts w:ascii="Calibri" w:hAnsi="Calibri" w:cs="Calibri"/>
          <w:kern w:val="0"/>
          <w:sz w:val="22"/>
          <w:szCs w:val="22"/>
        </w:rPr>
        <w:t>may be a</w:t>
      </w:r>
      <w:r w:rsidR="008E68E0" w:rsidRPr="009D0D2D">
        <w:rPr>
          <w:rFonts w:ascii="Calibri" w:hAnsi="Calibri" w:cs="Calibri"/>
          <w:kern w:val="0"/>
          <w:sz w:val="22"/>
          <w:szCs w:val="22"/>
        </w:rPr>
        <w:t xml:space="preserve">djusted </w:t>
      </w:r>
      <w:r w:rsidR="00D615DF" w:rsidRPr="009D0D2D">
        <w:rPr>
          <w:rFonts w:ascii="Calibri" w:hAnsi="Calibri" w:cs="Calibri"/>
          <w:kern w:val="0"/>
          <w:sz w:val="22"/>
          <w:szCs w:val="22"/>
        </w:rPr>
        <w:t>for each two-year period but</w:t>
      </w:r>
      <w:r w:rsidR="00A232FA" w:rsidRPr="009D0D2D">
        <w:rPr>
          <w:rFonts w:ascii="Calibri" w:hAnsi="Calibri" w:cs="Calibri"/>
          <w:kern w:val="0"/>
          <w:sz w:val="22"/>
          <w:szCs w:val="22"/>
        </w:rPr>
        <w:t xml:space="preserve"> </w:t>
      </w:r>
      <w:r w:rsidR="009C26A7" w:rsidRPr="009D0D2D">
        <w:rPr>
          <w:rFonts w:ascii="Calibri" w:hAnsi="Calibri" w:cs="Calibri"/>
          <w:kern w:val="0"/>
          <w:sz w:val="22"/>
          <w:szCs w:val="22"/>
        </w:rPr>
        <w:t>shall</w:t>
      </w:r>
      <w:r w:rsidR="00584EDC" w:rsidRPr="009D0D2D">
        <w:rPr>
          <w:rFonts w:ascii="Calibri" w:hAnsi="Calibri" w:cs="Calibri"/>
          <w:kern w:val="0"/>
          <w:sz w:val="22"/>
          <w:szCs w:val="22"/>
        </w:rPr>
        <w:t xml:space="preserve"> be </w:t>
      </w:r>
      <w:r w:rsidR="00C87896" w:rsidRPr="009D0D2D">
        <w:rPr>
          <w:rFonts w:ascii="Calibri" w:hAnsi="Calibri" w:cs="Calibri"/>
          <w:kern w:val="0"/>
          <w:sz w:val="22"/>
          <w:szCs w:val="22"/>
        </w:rPr>
        <w:t>consistent</w:t>
      </w:r>
      <w:r w:rsidR="00584EDC" w:rsidRPr="009D0D2D">
        <w:rPr>
          <w:rFonts w:ascii="Calibri" w:hAnsi="Calibri" w:cs="Calibri"/>
          <w:kern w:val="0"/>
          <w:sz w:val="22"/>
          <w:szCs w:val="22"/>
        </w:rPr>
        <w:t xml:space="preserve"> with the MP output</w:t>
      </w:r>
      <w:r w:rsidR="00A6436B" w:rsidRPr="009D0D2D">
        <w:rPr>
          <w:rFonts w:ascii="Calibri" w:hAnsi="Calibri" w:cs="Calibri"/>
          <w:kern w:val="0"/>
          <w:sz w:val="22"/>
          <w:szCs w:val="22"/>
        </w:rPr>
        <w:t xml:space="preserve"> and the objectives of this CMM</w:t>
      </w:r>
      <w:r w:rsidR="000938AA" w:rsidRPr="009D0D2D">
        <w:rPr>
          <w:rFonts w:ascii="Calibri" w:hAnsi="Calibri" w:cs="Calibri"/>
          <w:kern w:val="0"/>
          <w:sz w:val="22"/>
          <w:szCs w:val="22"/>
        </w:rPr>
        <w:t>/ Resolution</w:t>
      </w:r>
      <w:r w:rsidR="00312628" w:rsidRPr="009D0D2D">
        <w:rPr>
          <w:rFonts w:ascii="Calibri" w:hAnsi="Calibri" w:cs="Calibri"/>
          <w:kern w:val="0"/>
          <w:sz w:val="22"/>
          <w:szCs w:val="22"/>
        </w:rPr>
        <w:t>.</w:t>
      </w:r>
      <w:r w:rsidR="005508F5" w:rsidRPr="009D0D2D">
        <w:rPr>
          <w:rFonts w:ascii="Calibri" w:hAnsi="Calibri" w:cs="Calibri"/>
          <w:kern w:val="0"/>
          <w:sz w:val="22"/>
          <w:szCs w:val="22"/>
        </w:rPr>
        <w:t> </w:t>
      </w:r>
    </w:p>
    <w:p w14:paraId="7B0B1A0A" w14:textId="77777777" w:rsidR="005A26FD" w:rsidRPr="009D0D2D" w:rsidRDefault="005A26FD" w:rsidP="005313BF">
      <w:pPr>
        <w:autoSpaceDE w:val="0"/>
        <w:autoSpaceDN w:val="0"/>
        <w:adjustRightInd w:val="0"/>
        <w:snapToGrid w:val="0"/>
        <w:rPr>
          <w:rFonts w:ascii="Calibri" w:hAnsi="Calibri" w:cs="Calibri"/>
          <w:kern w:val="0"/>
          <w:sz w:val="22"/>
          <w:szCs w:val="22"/>
        </w:rPr>
      </w:pPr>
    </w:p>
    <w:p w14:paraId="08F1DDAE" w14:textId="52900B37"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Reference Points</w:t>
      </w:r>
    </w:p>
    <w:p w14:paraId="28C934DD" w14:textId="77777777" w:rsidR="002554D3" w:rsidRPr="009D0D2D" w:rsidRDefault="002554D3" w:rsidP="005313BF">
      <w:pPr>
        <w:pStyle w:val="ListParagraph"/>
        <w:autoSpaceDE w:val="0"/>
        <w:autoSpaceDN w:val="0"/>
        <w:adjustRightInd w:val="0"/>
        <w:snapToGrid w:val="0"/>
        <w:ind w:left="360"/>
        <w:contextualSpacing w:val="0"/>
        <w:rPr>
          <w:rFonts w:ascii="Calibri" w:hAnsi="Calibri" w:cs="Calibri"/>
          <w:kern w:val="0"/>
          <w:sz w:val="22"/>
          <w:szCs w:val="22"/>
        </w:rPr>
      </w:pPr>
    </w:p>
    <w:p w14:paraId="525A0AA5" w14:textId="77777777" w:rsidR="002554D3"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reference points are:</w:t>
      </w:r>
    </w:p>
    <w:p w14:paraId="1201BA72" w14:textId="77777777" w:rsidR="002554D3" w:rsidRPr="009D0D2D" w:rsidRDefault="005508F5"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Target reference point (TRP): F27.5%SP</w:t>
      </w:r>
      <w:r w:rsidR="00EE023E" w:rsidRPr="009D0D2D">
        <w:rPr>
          <w:rFonts w:ascii="Calibri" w:hAnsi="Calibri" w:cs="Calibri"/>
          <w:kern w:val="0"/>
          <w:sz w:val="22"/>
          <w:szCs w:val="22"/>
        </w:rPr>
        <w:t>R</w:t>
      </w:r>
      <w:r w:rsidRPr="009D0D2D">
        <w:rPr>
          <w:rFonts w:ascii="Calibri" w:hAnsi="Calibri" w:cs="Calibri"/>
          <w:kern w:val="0"/>
          <w:sz w:val="22"/>
          <w:szCs w:val="22"/>
        </w:rPr>
        <w:t>, which is the fishing intensity (F) level that results in the stock producing 27.5% of spawning potential ratio (SPR).</w:t>
      </w:r>
    </w:p>
    <w:p w14:paraId="45DEEFDA" w14:textId="127FF95A" w:rsidR="005508F5" w:rsidRPr="009D0D2D" w:rsidRDefault="005508F5"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Minimum allowed fishing intensity (F</w:t>
      </w:r>
      <w:r w:rsidRPr="009D0D2D">
        <w:rPr>
          <w:rFonts w:ascii="Calibri" w:hAnsi="Calibri" w:cs="Calibri"/>
          <w:kern w:val="0"/>
          <w:sz w:val="22"/>
          <w:szCs w:val="22"/>
          <w:vertAlign w:val="subscript"/>
        </w:rPr>
        <w:t>min</w:t>
      </w:r>
      <w:r w:rsidRPr="009D0D2D">
        <w:rPr>
          <w:rFonts w:ascii="Calibri" w:hAnsi="Calibri" w:cs="Calibri"/>
          <w:kern w:val="0"/>
          <w:sz w:val="22"/>
          <w:szCs w:val="22"/>
        </w:rPr>
        <w:t>) equal to F70%</w:t>
      </w:r>
      <w:r w:rsidR="00027C5B" w:rsidRPr="009D0D2D">
        <w:rPr>
          <w:rFonts w:ascii="Calibri" w:hAnsi="Calibri" w:cs="Calibri"/>
          <w:kern w:val="0"/>
          <w:sz w:val="22"/>
          <w:szCs w:val="22"/>
        </w:rPr>
        <w:t xml:space="preserve"> </w:t>
      </w:r>
      <w:r w:rsidRPr="009D0D2D">
        <w:rPr>
          <w:rFonts w:ascii="Calibri" w:hAnsi="Calibri" w:cs="Calibri"/>
          <w:kern w:val="0"/>
          <w:sz w:val="22"/>
          <w:szCs w:val="22"/>
        </w:rPr>
        <w:t>SPR, which is the F level that results in the stock producing</w:t>
      </w:r>
      <w:r w:rsidR="00EE023E" w:rsidRPr="009D0D2D">
        <w:rPr>
          <w:rFonts w:ascii="Calibri" w:hAnsi="Calibri" w:cs="Calibri"/>
          <w:kern w:val="0"/>
          <w:sz w:val="22"/>
          <w:szCs w:val="22"/>
        </w:rPr>
        <w:t xml:space="preserve"> 70</w:t>
      </w:r>
      <w:r w:rsidRPr="009D0D2D">
        <w:rPr>
          <w:rFonts w:ascii="Calibri" w:hAnsi="Calibri" w:cs="Calibri"/>
          <w:kern w:val="0"/>
          <w:sz w:val="22"/>
          <w:szCs w:val="22"/>
        </w:rPr>
        <w:t>% of</w:t>
      </w:r>
      <w:r w:rsidR="00EE023E" w:rsidRPr="009D0D2D">
        <w:rPr>
          <w:rFonts w:ascii="Calibri" w:hAnsi="Calibri" w:cs="Calibri"/>
          <w:kern w:val="0"/>
          <w:sz w:val="22"/>
          <w:szCs w:val="22"/>
        </w:rPr>
        <w:t xml:space="preserve"> </w:t>
      </w:r>
      <w:r w:rsidRPr="009D0D2D">
        <w:rPr>
          <w:rFonts w:ascii="Calibri" w:hAnsi="Calibri" w:cs="Calibri"/>
          <w:kern w:val="0"/>
          <w:sz w:val="22"/>
          <w:szCs w:val="22"/>
        </w:rPr>
        <w:t>SPR.</w:t>
      </w:r>
    </w:p>
    <w:p w14:paraId="6DDC9854" w14:textId="716FC247" w:rsidR="00D41539" w:rsidRPr="009D0D2D" w:rsidRDefault="00AF58AE"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lastRenderedPageBreak/>
        <w:t>Threshold reference point (SSB</w:t>
      </w:r>
      <w:r w:rsidRPr="009D0D2D">
        <w:rPr>
          <w:rFonts w:ascii="Calibri" w:hAnsi="Calibri" w:cs="Calibri"/>
          <w:kern w:val="0"/>
          <w:sz w:val="22"/>
          <w:szCs w:val="22"/>
          <w:vertAlign w:val="subscript"/>
        </w:rPr>
        <w:t>threshold</w:t>
      </w:r>
      <w:r w:rsidRPr="009D0D2D">
        <w:rPr>
          <w:rFonts w:ascii="Calibri" w:hAnsi="Calibri" w:cs="Calibri"/>
          <w:kern w:val="0"/>
          <w:sz w:val="22"/>
          <w:szCs w:val="22"/>
        </w:rPr>
        <w:t>)</w:t>
      </w:r>
      <w:r w:rsidR="005508F5" w:rsidRPr="009D0D2D">
        <w:rPr>
          <w:rFonts w:ascii="Calibri" w:hAnsi="Calibri" w:cs="Calibri"/>
          <w:kern w:val="0"/>
          <w:sz w:val="22"/>
          <w:szCs w:val="22"/>
        </w:rPr>
        <w:t>:</w:t>
      </w:r>
      <w:r w:rsidR="00027C5B" w:rsidRPr="009D0D2D">
        <w:rPr>
          <w:rFonts w:ascii="Calibri" w:hAnsi="Calibri" w:cs="Calibri"/>
          <w:kern w:val="0"/>
          <w:sz w:val="22"/>
          <w:szCs w:val="22"/>
        </w:rPr>
        <w:t xml:space="preserve"> </w:t>
      </w:r>
      <w:r w:rsidR="005508F5" w:rsidRPr="009D0D2D">
        <w:rPr>
          <w:rFonts w:ascii="Calibri" w:hAnsi="Calibri" w:cs="Calibri"/>
          <w:kern w:val="0"/>
          <w:sz w:val="22"/>
          <w:szCs w:val="22"/>
        </w:rPr>
        <w:t>20%SSB</w:t>
      </w:r>
      <w:r w:rsidR="005508F5" w:rsidRPr="009D0D2D">
        <w:rPr>
          <w:rFonts w:ascii="Calibri" w:hAnsi="Calibri" w:cs="Calibri"/>
          <w:kern w:val="0"/>
          <w:sz w:val="22"/>
          <w:szCs w:val="22"/>
          <w:vertAlign w:val="subscript"/>
        </w:rPr>
        <w:t>F=0</w:t>
      </w:r>
      <w:r w:rsidR="005508F5" w:rsidRPr="009D0D2D">
        <w:rPr>
          <w:rFonts w:ascii="Calibri" w:hAnsi="Calibri" w:cs="Calibri"/>
          <w:kern w:val="0"/>
          <w:sz w:val="22"/>
          <w:szCs w:val="22"/>
        </w:rPr>
        <w:t>, which is 20% of the unfished SS</w:t>
      </w:r>
      <w:r w:rsidR="00EE023E" w:rsidRPr="009D0D2D">
        <w:rPr>
          <w:rFonts w:ascii="Calibri" w:hAnsi="Calibri" w:cs="Calibri"/>
          <w:kern w:val="0"/>
          <w:sz w:val="22"/>
          <w:szCs w:val="22"/>
        </w:rPr>
        <w:t xml:space="preserve">B </w:t>
      </w:r>
      <w:r w:rsidR="005508F5" w:rsidRPr="009D0D2D">
        <w:rPr>
          <w:rFonts w:ascii="Calibri" w:hAnsi="Calibri" w:cs="Calibri"/>
          <w:kern w:val="0"/>
          <w:sz w:val="22"/>
          <w:szCs w:val="22"/>
        </w:rPr>
        <w:t xml:space="preserve">at equilibrium </w:t>
      </w:r>
      <w:r w:rsidR="00EE023E" w:rsidRPr="009D0D2D">
        <w:rPr>
          <w:rFonts w:ascii="Calibri" w:hAnsi="Calibri" w:cs="Calibri"/>
          <w:kern w:val="0"/>
          <w:sz w:val="22"/>
          <w:szCs w:val="22"/>
        </w:rPr>
        <w:t>condition</w:t>
      </w:r>
      <w:r w:rsidR="00AA02C5" w:rsidRPr="00AA02C5">
        <w:rPr>
          <w:rFonts w:ascii="Calibri" w:eastAsia="Malgun Gothic" w:hAnsi="Calibri" w:cs="Calibri" w:hint="eastAsia"/>
          <w:kern w:val="0"/>
          <w:sz w:val="22"/>
          <w:szCs w:val="22"/>
          <w:lang w:eastAsia="ko-KR"/>
        </w:rPr>
        <w:t>.</w:t>
      </w:r>
    </w:p>
    <w:p w14:paraId="7F6AA798" w14:textId="4B4D41A8" w:rsidR="005508F5" w:rsidRPr="009D0D2D" w:rsidRDefault="007D00E3"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Limit reference point (LRP)</w:t>
      </w:r>
      <w:r w:rsidR="005508F5" w:rsidRPr="009D0D2D">
        <w:rPr>
          <w:rFonts w:ascii="Calibri" w:hAnsi="Calibri" w:cs="Calibri"/>
          <w:kern w:val="0"/>
          <w:sz w:val="22"/>
          <w:szCs w:val="22"/>
        </w:rPr>
        <w:t>: 7.7%SSB</w:t>
      </w:r>
      <w:r w:rsidR="005508F5" w:rsidRPr="009D0D2D">
        <w:rPr>
          <w:rFonts w:ascii="Calibri" w:hAnsi="Calibri" w:cs="Calibri"/>
          <w:kern w:val="0"/>
          <w:sz w:val="22"/>
          <w:szCs w:val="22"/>
          <w:vertAlign w:val="subscript"/>
        </w:rPr>
        <w:t>F=0</w:t>
      </w:r>
      <w:r w:rsidR="005508F5" w:rsidRPr="009D0D2D">
        <w:rPr>
          <w:rFonts w:ascii="Calibri" w:hAnsi="Calibri" w:cs="Calibri"/>
          <w:kern w:val="0"/>
          <w:sz w:val="22"/>
          <w:szCs w:val="22"/>
        </w:rPr>
        <w:t>, which is 7.7% of the unfished SSB</w:t>
      </w:r>
      <w:r w:rsidR="00503261" w:rsidRPr="009D0D2D">
        <w:rPr>
          <w:rFonts w:ascii="Calibri" w:hAnsi="Calibri" w:cs="Calibri"/>
          <w:strike/>
          <w:kern w:val="0"/>
          <w:sz w:val="22"/>
          <w:szCs w:val="22"/>
        </w:rPr>
        <w:t xml:space="preserve"> </w:t>
      </w:r>
      <w:r w:rsidR="005508F5" w:rsidRPr="009D0D2D">
        <w:rPr>
          <w:rFonts w:ascii="Calibri" w:hAnsi="Calibri" w:cs="Calibri"/>
          <w:kern w:val="0"/>
          <w:sz w:val="22"/>
          <w:szCs w:val="22"/>
        </w:rPr>
        <w:t>at equilibrium condition. </w:t>
      </w:r>
    </w:p>
    <w:p w14:paraId="39AC6CE1" w14:textId="77777777" w:rsidR="005508F5" w:rsidRPr="009D0D2D" w:rsidRDefault="005508F5"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 </w:t>
      </w:r>
    </w:p>
    <w:p w14:paraId="26D9B48E" w14:textId="77777777"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Scope and design of the MP</w:t>
      </w:r>
    </w:p>
    <w:p w14:paraId="7AFBD9B9" w14:textId="77777777" w:rsidR="00030331" w:rsidRPr="009D0D2D" w:rsidRDefault="00030331" w:rsidP="005313BF">
      <w:pPr>
        <w:autoSpaceDE w:val="0"/>
        <w:autoSpaceDN w:val="0"/>
        <w:adjustRightInd w:val="0"/>
        <w:snapToGrid w:val="0"/>
        <w:rPr>
          <w:rFonts w:ascii="Calibri" w:hAnsi="Calibri" w:cs="Calibri"/>
          <w:b/>
          <w:bCs/>
          <w:kern w:val="0"/>
          <w:sz w:val="22"/>
          <w:szCs w:val="22"/>
        </w:rPr>
      </w:pPr>
    </w:p>
    <w:p w14:paraId="08F063A3" w14:textId="5D602C31" w:rsidR="005508F5"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The MP applies to all fisheries taking Pacific bluefin tuna within </w:t>
      </w:r>
      <w:r w:rsidR="00157A33" w:rsidRPr="009D0D2D">
        <w:rPr>
          <w:rFonts w:ascii="Calibri" w:hAnsi="Calibri" w:cs="Calibri"/>
          <w:kern w:val="0"/>
          <w:sz w:val="22"/>
          <w:szCs w:val="22"/>
        </w:rPr>
        <w:t xml:space="preserve">both Commission areas. </w:t>
      </w:r>
      <w:r w:rsidRPr="009D0D2D">
        <w:rPr>
          <w:rFonts w:ascii="Calibri" w:hAnsi="Calibri" w:cs="Calibri"/>
          <w:kern w:val="0"/>
          <w:sz w:val="22"/>
          <w:szCs w:val="22"/>
        </w:rPr>
        <w:t>The MP (and this CMM</w:t>
      </w:r>
      <w:r w:rsidR="00AE196D" w:rsidRPr="009D0D2D">
        <w:rPr>
          <w:rFonts w:ascii="Calibri" w:hAnsi="Calibri" w:cs="Calibri"/>
          <w:kern w:val="0"/>
          <w:sz w:val="22"/>
          <w:szCs w:val="22"/>
        </w:rPr>
        <w:t>/ Resolution</w:t>
      </w:r>
      <w:r w:rsidRPr="009D0D2D">
        <w:rPr>
          <w:rFonts w:ascii="Calibri" w:hAnsi="Calibri" w:cs="Calibri"/>
          <w:kern w:val="0"/>
          <w:sz w:val="22"/>
          <w:szCs w:val="22"/>
        </w:rPr>
        <w:t xml:space="preserve">) determines the total annual catches of large Pacific bluefin tuna (30 kg or larger in body weight), and small Pacific bluefin tuna (less than 30kg in body weight) to be taken within the </w:t>
      </w:r>
      <w:r w:rsidR="00F85E5E" w:rsidRPr="009D0D2D">
        <w:rPr>
          <w:rFonts w:ascii="Calibri" w:hAnsi="Calibri" w:cs="Calibri"/>
          <w:kern w:val="0"/>
          <w:sz w:val="22"/>
          <w:szCs w:val="22"/>
        </w:rPr>
        <w:t xml:space="preserve">WCPFC </w:t>
      </w:r>
      <w:r w:rsidRPr="009D0D2D">
        <w:rPr>
          <w:rFonts w:ascii="Calibri" w:hAnsi="Calibri" w:cs="Calibri"/>
          <w:kern w:val="0"/>
          <w:sz w:val="22"/>
          <w:szCs w:val="22"/>
        </w:rPr>
        <w:t>Convention Area, as well as the total annual</w:t>
      </w:r>
      <w:r w:rsidR="00D728C5" w:rsidRPr="009D0D2D">
        <w:rPr>
          <w:rFonts w:ascii="Calibri" w:hAnsi="Calibri" w:cs="Calibri"/>
          <w:kern w:val="0"/>
          <w:sz w:val="22"/>
          <w:szCs w:val="22"/>
        </w:rPr>
        <w:t xml:space="preserve"> </w:t>
      </w:r>
      <w:r w:rsidRPr="009D0D2D">
        <w:rPr>
          <w:rFonts w:ascii="Calibri" w:hAnsi="Calibri" w:cs="Calibri"/>
          <w:kern w:val="0"/>
          <w:sz w:val="22"/>
          <w:szCs w:val="22"/>
        </w:rPr>
        <w:t>catch of Pacific bluefin tuna to be taken within the Eastern Pacific Ocean (EPO), assuming the relative fishing mortality among fishery segments and age</w:t>
      </w:r>
      <w:r w:rsidR="00EE023E" w:rsidRPr="009D0D2D">
        <w:rPr>
          <w:rFonts w:ascii="Calibri" w:hAnsi="Calibri" w:cs="Calibri"/>
          <w:kern w:val="0"/>
          <w:sz w:val="22"/>
          <w:szCs w:val="22"/>
        </w:rPr>
        <w:t xml:space="preserve">s </w:t>
      </w:r>
      <w:r w:rsidRPr="009D0D2D">
        <w:rPr>
          <w:rFonts w:ascii="Calibri" w:hAnsi="Calibri" w:cs="Calibri"/>
          <w:kern w:val="0"/>
          <w:sz w:val="22"/>
          <w:szCs w:val="22"/>
        </w:rPr>
        <w:t xml:space="preserve">in 2015-2022, while </w:t>
      </w:r>
      <w:r w:rsidR="000C6BC4" w:rsidRPr="009D0D2D">
        <w:rPr>
          <w:rFonts w:ascii="Calibri" w:hAnsi="Calibri" w:cs="Calibri"/>
          <w:kern w:val="0"/>
          <w:sz w:val="22"/>
          <w:szCs w:val="22"/>
        </w:rPr>
        <w:t xml:space="preserve">the </w:t>
      </w:r>
      <w:r w:rsidR="007B048E" w:rsidRPr="009D0D2D">
        <w:rPr>
          <w:rFonts w:ascii="Calibri" w:hAnsi="Calibri" w:cs="Calibri"/>
          <w:kern w:val="0"/>
          <w:sz w:val="22"/>
          <w:szCs w:val="22"/>
        </w:rPr>
        <w:t>2-year</w:t>
      </w:r>
      <w:r w:rsidR="005F2708" w:rsidRPr="009D0D2D">
        <w:rPr>
          <w:rFonts w:ascii="Calibri" w:hAnsi="Calibri" w:cs="Calibri"/>
          <w:kern w:val="0"/>
          <w:sz w:val="22"/>
          <w:szCs w:val="22"/>
        </w:rPr>
        <w:t xml:space="preserve"> implementation</w:t>
      </w:r>
      <w:r w:rsidR="00DF7975" w:rsidRPr="009D0D2D">
        <w:rPr>
          <w:rFonts w:ascii="Calibri" w:hAnsi="Calibri" w:cs="Calibri"/>
          <w:kern w:val="0"/>
          <w:sz w:val="22"/>
          <w:szCs w:val="22"/>
        </w:rPr>
        <w:t xml:space="preserve"> </w:t>
      </w:r>
      <w:r w:rsidR="005F2708" w:rsidRPr="009D0D2D">
        <w:rPr>
          <w:rFonts w:ascii="Calibri" w:hAnsi="Calibri" w:cs="Calibri"/>
          <w:kern w:val="0"/>
          <w:sz w:val="22"/>
          <w:szCs w:val="22"/>
        </w:rPr>
        <w:t>CMM/ Resolution</w:t>
      </w:r>
      <w:r w:rsidRPr="009D0D2D">
        <w:rPr>
          <w:rFonts w:ascii="Calibri" w:hAnsi="Calibri" w:cs="Calibri"/>
          <w:kern w:val="0"/>
          <w:sz w:val="22"/>
          <w:szCs w:val="22"/>
        </w:rPr>
        <w:t xml:space="preserve"> will </w:t>
      </w:r>
      <w:r w:rsidR="00C40E24" w:rsidRPr="009D0D2D">
        <w:rPr>
          <w:rFonts w:ascii="Calibri" w:hAnsi="Calibri" w:cs="Calibri"/>
          <w:kern w:val="0"/>
          <w:sz w:val="22"/>
          <w:szCs w:val="22"/>
        </w:rPr>
        <w:t>establish the</w:t>
      </w:r>
      <w:r w:rsidRPr="009D0D2D">
        <w:rPr>
          <w:rFonts w:ascii="Calibri" w:hAnsi="Calibri" w:cs="Calibri"/>
          <w:kern w:val="0"/>
          <w:sz w:val="22"/>
          <w:szCs w:val="22"/>
        </w:rPr>
        <w:t xml:space="preserve"> management arrangements for achieving this.</w:t>
      </w:r>
    </w:p>
    <w:p w14:paraId="092B1299" w14:textId="5B9C3162" w:rsidR="005508F5" w:rsidRPr="009D0D2D" w:rsidRDefault="005508F5" w:rsidP="005313BF">
      <w:pPr>
        <w:autoSpaceDE w:val="0"/>
        <w:autoSpaceDN w:val="0"/>
        <w:adjustRightInd w:val="0"/>
        <w:snapToGrid w:val="0"/>
        <w:rPr>
          <w:rFonts w:ascii="Calibri" w:hAnsi="Calibri" w:cs="Calibri"/>
          <w:kern w:val="0"/>
          <w:sz w:val="22"/>
          <w:szCs w:val="22"/>
        </w:rPr>
      </w:pPr>
    </w:p>
    <w:p w14:paraId="3082B348" w14:textId="1BC97674"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Elements of the MP</w:t>
      </w:r>
    </w:p>
    <w:p w14:paraId="77646C3D" w14:textId="77777777" w:rsidR="00DF7975" w:rsidRPr="009D0D2D" w:rsidRDefault="00DF7975" w:rsidP="005313BF">
      <w:pPr>
        <w:autoSpaceDE w:val="0"/>
        <w:autoSpaceDN w:val="0"/>
        <w:adjustRightInd w:val="0"/>
        <w:snapToGrid w:val="0"/>
        <w:rPr>
          <w:rFonts w:ascii="Calibri" w:hAnsi="Calibri" w:cs="Calibri"/>
          <w:b/>
          <w:bCs/>
          <w:kern w:val="0"/>
          <w:sz w:val="22"/>
          <w:szCs w:val="22"/>
        </w:rPr>
      </w:pPr>
    </w:p>
    <w:p w14:paraId="644C6CA4" w14:textId="77777777" w:rsidR="004D1CFA"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MP includes:</w:t>
      </w:r>
    </w:p>
    <w:p w14:paraId="0F1DCAE0" w14:textId="77777777" w:rsidR="004D1CFA" w:rsidRPr="009D0D2D" w:rsidRDefault="005508F5"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The Harvest Control Rule set out in Annex I;</w:t>
      </w:r>
    </w:p>
    <w:p w14:paraId="24BD6435" w14:textId="5C09B989" w:rsidR="004D1CFA" w:rsidRPr="009D0D2D" w:rsidRDefault="005508F5"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The Estimation Model using the settings set out in Annex II; and</w:t>
      </w:r>
    </w:p>
    <w:p w14:paraId="3DBA1E07" w14:textId="2AA8492A" w:rsidR="005508F5" w:rsidRPr="009D0D2D" w:rsidRDefault="004D1CFA" w:rsidP="005313BF">
      <w:pPr>
        <w:pStyle w:val="ListParagraph"/>
        <w:numPr>
          <w:ilvl w:val="1"/>
          <w:numId w:val="13"/>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T</w:t>
      </w:r>
      <w:r w:rsidR="005508F5" w:rsidRPr="009D0D2D">
        <w:rPr>
          <w:rFonts w:ascii="Calibri" w:hAnsi="Calibri" w:cs="Calibri"/>
          <w:kern w:val="0"/>
          <w:sz w:val="22"/>
          <w:szCs w:val="22"/>
        </w:rPr>
        <w:t>he exceptional circumstances set out in Annex III</w:t>
      </w:r>
      <w:r w:rsidR="005129C9" w:rsidRPr="009D0D2D">
        <w:rPr>
          <w:rFonts w:ascii="Calibri" w:hAnsi="Calibri" w:cs="Calibri"/>
          <w:kern w:val="0"/>
          <w:sz w:val="22"/>
          <w:szCs w:val="22"/>
        </w:rPr>
        <w:t>.</w:t>
      </w:r>
    </w:p>
    <w:p w14:paraId="40FDF87D" w14:textId="25707123" w:rsidR="005508F5" w:rsidRPr="009D0D2D" w:rsidRDefault="005508F5" w:rsidP="005313BF">
      <w:pPr>
        <w:autoSpaceDE w:val="0"/>
        <w:autoSpaceDN w:val="0"/>
        <w:adjustRightInd w:val="0"/>
        <w:snapToGrid w:val="0"/>
        <w:rPr>
          <w:rFonts w:ascii="Calibri" w:hAnsi="Calibri" w:cs="Calibri"/>
          <w:kern w:val="0"/>
          <w:sz w:val="22"/>
          <w:szCs w:val="22"/>
        </w:rPr>
      </w:pPr>
    </w:p>
    <w:p w14:paraId="6A32ADC5" w14:textId="7CBC5587"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 xml:space="preserve">Schedule and Roles of the </w:t>
      </w:r>
      <w:r w:rsidR="00381007" w:rsidRPr="009D0D2D">
        <w:rPr>
          <w:rFonts w:ascii="Calibri" w:hAnsi="Calibri" w:cs="Calibri"/>
          <w:b/>
          <w:bCs/>
          <w:kern w:val="0"/>
          <w:sz w:val="22"/>
          <w:szCs w:val="22"/>
        </w:rPr>
        <w:t xml:space="preserve">JWG, </w:t>
      </w:r>
      <w:r w:rsidR="007934C9" w:rsidRPr="009D0D2D">
        <w:rPr>
          <w:rFonts w:ascii="Calibri" w:hAnsi="Calibri" w:cs="Calibri"/>
          <w:b/>
          <w:bCs/>
          <w:kern w:val="0"/>
          <w:sz w:val="22"/>
          <w:szCs w:val="22"/>
        </w:rPr>
        <w:t xml:space="preserve">the </w:t>
      </w:r>
      <w:r w:rsidRPr="009D0D2D">
        <w:rPr>
          <w:rFonts w:ascii="Calibri" w:hAnsi="Calibri" w:cs="Calibri"/>
          <w:b/>
          <w:bCs/>
          <w:kern w:val="0"/>
          <w:sz w:val="22"/>
          <w:szCs w:val="22"/>
        </w:rPr>
        <w:t>Commission</w:t>
      </w:r>
      <w:r w:rsidR="00381007" w:rsidRPr="009D0D2D">
        <w:rPr>
          <w:rFonts w:ascii="Calibri" w:hAnsi="Calibri" w:cs="Calibri"/>
          <w:b/>
          <w:bCs/>
          <w:kern w:val="0"/>
          <w:sz w:val="22"/>
          <w:szCs w:val="22"/>
        </w:rPr>
        <w:t>s</w:t>
      </w:r>
      <w:r w:rsidRPr="009D0D2D">
        <w:rPr>
          <w:rFonts w:ascii="Calibri" w:hAnsi="Calibri" w:cs="Calibri"/>
          <w:b/>
          <w:bCs/>
          <w:kern w:val="0"/>
          <w:sz w:val="22"/>
          <w:szCs w:val="22"/>
        </w:rPr>
        <w:t>, the Subsidiary Bodies and the ISC</w:t>
      </w:r>
    </w:p>
    <w:p w14:paraId="289D9C9D" w14:textId="77777777" w:rsidR="00A40EBF" w:rsidRPr="009D0D2D" w:rsidRDefault="00A40EBF" w:rsidP="005313BF">
      <w:pPr>
        <w:autoSpaceDE w:val="0"/>
        <w:autoSpaceDN w:val="0"/>
        <w:adjustRightInd w:val="0"/>
        <w:snapToGrid w:val="0"/>
        <w:rPr>
          <w:rFonts w:ascii="Calibri" w:hAnsi="Calibri" w:cs="Calibri"/>
          <w:b/>
          <w:bCs/>
          <w:kern w:val="0"/>
          <w:sz w:val="22"/>
          <w:szCs w:val="22"/>
        </w:rPr>
      </w:pPr>
    </w:p>
    <w:p w14:paraId="5D63CA45" w14:textId="024AFD08" w:rsidR="008B524F"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ISC shall run the MP, perform stock assessment</w:t>
      </w:r>
      <w:r w:rsidR="00992C58" w:rsidRPr="009D0D2D">
        <w:rPr>
          <w:rFonts w:ascii="Calibri" w:hAnsi="Calibri" w:cs="Calibri"/>
          <w:kern w:val="0"/>
          <w:sz w:val="22"/>
          <w:szCs w:val="22"/>
        </w:rPr>
        <w:t>s</w:t>
      </w:r>
      <w:r w:rsidRPr="009D0D2D">
        <w:rPr>
          <w:rFonts w:ascii="Calibri" w:hAnsi="Calibri" w:cs="Calibri"/>
          <w:kern w:val="0"/>
          <w:sz w:val="22"/>
          <w:szCs w:val="22"/>
        </w:rPr>
        <w:t>,</w:t>
      </w:r>
      <w:r w:rsidR="00992C58" w:rsidRPr="009D0D2D">
        <w:rPr>
          <w:rFonts w:ascii="Calibri" w:hAnsi="Calibri" w:cs="Calibri"/>
          <w:kern w:val="0"/>
          <w:sz w:val="22"/>
          <w:szCs w:val="22"/>
        </w:rPr>
        <w:t xml:space="preserve"> </w:t>
      </w:r>
      <w:r w:rsidRPr="009D0D2D">
        <w:rPr>
          <w:rFonts w:ascii="Calibri" w:hAnsi="Calibri" w:cs="Calibri"/>
          <w:kern w:val="0"/>
          <w:sz w:val="22"/>
          <w:szCs w:val="22"/>
        </w:rPr>
        <w:t xml:space="preserve">and support the </w:t>
      </w:r>
      <w:r w:rsidR="00D42270" w:rsidRPr="009D0D2D">
        <w:rPr>
          <w:rFonts w:ascii="Calibri" w:hAnsi="Calibri" w:cs="Calibri"/>
          <w:kern w:val="0"/>
          <w:sz w:val="22"/>
          <w:szCs w:val="22"/>
        </w:rPr>
        <w:t xml:space="preserve">JWG and relevant </w:t>
      </w:r>
      <w:r w:rsidR="004F41E3" w:rsidRPr="009D0D2D">
        <w:rPr>
          <w:rFonts w:ascii="Calibri" w:hAnsi="Calibri" w:cs="Calibri"/>
          <w:kern w:val="0"/>
          <w:sz w:val="22"/>
          <w:szCs w:val="22"/>
        </w:rPr>
        <w:t>bodies of the WCPFC</w:t>
      </w:r>
      <w:r w:rsidR="007D6F49" w:rsidRPr="009D0D2D">
        <w:rPr>
          <w:rFonts w:ascii="Calibri" w:hAnsi="Calibri" w:cs="Calibri"/>
          <w:kern w:val="0"/>
          <w:sz w:val="22"/>
          <w:szCs w:val="22"/>
        </w:rPr>
        <w:t xml:space="preserve"> </w:t>
      </w:r>
      <w:r w:rsidR="004F41E3" w:rsidRPr="009D0D2D">
        <w:rPr>
          <w:rFonts w:ascii="Calibri" w:hAnsi="Calibri" w:cs="Calibri"/>
          <w:kern w:val="0"/>
          <w:sz w:val="22"/>
          <w:szCs w:val="22"/>
        </w:rPr>
        <w:t xml:space="preserve">and the IATTC </w:t>
      </w:r>
      <w:r w:rsidR="00A069B2" w:rsidRPr="009D0D2D">
        <w:rPr>
          <w:rFonts w:ascii="Calibri" w:hAnsi="Calibri" w:cs="Calibri"/>
          <w:kern w:val="0"/>
          <w:sz w:val="22"/>
          <w:szCs w:val="22"/>
        </w:rPr>
        <w:t xml:space="preserve">in </w:t>
      </w:r>
      <w:r w:rsidR="009674EC" w:rsidRPr="009D0D2D">
        <w:rPr>
          <w:rFonts w:ascii="Calibri" w:hAnsi="Calibri" w:cs="Calibri"/>
          <w:kern w:val="0"/>
          <w:sz w:val="22"/>
          <w:szCs w:val="22"/>
        </w:rPr>
        <w:t>monitoring</w:t>
      </w:r>
      <w:r w:rsidR="008C1309" w:rsidRPr="009D0D2D">
        <w:rPr>
          <w:rFonts w:ascii="Calibri" w:hAnsi="Calibri" w:cs="Calibri"/>
          <w:kern w:val="0"/>
          <w:sz w:val="22"/>
          <w:szCs w:val="22"/>
        </w:rPr>
        <w:t xml:space="preserve">, </w:t>
      </w:r>
      <w:r w:rsidR="009674EC" w:rsidRPr="009D0D2D">
        <w:rPr>
          <w:rFonts w:ascii="Calibri" w:hAnsi="Calibri" w:cs="Calibri"/>
          <w:kern w:val="0"/>
          <w:sz w:val="22"/>
          <w:szCs w:val="22"/>
        </w:rPr>
        <w:t>analysis</w:t>
      </w:r>
      <w:r w:rsidR="00BB503D" w:rsidRPr="009D0D2D">
        <w:rPr>
          <w:rFonts w:ascii="Calibri" w:hAnsi="Calibri" w:cs="Calibri"/>
          <w:kern w:val="0"/>
          <w:sz w:val="22"/>
          <w:szCs w:val="22"/>
        </w:rPr>
        <w:t xml:space="preserve"> and review of performance</w:t>
      </w:r>
      <w:r w:rsidR="009674EC" w:rsidRPr="009D0D2D">
        <w:rPr>
          <w:rFonts w:ascii="Calibri" w:hAnsi="Calibri" w:cs="Calibri"/>
          <w:kern w:val="0"/>
          <w:sz w:val="22"/>
          <w:szCs w:val="22"/>
        </w:rPr>
        <w:t xml:space="preserve"> </w:t>
      </w:r>
      <w:r w:rsidRPr="009D0D2D">
        <w:rPr>
          <w:rFonts w:ascii="Calibri" w:hAnsi="Calibri" w:cs="Calibri"/>
          <w:kern w:val="0"/>
          <w:sz w:val="22"/>
          <w:szCs w:val="22"/>
        </w:rPr>
        <w:t>of the MP.</w:t>
      </w:r>
    </w:p>
    <w:p w14:paraId="188847D8" w14:textId="77777777" w:rsidR="008B524F" w:rsidRPr="009D0D2D" w:rsidRDefault="008B524F" w:rsidP="005313BF">
      <w:pPr>
        <w:pStyle w:val="ListParagraph"/>
        <w:autoSpaceDE w:val="0"/>
        <w:autoSpaceDN w:val="0"/>
        <w:adjustRightInd w:val="0"/>
        <w:snapToGrid w:val="0"/>
        <w:ind w:left="360"/>
        <w:contextualSpacing w:val="0"/>
        <w:rPr>
          <w:rFonts w:ascii="Calibri" w:hAnsi="Calibri" w:cs="Calibri"/>
          <w:kern w:val="0"/>
          <w:sz w:val="22"/>
          <w:szCs w:val="22"/>
        </w:rPr>
      </w:pPr>
    </w:p>
    <w:p w14:paraId="20FCDE1F" w14:textId="5F55B4F3" w:rsidR="005508F5" w:rsidRPr="000450EB"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The </w:t>
      </w:r>
      <w:r w:rsidR="000B3C04" w:rsidRPr="009D0D2D">
        <w:rPr>
          <w:rFonts w:ascii="Calibri" w:hAnsi="Calibri" w:cs="Calibri"/>
          <w:kern w:val="0"/>
          <w:sz w:val="22"/>
          <w:szCs w:val="22"/>
        </w:rPr>
        <w:t xml:space="preserve">JWG </w:t>
      </w:r>
      <w:r w:rsidRPr="009D0D2D">
        <w:rPr>
          <w:rFonts w:ascii="Calibri" w:hAnsi="Calibri" w:cs="Calibri"/>
          <w:kern w:val="0"/>
          <w:sz w:val="22"/>
          <w:szCs w:val="22"/>
        </w:rPr>
        <w:t>shall review the Pacific Bluefin Tuna Management Arrangements and make recommendations to the</w:t>
      </w:r>
      <w:r w:rsidR="00AF45BB" w:rsidRPr="009D0D2D">
        <w:rPr>
          <w:rFonts w:ascii="Calibri" w:hAnsi="Calibri" w:cs="Calibri"/>
          <w:kern w:val="0"/>
          <w:sz w:val="22"/>
          <w:szCs w:val="22"/>
        </w:rPr>
        <w:t xml:space="preserve"> WCPFC N</w:t>
      </w:r>
      <w:r w:rsidR="008C7E62" w:rsidRPr="009D0D2D">
        <w:rPr>
          <w:rFonts w:ascii="Calibri" w:hAnsi="Calibri" w:cs="Calibri"/>
          <w:kern w:val="0"/>
          <w:sz w:val="22"/>
          <w:szCs w:val="22"/>
        </w:rPr>
        <w:t>orthern Committee</w:t>
      </w:r>
      <w:r w:rsidR="00AF45BB" w:rsidRPr="009D0D2D">
        <w:rPr>
          <w:rFonts w:ascii="Calibri" w:hAnsi="Calibri" w:cs="Calibri"/>
          <w:kern w:val="0"/>
          <w:sz w:val="22"/>
          <w:szCs w:val="22"/>
        </w:rPr>
        <w:t xml:space="preserve"> and </w:t>
      </w:r>
      <w:r w:rsidR="008C7E62" w:rsidRPr="009D0D2D">
        <w:rPr>
          <w:rFonts w:ascii="Calibri" w:hAnsi="Calibri" w:cs="Calibri"/>
          <w:kern w:val="0"/>
          <w:sz w:val="22"/>
          <w:szCs w:val="22"/>
        </w:rPr>
        <w:t xml:space="preserve">the </w:t>
      </w:r>
      <w:r w:rsidR="00AF45BB" w:rsidRPr="009D0D2D">
        <w:rPr>
          <w:rFonts w:ascii="Calibri" w:hAnsi="Calibri" w:cs="Calibri"/>
          <w:kern w:val="0"/>
          <w:sz w:val="22"/>
          <w:szCs w:val="22"/>
        </w:rPr>
        <w:t>IATTC</w:t>
      </w:r>
      <w:r w:rsidRPr="009D0D2D">
        <w:rPr>
          <w:rFonts w:ascii="Calibri" w:hAnsi="Calibri" w:cs="Calibri"/>
          <w:kern w:val="0"/>
          <w:sz w:val="22"/>
          <w:szCs w:val="22"/>
        </w:rPr>
        <w:t xml:space="preserve"> for </w:t>
      </w:r>
      <w:r w:rsidR="00002B7B" w:rsidRPr="009D0D2D">
        <w:rPr>
          <w:rFonts w:ascii="Calibri" w:hAnsi="Calibri" w:cs="Calibri"/>
          <w:kern w:val="0"/>
          <w:sz w:val="22"/>
          <w:szCs w:val="22"/>
        </w:rPr>
        <w:t>their</w:t>
      </w:r>
      <w:r w:rsidRPr="009D0D2D">
        <w:rPr>
          <w:rFonts w:ascii="Calibri" w:hAnsi="Calibri" w:cs="Calibri"/>
          <w:kern w:val="0"/>
          <w:sz w:val="22"/>
          <w:szCs w:val="22"/>
        </w:rPr>
        <w:t xml:space="preserve"> decision</w:t>
      </w:r>
      <w:r w:rsidR="00002B7B" w:rsidRPr="009D0D2D">
        <w:rPr>
          <w:rFonts w:ascii="Calibri" w:hAnsi="Calibri" w:cs="Calibri"/>
          <w:kern w:val="0"/>
          <w:sz w:val="22"/>
          <w:szCs w:val="22"/>
        </w:rPr>
        <w:t>s</w:t>
      </w:r>
      <w:r w:rsidRPr="009D0D2D">
        <w:rPr>
          <w:rFonts w:ascii="Calibri" w:hAnsi="Calibri" w:cs="Calibri"/>
          <w:kern w:val="0"/>
          <w:sz w:val="22"/>
          <w:szCs w:val="22"/>
        </w:rPr>
        <w:t xml:space="preserve"> in a repeating 2-year schedule as follows:</w:t>
      </w:r>
    </w:p>
    <w:p w14:paraId="2980553A" w14:textId="77777777" w:rsidR="000450EB" w:rsidRPr="00903F63" w:rsidRDefault="000450EB" w:rsidP="000450EB">
      <w:pPr>
        <w:pStyle w:val="ListParagraph"/>
        <w:autoSpaceDE w:val="0"/>
        <w:autoSpaceDN w:val="0"/>
        <w:adjustRightInd w:val="0"/>
        <w:snapToGrid w:val="0"/>
        <w:ind w:left="0"/>
        <w:contextualSpacing w:val="0"/>
        <w:rPr>
          <w:rFonts w:ascii="Calibri" w:hAnsi="Calibri" w:cs="Calibri"/>
          <w:kern w:val="0"/>
          <w:sz w:val="22"/>
          <w:szCs w:val="22"/>
        </w:rPr>
      </w:pPr>
    </w:p>
    <w:tbl>
      <w:tblPr>
        <w:tblW w:w="5000" w:type="pct"/>
        <w:tblBorders>
          <w:top w:val="none" w:sz="6" w:space="0" w:color="auto"/>
          <w:left w:val="none" w:sz="6" w:space="0" w:color="auto"/>
          <w:right w:val="none" w:sz="6" w:space="0" w:color="auto"/>
        </w:tblBorders>
        <w:tblLook w:val="0000" w:firstRow="0" w:lastRow="0" w:firstColumn="0" w:lastColumn="0" w:noHBand="0" w:noVBand="0"/>
      </w:tblPr>
      <w:tblGrid>
        <w:gridCol w:w="766"/>
        <w:gridCol w:w="2143"/>
        <w:gridCol w:w="2144"/>
        <w:gridCol w:w="2144"/>
        <w:gridCol w:w="2143"/>
      </w:tblGrid>
      <w:tr w:rsidR="00143845" w:rsidRPr="00064C21" w14:paraId="74DEBFF6" w14:textId="77777777" w:rsidTr="00E67F43">
        <w:tc>
          <w:tcPr>
            <w:tcW w:w="41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vAlign w:val="center"/>
          </w:tcPr>
          <w:p w14:paraId="3C7D8441" w14:textId="77777777" w:rsidR="00143845" w:rsidRPr="00064C21" w:rsidRDefault="00143845" w:rsidP="004C3393">
            <w:pPr>
              <w:autoSpaceDE w:val="0"/>
              <w:autoSpaceDN w:val="0"/>
              <w:adjustRightInd w:val="0"/>
              <w:snapToGrid w:val="0"/>
              <w:jc w:val="center"/>
              <w:rPr>
                <w:rFonts w:ascii="Calibri" w:hAnsi="Calibri" w:cs="Calibri"/>
                <w:b/>
                <w:bCs/>
                <w:kern w:val="0"/>
                <w:sz w:val="20"/>
                <w:szCs w:val="20"/>
              </w:rPr>
            </w:pPr>
            <w:r w:rsidRPr="00064C21">
              <w:rPr>
                <w:rFonts w:ascii="Calibri" w:hAnsi="Calibri" w:cs="Calibri"/>
                <w:b/>
                <w:bCs/>
                <w:kern w:val="0"/>
                <w:sz w:val="20"/>
                <w:szCs w:val="20"/>
              </w:rPr>
              <w:t>Year</w:t>
            </w:r>
          </w:p>
        </w:tc>
        <w:tc>
          <w:tcPr>
            <w:tcW w:w="1147"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vAlign w:val="center"/>
          </w:tcPr>
          <w:p w14:paraId="36478921" w14:textId="11FE299B" w:rsidR="00143845" w:rsidRPr="00064C21" w:rsidRDefault="00143845" w:rsidP="004C3393">
            <w:pPr>
              <w:autoSpaceDE w:val="0"/>
              <w:autoSpaceDN w:val="0"/>
              <w:adjustRightInd w:val="0"/>
              <w:snapToGrid w:val="0"/>
              <w:jc w:val="center"/>
              <w:rPr>
                <w:rFonts w:ascii="Calibri" w:hAnsi="Calibri" w:cs="Calibri"/>
                <w:b/>
                <w:bCs/>
                <w:kern w:val="0"/>
                <w:sz w:val="20"/>
                <w:szCs w:val="20"/>
              </w:rPr>
            </w:pPr>
            <w:r w:rsidRPr="00064C21">
              <w:rPr>
                <w:rFonts w:ascii="Calibri" w:hAnsi="Calibri" w:cs="Calibri"/>
                <w:b/>
                <w:bCs/>
                <w:kern w:val="0"/>
                <w:sz w:val="20"/>
                <w:szCs w:val="20"/>
              </w:rPr>
              <w:t>ISC</w:t>
            </w:r>
          </w:p>
        </w:tc>
        <w:tc>
          <w:tcPr>
            <w:tcW w:w="1148"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vAlign w:val="center"/>
          </w:tcPr>
          <w:p w14:paraId="3AFADC58" w14:textId="21F64D45" w:rsidR="00143845" w:rsidRPr="00064C21" w:rsidRDefault="00143845" w:rsidP="004C3393">
            <w:pPr>
              <w:autoSpaceDE w:val="0"/>
              <w:autoSpaceDN w:val="0"/>
              <w:adjustRightInd w:val="0"/>
              <w:snapToGrid w:val="0"/>
              <w:jc w:val="center"/>
              <w:rPr>
                <w:rFonts w:ascii="Calibri" w:hAnsi="Calibri" w:cs="Calibri"/>
                <w:b/>
                <w:bCs/>
                <w:kern w:val="0"/>
                <w:sz w:val="20"/>
                <w:szCs w:val="20"/>
              </w:rPr>
            </w:pPr>
            <w:r w:rsidRPr="00064C21">
              <w:rPr>
                <w:rFonts w:ascii="Calibri" w:hAnsi="Calibri" w:cs="Calibri"/>
                <w:b/>
                <w:bCs/>
                <w:kern w:val="0"/>
                <w:sz w:val="20"/>
                <w:szCs w:val="20"/>
              </w:rPr>
              <w:t>JWG</w:t>
            </w:r>
          </w:p>
        </w:tc>
        <w:tc>
          <w:tcPr>
            <w:tcW w:w="1148"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vAlign w:val="center"/>
          </w:tcPr>
          <w:p w14:paraId="7AE0ACFA" w14:textId="38E91D15" w:rsidR="00143845" w:rsidRPr="00064C21" w:rsidRDefault="008757CA" w:rsidP="004C3393">
            <w:pPr>
              <w:autoSpaceDE w:val="0"/>
              <w:autoSpaceDN w:val="0"/>
              <w:adjustRightInd w:val="0"/>
              <w:snapToGrid w:val="0"/>
              <w:jc w:val="center"/>
              <w:rPr>
                <w:rFonts w:ascii="Calibri" w:hAnsi="Calibri" w:cs="Calibri"/>
                <w:b/>
                <w:bCs/>
                <w:kern w:val="0"/>
                <w:sz w:val="20"/>
                <w:szCs w:val="20"/>
                <w:highlight w:val="green"/>
              </w:rPr>
            </w:pPr>
            <w:r w:rsidRPr="00064C21">
              <w:rPr>
                <w:rFonts w:ascii="Calibri" w:hAnsi="Calibri" w:cs="Calibri"/>
                <w:b/>
                <w:bCs/>
                <w:kern w:val="0"/>
                <w:sz w:val="20"/>
                <w:szCs w:val="20"/>
              </w:rPr>
              <w:t xml:space="preserve">WCPFC </w:t>
            </w:r>
            <w:r w:rsidR="00143845" w:rsidRPr="00064C21">
              <w:rPr>
                <w:rFonts w:ascii="Calibri" w:hAnsi="Calibri" w:cs="Calibri"/>
                <w:b/>
                <w:bCs/>
                <w:kern w:val="0"/>
                <w:sz w:val="20"/>
                <w:szCs w:val="20"/>
              </w:rPr>
              <w:t>Northern Committee</w:t>
            </w:r>
            <w:r w:rsidR="00F1419C" w:rsidRPr="00064C21">
              <w:rPr>
                <w:rFonts w:ascii="Calibri" w:hAnsi="Calibri" w:cs="Calibri"/>
                <w:b/>
                <w:bCs/>
                <w:kern w:val="0"/>
                <w:sz w:val="20"/>
                <w:szCs w:val="20"/>
              </w:rPr>
              <w:t xml:space="preserve"> (NC)</w:t>
            </w:r>
          </w:p>
        </w:tc>
        <w:tc>
          <w:tcPr>
            <w:tcW w:w="1148"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vAlign w:val="center"/>
          </w:tcPr>
          <w:p w14:paraId="44E3DE94" w14:textId="2E33235F" w:rsidR="00143845" w:rsidRPr="00064C21" w:rsidRDefault="00143845" w:rsidP="004C3393">
            <w:pPr>
              <w:autoSpaceDE w:val="0"/>
              <w:autoSpaceDN w:val="0"/>
              <w:adjustRightInd w:val="0"/>
              <w:snapToGrid w:val="0"/>
              <w:jc w:val="center"/>
              <w:rPr>
                <w:rFonts w:ascii="Calibri" w:hAnsi="Calibri" w:cs="Calibri"/>
                <w:b/>
                <w:bCs/>
                <w:kern w:val="0"/>
                <w:sz w:val="20"/>
                <w:szCs w:val="20"/>
              </w:rPr>
            </w:pPr>
            <w:r w:rsidRPr="00064C21">
              <w:rPr>
                <w:rFonts w:ascii="Calibri" w:hAnsi="Calibri" w:cs="Calibri"/>
                <w:b/>
                <w:bCs/>
                <w:kern w:val="0"/>
                <w:sz w:val="20"/>
                <w:szCs w:val="20"/>
              </w:rPr>
              <w:t>WCPFC and IATTC Commissions</w:t>
            </w:r>
          </w:p>
        </w:tc>
      </w:tr>
      <w:tr w:rsidR="00143845" w:rsidRPr="00064C21" w14:paraId="09A3A999" w14:textId="77777777" w:rsidTr="00E67F43">
        <w:tblPrEx>
          <w:tblBorders>
            <w:top w:val="none" w:sz="0" w:space="0" w:color="auto"/>
          </w:tblBorders>
        </w:tblPrEx>
        <w:tc>
          <w:tcPr>
            <w:tcW w:w="41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77254C" w14:textId="77777777" w:rsidR="00143845" w:rsidRPr="00064C21" w:rsidRDefault="00143845" w:rsidP="006E5E41">
            <w:pPr>
              <w:autoSpaceDE w:val="0"/>
              <w:autoSpaceDN w:val="0"/>
              <w:adjustRightInd w:val="0"/>
              <w:snapToGrid w:val="0"/>
              <w:jc w:val="center"/>
              <w:rPr>
                <w:rFonts w:ascii="Calibri" w:hAnsi="Calibri" w:cs="Calibri"/>
                <w:b/>
                <w:bCs/>
                <w:kern w:val="0"/>
                <w:sz w:val="20"/>
                <w:szCs w:val="20"/>
              </w:rPr>
            </w:pPr>
            <w:r w:rsidRPr="00064C21">
              <w:rPr>
                <w:rFonts w:ascii="Calibri" w:hAnsi="Calibri" w:cs="Calibri"/>
                <w:b/>
                <w:bCs/>
                <w:kern w:val="0"/>
                <w:sz w:val="20"/>
                <w:szCs w:val="20"/>
              </w:rPr>
              <w:t>2026</w:t>
            </w:r>
          </w:p>
        </w:tc>
        <w:tc>
          <w:tcPr>
            <w:tcW w:w="1147"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15724BB" w14:textId="77777777"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 xml:space="preserve">Run the MP for application to the period 2027-2028. </w:t>
            </w:r>
          </w:p>
          <w:p w14:paraId="13E54D50" w14:textId="77777777" w:rsidR="00143845" w:rsidRPr="00064C21" w:rsidRDefault="00143845" w:rsidP="004C3393">
            <w:pPr>
              <w:autoSpaceDE w:val="0"/>
              <w:autoSpaceDN w:val="0"/>
              <w:adjustRightInd w:val="0"/>
              <w:snapToGrid w:val="0"/>
              <w:jc w:val="left"/>
              <w:rPr>
                <w:rFonts w:ascii="Calibri" w:hAnsi="Calibri" w:cs="Calibri"/>
                <w:kern w:val="0"/>
                <w:sz w:val="20"/>
                <w:szCs w:val="20"/>
              </w:rPr>
            </w:pPr>
          </w:p>
          <w:p w14:paraId="15DEA1DD" w14:textId="6F62B1B2"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Provide advice to the JWG and WCPFC/ IATTC subsidiary bodies</w:t>
            </w:r>
            <w:r w:rsidR="000C035F" w:rsidRPr="00064C21">
              <w:rPr>
                <w:rStyle w:val="FootnoteReference"/>
                <w:rFonts w:ascii="Calibri" w:hAnsi="Calibri" w:cs="Calibri"/>
                <w:kern w:val="0"/>
                <w:sz w:val="20"/>
                <w:szCs w:val="20"/>
              </w:rPr>
              <w:footnoteReference w:id="1"/>
            </w:r>
            <w:r w:rsidR="00B066F2" w:rsidRPr="00064C21">
              <w:rPr>
                <w:rFonts w:ascii="Calibri" w:hAnsi="Calibri" w:cs="Calibri"/>
                <w:kern w:val="0"/>
                <w:sz w:val="20"/>
                <w:szCs w:val="20"/>
              </w:rPr>
              <w:t xml:space="preserve"> </w:t>
            </w:r>
            <w:r w:rsidRPr="00064C21">
              <w:rPr>
                <w:rFonts w:ascii="Calibri" w:hAnsi="Calibri" w:cs="Calibri"/>
                <w:kern w:val="0"/>
                <w:sz w:val="20"/>
                <w:szCs w:val="20"/>
              </w:rPr>
              <w:t>on the MP and Management Arrangements CMM.</w:t>
            </w:r>
          </w:p>
        </w:tc>
        <w:tc>
          <w:tcPr>
            <w:tcW w:w="1148"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10DEE88" w14:textId="47293883" w:rsidR="003404BA"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Provide recommendations to the WCPFC</w:t>
            </w:r>
            <w:r w:rsidR="00F1419C" w:rsidRPr="00064C21">
              <w:rPr>
                <w:rFonts w:ascii="Calibri" w:hAnsi="Calibri" w:cs="Calibri"/>
                <w:kern w:val="0"/>
                <w:sz w:val="20"/>
                <w:szCs w:val="20"/>
              </w:rPr>
              <w:t xml:space="preserve"> NC</w:t>
            </w:r>
            <w:r w:rsidR="008757CA" w:rsidRPr="00064C21">
              <w:rPr>
                <w:rFonts w:ascii="Calibri" w:hAnsi="Calibri" w:cs="Calibri"/>
                <w:kern w:val="0"/>
                <w:sz w:val="20"/>
                <w:szCs w:val="20"/>
              </w:rPr>
              <w:t xml:space="preserve"> </w:t>
            </w:r>
            <w:r w:rsidRPr="00064C21">
              <w:rPr>
                <w:rFonts w:ascii="Calibri" w:hAnsi="Calibri" w:cs="Calibri"/>
                <w:kern w:val="0"/>
                <w:sz w:val="20"/>
                <w:szCs w:val="20"/>
              </w:rPr>
              <w:t xml:space="preserve">and </w:t>
            </w:r>
            <w:r w:rsidR="00036E54" w:rsidRPr="00064C21">
              <w:rPr>
                <w:rFonts w:ascii="Calibri" w:hAnsi="Calibri" w:cs="Calibri"/>
                <w:kern w:val="0"/>
                <w:sz w:val="20"/>
                <w:szCs w:val="20"/>
              </w:rPr>
              <w:t xml:space="preserve">the </w:t>
            </w:r>
            <w:r w:rsidRPr="00064C21">
              <w:rPr>
                <w:rFonts w:ascii="Calibri" w:hAnsi="Calibri" w:cs="Calibri"/>
                <w:kern w:val="0"/>
                <w:sz w:val="20"/>
                <w:szCs w:val="20"/>
              </w:rPr>
              <w:t>IATTC on the MP and Management Arrangements CMM/Resolution.</w:t>
            </w:r>
          </w:p>
        </w:tc>
        <w:tc>
          <w:tcPr>
            <w:tcW w:w="1148" w:type="pct"/>
            <w:tcBorders>
              <w:top w:val="single" w:sz="8" w:space="0" w:color="9A9A9A"/>
              <w:left w:val="single" w:sz="8" w:space="0" w:color="9A9A9A"/>
              <w:bottom w:val="single" w:sz="8" w:space="0" w:color="9A9A9A"/>
              <w:right w:val="single" w:sz="8" w:space="0" w:color="9A9A9A"/>
            </w:tcBorders>
          </w:tcPr>
          <w:p w14:paraId="294489EC" w14:textId="611C3B2E" w:rsidR="00143845" w:rsidRPr="00064C21" w:rsidRDefault="00143845" w:rsidP="004C3393">
            <w:pPr>
              <w:autoSpaceDE w:val="0"/>
              <w:autoSpaceDN w:val="0"/>
              <w:adjustRightInd w:val="0"/>
              <w:snapToGrid w:val="0"/>
              <w:jc w:val="left"/>
              <w:rPr>
                <w:rFonts w:ascii="Calibri" w:hAnsi="Calibri" w:cs="Calibri"/>
                <w:kern w:val="0"/>
                <w:sz w:val="20"/>
                <w:szCs w:val="20"/>
                <w:highlight w:val="green"/>
              </w:rPr>
            </w:pPr>
            <w:r w:rsidRPr="00064C21">
              <w:rPr>
                <w:rFonts w:ascii="Calibri" w:hAnsi="Calibri" w:cs="Calibri"/>
                <w:kern w:val="0"/>
                <w:sz w:val="20"/>
                <w:szCs w:val="20"/>
              </w:rPr>
              <w:t>Provide recommendations to the WCPFC Commission on the MP and Management Arrangements CMM.</w:t>
            </w:r>
          </w:p>
        </w:tc>
        <w:tc>
          <w:tcPr>
            <w:tcW w:w="1148"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E84D9C8" w14:textId="1C7F1CA6"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 xml:space="preserve">Review and </w:t>
            </w:r>
            <w:r w:rsidR="00D5310C" w:rsidRPr="00064C21">
              <w:rPr>
                <w:rFonts w:ascii="Calibri" w:hAnsi="Calibri" w:cs="Calibri"/>
                <w:kern w:val="0"/>
                <w:sz w:val="20"/>
                <w:szCs w:val="20"/>
              </w:rPr>
              <w:t>a</w:t>
            </w:r>
            <w:r w:rsidRPr="00064C21">
              <w:rPr>
                <w:rFonts w:ascii="Calibri" w:hAnsi="Calibri" w:cs="Calibri"/>
                <w:kern w:val="0"/>
                <w:sz w:val="20"/>
                <w:szCs w:val="20"/>
              </w:rPr>
              <w:t>dopt the MP and the Management Arrangements CMM/Resolution for 2027-2028.</w:t>
            </w:r>
          </w:p>
        </w:tc>
      </w:tr>
      <w:tr w:rsidR="00143845" w:rsidRPr="00064C21" w14:paraId="442597F9" w14:textId="77777777" w:rsidTr="00E67F43">
        <w:tblPrEx>
          <w:tblBorders>
            <w:top w:val="none" w:sz="0" w:space="0" w:color="auto"/>
          </w:tblBorders>
        </w:tblPrEx>
        <w:tc>
          <w:tcPr>
            <w:tcW w:w="41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6AE012F" w14:textId="77777777" w:rsidR="00143845" w:rsidRPr="00064C21" w:rsidRDefault="00143845" w:rsidP="006E5E41">
            <w:pPr>
              <w:autoSpaceDE w:val="0"/>
              <w:autoSpaceDN w:val="0"/>
              <w:adjustRightInd w:val="0"/>
              <w:snapToGrid w:val="0"/>
              <w:jc w:val="center"/>
              <w:rPr>
                <w:rFonts w:ascii="Calibri" w:hAnsi="Calibri" w:cs="Calibri"/>
                <w:b/>
                <w:bCs/>
                <w:kern w:val="0"/>
                <w:sz w:val="20"/>
                <w:szCs w:val="20"/>
              </w:rPr>
            </w:pPr>
            <w:r w:rsidRPr="00064C21">
              <w:rPr>
                <w:rFonts w:ascii="Calibri" w:hAnsi="Calibri" w:cs="Calibri"/>
                <w:b/>
                <w:bCs/>
                <w:kern w:val="0"/>
                <w:sz w:val="20"/>
                <w:szCs w:val="20"/>
              </w:rPr>
              <w:t>2027</w:t>
            </w:r>
          </w:p>
        </w:tc>
        <w:tc>
          <w:tcPr>
            <w:tcW w:w="1147"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8DF78BD" w14:textId="4C27E50D"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Perform stock asses</w:t>
            </w:r>
            <w:r w:rsidR="002040A8" w:rsidRPr="00064C21">
              <w:rPr>
                <w:rFonts w:ascii="Calibri" w:hAnsi="Calibri" w:cs="Calibri"/>
                <w:kern w:val="0"/>
                <w:sz w:val="20"/>
                <w:szCs w:val="20"/>
              </w:rPr>
              <w:t>s</w:t>
            </w:r>
            <w:r w:rsidRPr="00064C21">
              <w:rPr>
                <w:rFonts w:ascii="Calibri" w:hAnsi="Calibri" w:cs="Calibri"/>
                <w:kern w:val="0"/>
                <w:sz w:val="20"/>
                <w:szCs w:val="20"/>
              </w:rPr>
              <w:t>ment.</w:t>
            </w:r>
          </w:p>
          <w:p w14:paraId="4866E039" w14:textId="77777777" w:rsidR="00A93189" w:rsidRPr="00064C21" w:rsidRDefault="00A93189" w:rsidP="004C3393">
            <w:pPr>
              <w:autoSpaceDE w:val="0"/>
              <w:autoSpaceDN w:val="0"/>
              <w:adjustRightInd w:val="0"/>
              <w:snapToGrid w:val="0"/>
              <w:jc w:val="left"/>
              <w:rPr>
                <w:rFonts w:ascii="Calibri" w:hAnsi="Calibri" w:cs="Calibri"/>
                <w:kern w:val="0"/>
                <w:sz w:val="20"/>
                <w:szCs w:val="20"/>
              </w:rPr>
            </w:pPr>
          </w:p>
          <w:p w14:paraId="3C706787" w14:textId="07F1200A"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lastRenderedPageBreak/>
              <w:t>Monitor performance of the MP.</w:t>
            </w:r>
          </w:p>
        </w:tc>
        <w:tc>
          <w:tcPr>
            <w:tcW w:w="1148"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84BB4B7" w14:textId="099785EC" w:rsidR="00143845" w:rsidRPr="00064C21" w:rsidRDefault="0018549B" w:rsidP="004C3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lastRenderedPageBreak/>
              <w:t xml:space="preserve">Review implementation of CMM/ Resolution and </w:t>
            </w:r>
            <w:r w:rsidRPr="00064C21">
              <w:rPr>
                <w:rFonts w:ascii="Calibri" w:hAnsi="Calibri" w:cs="Calibri"/>
                <w:kern w:val="0"/>
                <w:sz w:val="20"/>
                <w:szCs w:val="20"/>
              </w:rPr>
              <w:lastRenderedPageBreak/>
              <w:t xml:space="preserve">provide recommendations to the WCPFC </w:t>
            </w:r>
            <w:r w:rsidR="00F1419C" w:rsidRPr="00064C21">
              <w:rPr>
                <w:rFonts w:ascii="Calibri" w:hAnsi="Calibri" w:cs="Calibri"/>
                <w:kern w:val="0"/>
                <w:sz w:val="20"/>
                <w:szCs w:val="20"/>
              </w:rPr>
              <w:t>NC</w:t>
            </w:r>
            <w:r w:rsidRPr="00064C21">
              <w:rPr>
                <w:rFonts w:ascii="Calibri" w:hAnsi="Calibri" w:cs="Calibri"/>
                <w:kern w:val="0"/>
                <w:sz w:val="20"/>
                <w:szCs w:val="20"/>
              </w:rPr>
              <w:t xml:space="preserve"> and the IATTC</w:t>
            </w:r>
            <w:r w:rsidR="00D62723" w:rsidRPr="00064C21">
              <w:rPr>
                <w:rFonts w:ascii="Calibri" w:hAnsi="Calibri" w:cs="Calibri"/>
                <w:kern w:val="0"/>
                <w:sz w:val="20"/>
                <w:szCs w:val="20"/>
              </w:rPr>
              <w:t>.</w:t>
            </w:r>
          </w:p>
        </w:tc>
        <w:tc>
          <w:tcPr>
            <w:tcW w:w="1148" w:type="pct"/>
            <w:tcBorders>
              <w:top w:val="single" w:sz="8" w:space="0" w:color="9A9A9A"/>
              <w:left w:val="single" w:sz="8" w:space="0" w:color="9A9A9A"/>
              <w:bottom w:val="single" w:sz="8" w:space="0" w:color="9A9A9A"/>
              <w:right w:val="single" w:sz="8" w:space="0" w:color="9A9A9A"/>
            </w:tcBorders>
          </w:tcPr>
          <w:p w14:paraId="59DC8F8C" w14:textId="68D68C44" w:rsidR="00143845" w:rsidRPr="00064C21" w:rsidRDefault="00143845" w:rsidP="004C3393">
            <w:pPr>
              <w:autoSpaceDE w:val="0"/>
              <w:autoSpaceDN w:val="0"/>
              <w:adjustRightInd w:val="0"/>
              <w:snapToGrid w:val="0"/>
              <w:jc w:val="left"/>
              <w:rPr>
                <w:rFonts w:ascii="Calibri" w:hAnsi="Calibri" w:cs="Calibri"/>
                <w:kern w:val="0"/>
                <w:sz w:val="20"/>
                <w:szCs w:val="20"/>
                <w:highlight w:val="green"/>
              </w:rPr>
            </w:pPr>
          </w:p>
        </w:tc>
        <w:tc>
          <w:tcPr>
            <w:tcW w:w="1148"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B609AF5" w14:textId="6895CAA8"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Apply the Management Arrangements CMM</w:t>
            </w:r>
            <w:r w:rsidR="00A50F5D" w:rsidRPr="00064C21">
              <w:rPr>
                <w:rFonts w:ascii="Calibri" w:hAnsi="Calibri" w:cs="Calibri"/>
                <w:kern w:val="0"/>
                <w:sz w:val="20"/>
                <w:szCs w:val="20"/>
              </w:rPr>
              <w:t xml:space="preserve"> / Resolution</w:t>
            </w:r>
            <w:r w:rsidRPr="00064C21">
              <w:rPr>
                <w:rFonts w:ascii="Calibri" w:hAnsi="Calibri" w:cs="Calibri"/>
                <w:kern w:val="0"/>
                <w:sz w:val="20"/>
                <w:szCs w:val="20"/>
              </w:rPr>
              <w:t>.</w:t>
            </w:r>
          </w:p>
        </w:tc>
      </w:tr>
      <w:tr w:rsidR="00143845" w:rsidRPr="00064C21" w14:paraId="55BD9C6F" w14:textId="77777777" w:rsidTr="00E67F43">
        <w:tblPrEx>
          <w:tblBorders>
            <w:top w:val="none" w:sz="0" w:space="0" w:color="auto"/>
          </w:tblBorders>
        </w:tblPrEx>
        <w:tc>
          <w:tcPr>
            <w:tcW w:w="41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14405BE" w14:textId="77777777" w:rsidR="00143845" w:rsidRPr="00064C21" w:rsidRDefault="00143845" w:rsidP="006E5E41">
            <w:pPr>
              <w:autoSpaceDE w:val="0"/>
              <w:autoSpaceDN w:val="0"/>
              <w:adjustRightInd w:val="0"/>
              <w:snapToGrid w:val="0"/>
              <w:jc w:val="center"/>
              <w:rPr>
                <w:rFonts w:ascii="Calibri" w:hAnsi="Calibri" w:cs="Calibri"/>
                <w:b/>
                <w:bCs/>
                <w:kern w:val="0"/>
                <w:sz w:val="20"/>
                <w:szCs w:val="20"/>
              </w:rPr>
            </w:pPr>
            <w:r w:rsidRPr="00064C21">
              <w:rPr>
                <w:rFonts w:ascii="Calibri" w:hAnsi="Calibri" w:cs="Calibri"/>
                <w:b/>
                <w:bCs/>
                <w:kern w:val="0"/>
                <w:sz w:val="20"/>
                <w:szCs w:val="20"/>
              </w:rPr>
              <w:t>2028</w:t>
            </w:r>
          </w:p>
        </w:tc>
        <w:tc>
          <w:tcPr>
            <w:tcW w:w="1147"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CB184D" w14:textId="77777777"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Run the MP for application to the period 2029-2030</w:t>
            </w:r>
          </w:p>
          <w:p w14:paraId="7805AB48" w14:textId="77777777" w:rsidR="00143845" w:rsidRPr="00064C21" w:rsidRDefault="00143845" w:rsidP="004C3393">
            <w:pPr>
              <w:autoSpaceDE w:val="0"/>
              <w:autoSpaceDN w:val="0"/>
              <w:adjustRightInd w:val="0"/>
              <w:snapToGrid w:val="0"/>
              <w:jc w:val="left"/>
              <w:rPr>
                <w:rFonts w:ascii="Calibri" w:hAnsi="Calibri" w:cs="Calibri"/>
                <w:kern w:val="0"/>
                <w:sz w:val="20"/>
                <w:szCs w:val="20"/>
              </w:rPr>
            </w:pPr>
          </w:p>
          <w:p w14:paraId="3CAA3802" w14:textId="77777777" w:rsidR="009A280E"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Monitor the performance of the MP.</w:t>
            </w:r>
          </w:p>
          <w:p w14:paraId="763DE159" w14:textId="77777777" w:rsidR="009A280E" w:rsidRPr="00064C21" w:rsidRDefault="009A280E" w:rsidP="004C3393">
            <w:pPr>
              <w:autoSpaceDE w:val="0"/>
              <w:autoSpaceDN w:val="0"/>
              <w:adjustRightInd w:val="0"/>
              <w:snapToGrid w:val="0"/>
              <w:jc w:val="left"/>
              <w:rPr>
                <w:rFonts w:ascii="Calibri" w:hAnsi="Calibri" w:cs="Calibri"/>
                <w:kern w:val="0"/>
                <w:sz w:val="20"/>
                <w:szCs w:val="20"/>
              </w:rPr>
            </w:pPr>
          </w:p>
          <w:p w14:paraId="599D4581" w14:textId="693375DF"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Provide advice to the JWG and WCPFC/ IATTC subsidiary bodies on the MP outputs for application to the period 2029-2030.</w:t>
            </w:r>
          </w:p>
        </w:tc>
        <w:tc>
          <w:tcPr>
            <w:tcW w:w="1148"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4341F7" w14:textId="2EA7D94E"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Review the Management Arrangements CMM/</w:t>
            </w:r>
            <w:r w:rsidR="006641AA" w:rsidRPr="00064C21">
              <w:rPr>
                <w:rFonts w:ascii="Calibri" w:hAnsi="Calibri" w:cs="Calibri"/>
                <w:kern w:val="0"/>
                <w:sz w:val="20"/>
                <w:szCs w:val="20"/>
              </w:rPr>
              <w:t xml:space="preserve"> </w:t>
            </w:r>
            <w:r w:rsidRPr="00064C21">
              <w:rPr>
                <w:rFonts w:ascii="Calibri" w:hAnsi="Calibri" w:cs="Calibri"/>
                <w:kern w:val="0"/>
                <w:sz w:val="20"/>
                <w:szCs w:val="20"/>
              </w:rPr>
              <w:t>Resolution.</w:t>
            </w:r>
          </w:p>
          <w:p w14:paraId="4CD39493" w14:textId="77777777" w:rsidR="008B119F" w:rsidRPr="00064C21" w:rsidRDefault="008B119F" w:rsidP="004C3393">
            <w:pPr>
              <w:autoSpaceDE w:val="0"/>
              <w:autoSpaceDN w:val="0"/>
              <w:adjustRightInd w:val="0"/>
              <w:snapToGrid w:val="0"/>
              <w:jc w:val="left"/>
              <w:rPr>
                <w:rFonts w:ascii="Calibri" w:hAnsi="Calibri" w:cs="Calibri"/>
                <w:kern w:val="0"/>
                <w:sz w:val="20"/>
                <w:szCs w:val="20"/>
              </w:rPr>
            </w:pPr>
          </w:p>
          <w:p w14:paraId="4546494E" w14:textId="3D222BBF"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Provide recommendations to the WCPFC</w:t>
            </w:r>
            <w:r w:rsidR="00F1419C" w:rsidRPr="00064C21">
              <w:rPr>
                <w:rFonts w:ascii="Calibri" w:hAnsi="Calibri" w:cs="Calibri"/>
                <w:kern w:val="0"/>
                <w:sz w:val="20"/>
                <w:szCs w:val="20"/>
              </w:rPr>
              <w:t xml:space="preserve"> NC</w:t>
            </w:r>
            <w:r w:rsidR="00D62723" w:rsidRPr="00064C21">
              <w:rPr>
                <w:rFonts w:ascii="Calibri" w:hAnsi="Calibri" w:cs="Calibri"/>
                <w:kern w:val="0"/>
                <w:sz w:val="20"/>
                <w:szCs w:val="20"/>
              </w:rPr>
              <w:t xml:space="preserve"> </w:t>
            </w:r>
            <w:r w:rsidRPr="00064C21">
              <w:rPr>
                <w:rFonts w:ascii="Calibri" w:hAnsi="Calibri" w:cs="Calibri"/>
                <w:kern w:val="0"/>
                <w:sz w:val="20"/>
                <w:szCs w:val="20"/>
              </w:rPr>
              <w:t xml:space="preserve">and </w:t>
            </w:r>
            <w:r w:rsidR="00D62723" w:rsidRPr="00064C21">
              <w:rPr>
                <w:rFonts w:ascii="Calibri" w:hAnsi="Calibri" w:cs="Calibri"/>
                <w:kern w:val="0"/>
                <w:sz w:val="20"/>
                <w:szCs w:val="20"/>
              </w:rPr>
              <w:t xml:space="preserve">the </w:t>
            </w:r>
            <w:r w:rsidRPr="00064C21">
              <w:rPr>
                <w:rFonts w:ascii="Calibri" w:hAnsi="Calibri" w:cs="Calibri"/>
                <w:kern w:val="0"/>
                <w:sz w:val="20"/>
                <w:szCs w:val="20"/>
              </w:rPr>
              <w:t>IATTC, taking into account the output of the MP for application to the period 2029-2030.</w:t>
            </w:r>
          </w:p>
        </w:tc>
        <w:tc>
          <w:tcPr>
            <w:tcW w:w="1148" w:type="pct"/>
            <w:tcBorders>
              <w:top w:val="single" w:sz="8" w:space="0" w:color="9A9A9A"/>
              <w:left w:val="single" w:sz="8" w:space="0" w:color="9A9A9A"/>
              <w:bottom w:val="single" w:sz="8" w:space="0" w:color="9A9A9A"/>
              <w:right w:val="single" w:sz="8" w:space="0" w:color="9A9A9A"/>
            </w:tcBorders>
          </w:tcPr>
          <w:p w14:paraId="7D8708AB" w14:textId="091105C7" w:rsidR="00143845" w:rsidRPr="00064C21" w:rsidRDefault="005F1339"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Review the Management Arrangements CMM.</w:t>
            </w:r>
          </w:p>
          <w:p w14:paraId="1EADC7F5" w14:textId="77777777" w:rsidR="005609B9" w:rsidRPr="00064C21" w:rsidRDefault="005609B9" w:rsidP="004C3393">
            <w:pPr>
              <w:autoSpaceDE w:val="0"/>
              <w:autoSpaceDN w:val="0"/>
              <w:adjustRightInd w:val="0"/>
              <w:snapToGrid w:val="0"/>
              <w:jc w:val="left"/>
              <w:rPr>
                <w:rFonts w:ascii="Calibri" w:hAnsi="Calibri" w:cs="Calibri"/>
                <w:kern w:val="0"/>
                <w:sz w:val="20"/>
                <w:szCs w:val="20"/>
              </w:rPr>
            </w:pPr>
          </w:p>
          <w:p w14:paraId="149FA20D" w14:textId="317DDF59" w:rsidR="005F1339" w:rsidRPr="00064C21" w:rsidRDefault="005F1339" w:rsidP="004C3393">
            <w:pPr>
              <w:autoSpaceDE w:val="0"/>
              <w:autoSpaceDN w:val="0"/>
              <w:adjustRightInd w:val="0"/>
              <w:snapToGrid w:val="0"/>
              <w:jc w:val="left"/>
              <w:rPr>
                <w:rFonts w:ascii="Calibri" w:hAnsi="Calibri" w:cs="Calibri"/>
                <w:kern w:val="0"/>
                <w:sz w:val="20"/>
                <w:szCs w:val="20"/>
                <w:highlight w:val="green"/>
              </w:rPr>
            </w:pPr>
            <w:r w:rsidRPr="00064C21">
              <w:rPr>
                <w:rFonts w:ascii="Calibri" w:hAnsi="Calibri" w:cs="Calibri"/>
                <w:kern w:val="0"/>
                <w:sz w:val="20"/>
                <w:szCs w:val="20"/>
              </w:rPr>
              <w:t>Provide recommendations to the WCPFC Commission, taking</w:t>
            </w:r>
            <w:r w:rsidR="00251126" w:rsidRPr="00064C21">
              <w:rPr>
                <w:rFonts w:ascii="Calibri" w:hAnsi="Calibri" w:cs="Calibri"/>
                <w:kern w:val="0"/>
                <w:sz w:val="20"/>
                <w:szCs w:val="20"/>
              </w:rPr>
              <w:t xml:space="preserve"> into</w:t>
            </w:r>
            <w:r w:rsidRPr="00064C21">
              <w:rPr>
                <w:rFonts w:ascii="Calibri" w:hAnsi="Calibri" w:cs="Calibri"/>
                <w:kern w:val="0"/>
                <w:sz w:val="20"/>
                <w:szCs w:val="20"/>
              </w:rPr>
              <w:t xml:space="preserve"> account the output of the MP for application to the period 2029-2030.</w:t>
            </w:r>
          </w:p>
        </w:tc>
        <w:tc>
          <w:tcPr>
            <w:tcW w:w="1148"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47709BE" w14:textId="6E454472"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Adopt the revision of the Management Arrangements CMM</w:t>
            </w:r>
            <w:r w:rsidR="00A50F5D" w:rsidRPr="00064C21">
              <w:rPr>
                <w:rFonts w:ascii="Calibri" w:hAnsi="Calibri" w:cs="Calibri"/>
                <w:kern w:val="0"/>
                <w:sz w:val="20"/>
                <w:szCs w:val="20"/>
              </w:rPr>
              <w:t xml:space="preserve"> / Resolution</w:t>
            </w:r>
            <w:r w:rsidRPr="00064C21">
              <w:rPr>
                <w:rFonts w:ascii="Calibri" w:hAnsi="Calibri" w:cs="Calibri"/>
                <w:kern w:val="0"/>
                <w:sz w:val="20"/>
                <w:szCs w:val="20"/>
              </w:rPr>
              <w:t xml:space="preserve"> for 2029-2030.</w:t>
            </w:r>
          </w:p>
        </w:tc>
      </w:tr>
      <w:tr w:rsidR="00143845" w:rsidRPr="00064C21" w14:paraId="6C7D363F" w14:textId="77777777" w:rsidTr="00E67F43">
        <w:tblPrEx>
          <w:tblBorders>
            <w:top w:val="none" w:sz="0" w:space="0" w:color="auto"/>
          </w:tblBorders>
        </w:tblPrEx>
        <w:tc>
          <w:tcPr>
            <w:tcW w:w="41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6272311" w14:textId="77777777" w:rsidR="00143845" w:rsidRPr="00064C21" w:rsidRDefault="00143845" w:rsidP="006E5E41">
            <w:pPr>
              <w:autoSpaceDE w:val="0"/>
              <w:autoSpaceDN w:val="0"/>
              <w:adjustRightInd w:val="0"/>
              <w:snapToGrid w:val="0"/>
              <w:jc w:val="center"/>
              <w:rPr>
                <w:rFonts w:ascii="Calibri" w:hAnsi="Calibri" w:cs="Calibri"/>
                <w:b/>
                <w:bCs/>
                <w:kern w:val="0"/>
                <w:sz w:val="20"/>
                <w:szCs w:val="20"/>
              </w:rPr>
            </w:pPr>
            <w:r w:rsidRPr="00064C21">
              <w:rPr>
                <w:rFonts w:ascii="Calibri" w:hAnsi="Calibri" w:cs="Calibri"/>
                <w:b/>
                <w:bCs/>
                <w:kern w:val="0"/>
                <w:sz w:val="20"/>
                <w:szCs w:val="20"/>
              </w:rPr>
              <w:t>2029</w:t>
            </w:r>
          </w:p>
        </w:tc>
        <w:tc>
          <w:tcPr>
            <w:tcW w:w="1147"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792DBA" w14:textId="366C4AD8" w:rsidR="00143845" w:rsidRPr="00064C21" w:rsidRDefault="00143845" w:rsidP="004C3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Monitor the performance of the MP.</w:t>
            </w:r>
          </w:p>
        </w:tc>
        <w:tc>
          <w:tcPr>
            <w:tcW w:w="1148"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AA86A2" w14:textId="7E207818" w:rsidR="00143845" w:rsidRPr="00064C21" w:rsidRDefault="00C178D7" w:rsidP="004C3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Review implementation of CMM/ Resolution and provide recommendations to the WCPFC NC and the IATTC.</w:t>
            </w:r>
          </w:p>
        </w:tc>
        <w:tc>
          <w:tcPr>
            <w:tcW w:w="1148" w:type="pct"/>
            <w:tcBorders>
              <w:top w:val="single" w:sz="8" w:space="0" w:color="9A9A9A"/>
              <w:left w:val="single" w:sz="8" w:space="0" w:color="9A9A9A"/>
              <w:bottom w:val="single" w:sz="8" w:space="0" w:color="9A9A9A"/>
              <w:right w:val="single" w:sz="8" w:space="0" w:color="9A9A9A"/>
            </w:tcBorders>
          </w:tcPr>
          <w:p w14:paraId="0662718C" w14:textId="77777777" w:rsidR="00143845" w:rsidRPr="00064C21" w:rsidRDefault="00143845" w:rsidP="004C3393">
            <w:pPr>
              <w:autoSpaceDE w:val="0"/>
              <w:autoSpaceDN w:val="0"/>
              <w:adjustRightInd w:val="0"/>
              <w:snapToGrid w:val="0"/>
              <w:jc w:val="left"/>
              <w:rPr>
                <w:rFonts w:ascii="Calibri" w:hAnsi="Calibri" w:cs="Calibri"/>
                <w:kern w:val="0"/>
                <w:sz w:val="20"/>
                <w:szCs w:val="20"/>
                <w:highlight w:val="green"/>
              </w:rPr>
            </w:pPr>
          </w:p>
        </w:tc>
        <w:tc>
          <w:tcPr>
            <w:tcW w:w="1148"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FBC9E6" w14:textId="5557121E"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Apply the Management Arrangements CMM</w:t>
            </w:r>
            <w:r w:rsidR="008920A6" w:rsidRPr="00064C21">
              <w:rPr>
                <w:rFonts w:ascii="Calibri" w:hAnsi="Calibri" w:cs="Calibri"/>
                <w:kern w:val="0"/>
                <w:sz w:val="20"/>
                <w:szCs w:val="20"/>
              </w:rPr>
              <w:t xml:space="preserve"> / Resolution</w:t>
            </w:r>
            <w:r w:rsidRPr="00064C21">
              <w:rPr>
                <w:rFonts w:ascii="Calibri" w:hAnsi="Calibri" w:cs="Calibri"/>
                <w:kern w:val="0"/>
                <w:sz w:val="20"/>
                <w:szCs w:val="20"/>
              </w:rPr>
              <w:t>.</w:t>
            </w:r>
          </w:p>
        </w:tc>
      </w:tr>
      <w:tr w:rsidR="00143845" w:rsidRPr="00064C21" w14:paraId="456E80F7" w14:textId="77777777" w:rsidTr="00E67F43">
        <w:tc>
          <w:tcPr>
            <w:tcW w:w="41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A9709D9" w14:textId="77777777" w:rsidR="00143845" w:rsidRPr="00064C21" w:rsidRDefault="00143845" w:rsidP="006E5E41">
            <w:pPr>
              <w:autoSpaceDE w:val="0"/>
              <w:autoSpaceDN w:val="0"/>
              <w:adjustRightInd w:val="0"/>
              <w:snapToGrid w:val="0"/>
              <w:jc w:val="center"/>
              <w:rPr>
                <w:rFonts w:ascii="Calibri" w:hAnsi="Calibri" w:cs="Calibri"/>
                <w:b/>
                <w:bCs/>
                <w:kern w:val="0"/>
                <w:sz w:val="20"/>
                <w:szCs w:val="20"/>
              </w:rPr>
            </w:pPr>
            <w:r w:rsidRPr="00064C21">
              <w:rPr>
                <w:rFonts w:ascii="Calibri" w:hAnsi="Calibri" w:cs="Calibri"/>
                <w:b/>
                <w:bCs/>
                <w:kern w:val="0"/>
                <w:sz w:val="20"/>
                <w:szCs w:val="20"/>
              </w:rPr>
              <w:t>2030</w:t>
            </w:r>
          </w:p>
        </w:tc>
        <w:tc>
          <w:tcPr>
            <w:tcW w:w="1147"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49B7DE4" w14:textId="45A61AB9" w:rsidR="00483F56"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Perform stock assessment</w:t>
            </w:r>
            <w:r w:rsidR="00232C43" w:rsidRPr="00064C21">
              <w:rPr>
                <w:rFonts w:ascii="Calibri" w:hAnsi="Calibri" w:cs="Calibri"/>
                <w:kern w:val="0"/>
                <w:sz w:val="20"/>
                <w:szCs w:val="20"/>
              </w:rPr>
              <w:t>.</w:t>
            </w:r>
          </w:p>
          <w:p w14:paraId="722926C1" w14:textId="77777777" w:rsidR="00483F56" w:rsidRPr="00064C21" w:rsidRDefault="00483F56" w:rsidP="004C3393">
            <w:pPr>
              <w:autoSpaceDE w:val="0"/>
              <w:autoSpaceDN w:val="0"/>
              <w:adjustRightInd w:val="0"/>
              <w:snapToGrid w:val="0"/>
              <w:jc w:val="left"/>
              <w:rPr>
                <w:rFonts w:ascii="Calibri" w:hAnsi="Calibri" w:cs="Calibri"/>
                <w:kern w:val="0"/>
                <w:sz w:val="20"/>
                <w:szCs w:val="20"/>
              </w:rPr>
            </w:pPr>
          </w:p>
          <w:p w14:paraId="4E7C130B" w14:textId="167DC632"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Run the MP for application to the period 2031-2032.</w:t>
            </w:r>
          </w:p>
          <w:p w14:paraId="192B8F21" w14:textId="77777777" w:rsidR="00143845" w:rsidRPr="00064C21" w:rsidRDefault="00143845" w:rsidP="004C3393">
            <w:pPr>
              <w:autoSpaceDE w:val="0"/>
              <w:autoSpaceDN w:val="0"/>
              <w:adjustRightInd w:val="0"/>
              <w:snapToGrid w:val="0"/>
              <w:jc w:val="left"/>
              <w:rPr>
                <w:rFonts w:ascii="Calibri" w:hAnsi="Calibri" w:cs="Calibri"/>
                <w:kern w:val="0"/>
                <w:sz w:val="20"/>
                <w:szCs w:val="20"/>
              </w:rPr>
            </w:pPr>
          </w:p>
          <w:p w14:paraId="7B22DC37" w14:textId="0F982B29"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Monitor the performance of the MP.</w:t>
            </w:r>
          </w:p>
          <w:p w14:paraId="30964F8D" w14:textId="77777777" w:rsidR="00483F56" w:rsidRPr="00064C21" w:rsidRDefault="00483F56" w:rsidP="004C3393">
            <w:pPr>
              <w:autoSpaceDE w:val="0"/>
              <w:autoSpaceDN w:val="0"/>
              <w:adjustRightInd w:val="0"/>
              <w:snapToGrid w:val="0"/>
              <w:jc w:val="left"/>
              <w:rPr>
                <w:rFonts w:ascii="Calibri" w:hAnsi="Calibri" w:cs="Calibri"/>
                <w:kern w:val="0"/>
                <w:sz w:val="20"/>
                <w:szCs w:val="20"/>
              </w:rPr>
            </w:pPr>
          </w:p>
          <w:p w14:paraId="4A7E4C75" w14:textId="0FAB1020"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Provide advice to the JWG and WCPFC/ IATTC subsidiary bodies on the MP outputs for application to the period 2031-2032.</w:t>
            </w:r>
          </w:p>
        </w:tc>
        <w:tc>
          <w:tcPr>
            <w:tcW w:w="1148"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6FB7EA" w14:textId="77777777" w:rsidR="00AA4FBB" w:rsidRPr="00064C21" w:rsidRDefault="00AA4FBB"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Review the Management Arrangements CMM/ Resolution.</w:t>
            </w:r>
          </w:p>
          <w:p w14:paraId="4B369BCA" w14:textId="77777777" w:rsidR="00AA4FBB" w:rsidRPr="00064C21" w:rsidRDefault="00AA4FBB" w:rsidP="004C3393">
            <w:pPr>
              <w:autoSpaceDE w:val="0"/>
              <w:autoSpaceDN w:val="0"/>
              <w:adjustRightInd w:val="0"/>
              <w:snapToGrid w:val="0"/>
              <w:jc w:val="left"/>
              <w:rPr>
                <w:rFonts w:ascii="Calibri" w:hAnsi="Calibri" w:cs="Calibri"/>
                <w:kern w:val="0"/>
                <w:sz w:val="20"/>
                <w:szCs w:val="20"/>
              </w:rPr>
            </w:pPr>
          </w:p>
          <w:p w14:paraId="4C82E996" w14:textId="0038F884" w:rsidR="00143845" w:rsidRPr="00064C21" w:rsidRDefault="00AA4FBB"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Provide recommendations to the WCPFC NC and the IATTC, taking into account the output of the MP for application to the period 2031- 2032.</w:t>
            </w:r>
          </w:p>
        </w:tc>
        <w:tc>
          <w:tcPr>
            <w:tcW w:w="1148" w:type="pct"/>
            <w:tcBorders>
              <w:top w:val="single" w:sz="8" w:space="0" w:color="9A9A9A"/>
              <w:left w:val="single" w:sz="8" w:space="0" w:color="9A9A9A"/>
              <w:bottom w:val="single" w:sz="8" w:space="0" w:color="9A9A9A"/>
              <w:right w:val="single" w:sz="8" w:space="0" w:color="9A9A9A"/>
            </w:tcBorders>
          </w:tcPr>
          <w:p w14:paraId="664D581C" w14:textId="77777777" w:rsidR="00315444" w:rsidRPr="00064C21" w:rsidRDefault="00315444"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Review the Management Arrangements CMM.</w:t>
            </w:r>
          </w:p>
          <w:p w14:paraId="403A238E" w14:textId="77777777" w:rsidR="00315444" w:rsidRPr="00064C21" w:rsidRDefault="00315444" w:rsidP="004C3393">
            <w:pPr>
              <w:autoSpaceDE w:val="0"/>
              <w:autoSpaceDN w:val="0"/>
              <w:adjustRightInd w:val="0"/>
              <w:snapToGrid w:val="0"/>
              <w:jc w:val="left"/>
              <w:rPr>
                <w:rFonts w:ascii="Calibri" w:hAnsi="Calibri" w:cs="Calibri"/>
                <w:kern w:val="0"/>
                <w:sz w:val="20"/>
                <w:szCs w:val="20"/>
              </w:rPr>
            </w:pPr>
          </w:p>
          <w:p w14:paraId="7693DBE5" w14:textId="0444349A" w:rsidR="005F1339" w:rsidRPr="00064C21" w:rsidRDefault="00315444" w:rsidP="004C3393">
            <w:pPr>
              <w:autoSpaceDE w:val="0"/>
              <w:autoSpaceDN w:val="0"/>
              <w:adjustRightInd w:val="0"/>
              <w:snapToGrid w:val="0"/>
              <w:jc w:val="left"/>
              <w:rPr>
                <w:rFonts w:ascii="Calibri" w:hAnsi="Calibri" w:cs="Calibri"/>
                <w:kern w:val="0"/>
                <w:sz w:val="20"/>
                <w:szCs w:val="20"/>
                <w:highlight w:val="green"/>
              </w:rPr>
            </w:pPr>
            <w:r w:rsidRPr="00064C21">
              <w:rPr>
                <w:rFonts w:ascii="Calibri" w:hAnsi="Calibri" w:cs="Calibri"/>
                <w:kern w:val="0"/>
                <w:sz w:val="20"/>
                <w:szCs w:val="20"/>
              </w:rPr>
              <w:t>Provide recommendations to the WCPFC Commission, taking into account the output of the MP for application to the period 2031 – 2032.</w:t>
            </w:r>
          </w:p>
        </w:tc>
        <w:tc>
          <w:tcPr>
            <w:tcW w:w="1148"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547FAD4" w14:textId="387C7DB5" w:rsidR="00143845" w:rsidRPr="00064C21" w:rsidRDefault="00143845" w:rsidP="004C3393">
            <w:pPr>
              <w:autoSpaceDE w:val="0"/>
              <w:autoSpaceDN w:val="0"/>
              <w:adjustRightInd w:val="0"/>
              <w:snapToGrid w:val="0"/>
              <w:jc w:val="left"/>
              <w:rPr>
                <w:rFonts w:ascii="Calibri" w:hAnsi="Calibri" w:cs="Calibri"/>
                <w:kern w:val="0"/>
                <w:sz w:val="20"/>
                <w:szCs w:val="20"/>
              </w:rPr>
            </w:pPr>
            <w:r w:rsidRPr="00064C21">
              <w:rPr>
                <w:rFonts w:ascii="Calibri" w:hAnsi="Calibri" w:cs="Calibri"/>
                <w:kern w:val="0"/>
                <w:sz w:val="20"/>
                <w:szCs w:val="20"/>
              </w:rPr>
              <w:t>Adopt the revision of the Management Arrangements CMM</w:t>
            </w:r>
            <w:r w:rsidR="008920A6" w:rsidRPr="00064C21">
              <w:rPr>
                <w:rFonts w:ascii="Calibri" w:hAnsi="Calibri" w:cs="Calibri"/>
                <w:kern w:val="0"/>
                <w:sz w:val="20"/>
                <w:szCs w:val="20"/>
              </w:rPr>
              <w:t xml:space="preserve"> / Resolution</w:t>
            </w:r>
            <w:r w:rsidRPr="00064C21">
              <w:rPr>
                <w:rFonts w:ascii="Calibri" w:hAnsi="Calibri" w:cs="Calibri"/>
                <w:kern w:val="0"/>
                <w:sz w:val="20"/>
                <w:szCs w:val="20"/>
              </w:rPr>
              <w:t xml:space="preserve"> for 2031-2032.</w:t>
            </w:r>
          </w:p>
        </w:tc>
      </w:tr>
    </w:tbl>
    <w:p w14:paraId="78DA1B7D" w14:textId="77777777" w:rsidR="00D008C6" w:rsidRPr="009D0D2D" w:rsidRDefault="00D008C6" w:rsidP="005313BF">
      <w:pPr>
        <w:autoSpaceDE w:val="0"/>
        <w:autoSpaceDN w:val="0"/>
        <w:adjustRightInd w:val="0"/>
        <w:snapToGrid w:val="0"/>
        <w:rPr>
          <w:rFonts w:ascii="Calibri" w:hAnsi="Calibri" w:cs="Calibri"/>
          <w:kern w:val="0"/>
          <w:sz w:val="22"/>
          <w:szCs w:val="22"/>
        </w:rPr>
      </w:pPr>
    </w:p>
    <w:p w14:paraId="7A64C650" w14:textId="3A53905A"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t>Management Strategy Evaluation</w:t>
      </w:r>
    </w:p>
    <w:p w14:paraId="5EC715C9" w14:textId="77777777" w:rsidR="001A5BC3" w:rsidRPr="009D0D2D" w:rsidRDefault="001A5BC3" w:rsidP="005313BF">
      <w:pPr>
        <w:autoSpaceDE w:val="0"/>
        <w:autoSpaceDN w:val="0"/>
        <w:adjustRightInd w:val="0"/>
        <w:snapToGrid w:val="0"/>
        <w:rPr>
          <w:rFonts w:ascii="Calibri" w:hAnsi="Calibri" w:cs="Calibri"/>
          <w:kern w:val="0"/>
          <w:sz w:val="22"/>
          <w:szCs w:val="22"/>
        </w:rPr>
      </w:pPr>
    </w:p>
    <w:p w14:paraId="0718E37A" w14:textId="2C7A03E9" w:rsidR="005508F5"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MP has been simulation tested to determine its likely performance against a range of plausible scenarios. These scenarios and the details of the testing procedure are provided i</w:t>
      </w:r>
      <w:r w:rsidR="00CC461E" w:rsidRPr="009D0D2D">
        <w:rPr>
          <w:rFonts w:ascii="Calibri" w:hAnsi="Calibri" w:cs="Calibri"/>
          <w:kern w:val="0"/>
          <w:sz w:val="22"/>
          <w:szCs w:val="22"/>
        </w:rPr>
        <w:t>n</w:t>
      </w:r>
      <w:r w:rsidRPr="009D0D2D">
        <w:rPr>
          <w:rFonts w:ascii="Calibri" w:hAnsi="Calibri" w:cs="Calibri"/>
          <w:kern w:val="0"/>
          <w:sz w:val="22"/>
          <w:szCs w:val="22"/>
        </w:rPr>
        <w:t xml:space="preserve"> IATTC-NC-JWGI03-2026/IP-01.</w:t>
      </w:r>
      <w:r w:rsidR="00880A50" w:rsidRPr="009D0D2D">
        <w:rPr>
          <w:rFonts w:ascii="Calibri" w:hAnsi="Calibri" w:cs="Calibri"/>
          <w:kern w:val="0"/>
          <w:sz w:val="22"/>
          <w:szCs w:val="22"/>
        </w:rPr>
        <w:t xml:space="preserve"> </w:t>
      </w:r>
      <w:r w:rsidRPr="009D0D2D">
        <w:rPr>
          <w:rFonts w:ascii="Calibri" w:hAnsi="Calibri" w:cs="Calibri"/>
          <w:kern w:val="0"/>
          <w:sz w:val="22"/>
          <w:szCs w:val="22"/>
        </w:rPr>
        <w:t>The results of the evaluations are outlined in the same document and are available online at:</w:t>
      </w:r>
      <w:r w:rsidR="004544D9" w:rsidRPr="009D0D2D">
        <w:rPr>
          <w:rFonts w:ascii="Calibri" w:hAnsi="Calibri" w:cs="Calibri"/>
          <w:kern w:val="0"/>
          <w:sz w:val="22"/>
          <w:szCs w:val="22"/>
        </w:rPr>
        <w:t xml:space="preserve"> </w:t>
      </w:r>
      <w:hyperlink r:id="rId8" w:history="1">
        <w:r w:rsidR="00ED0A93" w:rsidRPr="009D0D2D">
          <w:rPr>
            <w:rStyle w:val="Hyperlink"/>
            <w:rFonts w:ascii="Calibri" w:hAnsi="Calibri" w:cs="Calibri"/>
            <w:kern w:val="0"/>
            <w:sz w:val="22"/>
            <w:szCs w:val="22"/>
          </w:rPr>
          <w:t>https://connect.fisheries.noaa.gov/ISCPBF-MSE-tool/</w:t>
        </w:r>
      </w:hyperlink>
      <w:r w:rsidRPr="009D0D2D">
        <w:rPr>
          <w:rFonts w:ascii="Calibri" w:hAnsi="Calibri" w:cs="Calibri"/>
          <w:kern w:val="0"/>
          <w:sz w:val="22"/>
          <w:szCs w:val="22"/>
        </w:rPr>
        <w:t>.</w:t>
      </w:r>
    </w:p>
    <w:p w14:paraId="60DB6EE6" w14:textId="37840BEB" w:rsidR="005508F5" w:rsidRDefault="005508F5" w:rsidP="005313BF">
      <w:pPr>
        <w:autoSpaceDE w:val="0"/>
        <w:autoSpaceDN w:val="0"/>
        <w:adjustRightInd w:val="0"/>
        <w:snapToGrid w:val="0"/>
        <w:rPr>
          <w:rFonts w:ascii="Calibri" w:eastAsia="Malgun Gothic" w:hAnsi="Calibri" w:cs="Calibri"/>
          <w:kern w:val="0"/>
          <w:sz w:val="22"/>
          <w:szCs w:val="22"/>
          <w:lang w:eastAsia="ko-KR"/>
        </w:rPr>
      </w:pPr>
    </w:p>
    <w:p w14:paraId="092AB0D8" w14:textId="77777777" w:rsidR="0020188E" w:rsidRPr="0020188E" w:rsidRDefault="0020188E" w:rsidP="005313BF">
      <w:pPr>
        <w:autoSpaceDE w:val="0"/>
        <w:autoSpaceDN w:val="0"/>
        <w:adjustRightInd w:val="0"/>
        <w:snapToGrid w:val="0"/>
        <w:rPr>
          <w:rFonts w:ascii="Calibri" w:eastAsia="Malgun Gothic" w:hAnsi="Calibri" w:cs="Calibri"/>
          <w:kern w:val="0"/>
          <w:sz w:val="22"/>
          <w:szCs w:val="22"/>
          <w:lang w:eastAsia="ko-KR"/>
        </w:rPr>
      </w:pPr>
    </w:p>
    <w:p w14:paraId="05815C10" w14:textId="77777777"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lastRenderedPageBreak/>
        <w:t>Review and Final Provisions</w:t>
      </w:r>
    </w:p>
    <w:p w14:paraId="78DC2B4E" w14:textId="77777777" w:rsidR="00FC0C52" w:rsidRPr="009D0D2D" w:rsidRDefault="00FC0C52" w:rsidP="005313BF">
      <w:pPr>
        <w:autoSpaceDE w:val="0"/>
        <w:autoSpaceDN w:val="0"/>
        <w:adjustRightInd w:val="0"/>
        <w:snapToGrid w:val="0"/>
        <w:rPr>
          <w:rFonts w:ascii="Calibri" w:hAnsi="Calibri" w:cs="Calibri"/>
          <w:b/>
          <w:bCs/>
          <w:kern w:val="0"/>
          <w:sz w:val="22"/>
          <w:szCs w:val="22"/>
        </w:rPr>
      </w:pPr>
    </w:p>
    <w:p w14:paraId="4EB574BB" w14:textId="2290F638" w:rsidR="005508F5" w:rsidRPr="009D0D2D" w:rsidRDefault="004E7E40"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The WCPFC and IATTC </w:t>
      </w:r>
      <w:r w:rsidR="005508F5" w:rsidRPr="009D0D2D">
        <w:rPr>
          <w:rFonts w:ascii="Calibri" w:hAnsi="Calibri" w:cs="Calibri"/>
          <w:kern w:val="0"/>
          <w:sz w:val="22"/>
          <w:szCs w:val="22"/>
        </w:rPr>
        <w:t>Commission</w:t>
      </w:r>
      <w:r w:rsidR="003B7F28" w:rsidRPr="009D0D2D">
        <w:rPr>
          <w:rFonts w:ascii="Calibri" w:hAnsi="Calibri" w:cs="Calibri"/>
          <w:kern w:val="0"/>
          <w:sz w:val="22"/>
          <w:szCs w:val="22"/>
        </w:rPr>
        <w:t>s</w:t>
      </w:r>
      <w:r w:rsidR="005508F5" w:rsidRPr="009D0D2D">
        <w:rPr>
          <w:rFonts w:ascii="Calibri" w:hAnsi="Calibri" w:cs="Calibri"/>
          <w:kern w:val="0"/>
          <w:sz w:val="22"/>
          <w:szCs w:val="22"/>
        </w:rPr>
        <w:t xml:space="preserve"> shall review this </w:t>
      </w:r>
      <w:r w:rsidR="000D107A" w:rsidRPr="009D0D2D">
        <w:rPr>
          <w:rFonts w:ascii="Calibri" w:hAnsi="Calibri" w:cs="Calibri"/>
          <w:kern w:val="0"/>
          <w:sz w:val="22"/>
          <w:szCs w:val="22"/>
        </w:rPr>
        <w:t xml:space="preserve">MP </w:t>
      </w:r>
      <w:r w:rsidR="005508F5" w:rsidRPr="009D0D2D">
        <w:rPr>
          <w:rFonts w:ascii="Calibri" w:hAnsi="Calibri" w:cs="Calibri"/>
          <w:kern w:val="0"/>
          <w:sz w:val="22"/>
          <w:szCs w:val="22"/>
        </w:rPr>
        <w:t>in 2032 to ensure that the various provisions are having the intended effect. The Commission</w:t>
      </w:r>
      <w:r w:rsidR="00EF7677" w:rsidRPr="009D0D2D">
        <w:rPr>
          <w:rFonts w:ascii="Calibri" w:hAnsi="Calibri" w:cs="Calibri"/>
          <w:kern w:val="0"/>
          <w:sz w:val="22"/>
          <w:szCs w:val="22"/>
        </w:rPr>
        <w:t>s</w:t>
      </w:r>
      <w:r w:rsidR="005508F5" w:rsidRPr="009D0D2D">
        <w:rPr>
          <w:rFonts w:ascii="Calibri" w:hAnsi="Calibri" w:cs="Calibri"/>
          <w:kern w:val="0"/>
          <w:sz w:val="22"/>
          <w:szCs w:val="22"/>
        </w:rPr>
        <w:t xml:space="preserve"> may amend the </w:t>
      </w:r>
      <w:r w:rsidR="000D107A" w:rsidRPr="009D0D2D">
        <w:rPr>
          <w:rFonts w:ascii="Calibri" w:hAnsi="Calibri" w:cs="Calibri"/>
          <w:kern w:val="0"/>
          <w:sz w:val="22"/>
          <w:szCs w:val="22"/>
        </w:rPr>
        <w:t>MP</w:t>
      </w:r>
      <w:r w:rsidR="005508F5" w:rsidRPr="009D0D2D">
        <w:rPr>
          <w:rFonts w:ascii="Calibri" w:hAnsi="Calibri" w:cs="Calibri"/>
          <w:kern w:val="0"/>
          <w:sz w:val="22"/>
          <w:szCs w:val="22"/>
        </w:rPr>
        <w:t xml:space="preserve"> based on </w:t>
      </w:r>
      <w:r w:rsidR="00A470FD" w:rsidRPr="009D0D2D">
        <w:rPr>
          <w:rFonts w:ascii="Calibri" w:hAnsi="Calibri" w:cs="Calibri"/>
          <w:kern w:val="0"/>
          <w:sz w:val="22"/>
          <w:szCs w:val="22"/>
        </w:rPr>
        <w:t>the results of this review</w:t>
      </w:r>
      <w:r w:rsidR="005508F5" w:rsidRPr="009D0D2D">
        <w:rPr>
          <w:rFonts w:ascii="Calibri" w:hAnsi="Calibri" w:cs="Calibri"/>
          <w:kern w:val="0"/>
          <w:sz w:val="22"/>
          <w:szCs w:val="22"/>
        </w:rPr>
        <w:t xml:space="preserve">. </w:t>
      </w:r>
    </w:p>
    <w:p w14:paraId="224BF623" w14:textId="77777777" w:rsidR="005508F5" w:rsidRPr="009D0D2D" w:rsidRDefault="005508F5"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 </w:t>
      </w:r>
    </w:p>
    <w:p w14:paraId="572E6C23" w14:textId="72664BDC" w:rsidR="005508F5" w:rsidRPr="009D0D2D" w:rsidRDefault="005508F5" w:rsidP="00A15E52">
      <w:pPr>
        <w:pStyle w:val="ListParagraph"/>
        <w:numPr>
          <w:ilvl w:val="0"/>
          <w:numId w:val="13"/>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This measure replaces </w:t>
      </w:r>
      <w:r w:rsidR="00E52612" w:rsidRPr="009D0D2D">
        <w:rPr>
          <w:rFonts w:ascii="Calibri" w:hAnsi="Calibri" w:cs="Calibri"/>
          <w:kern w:val="0"/>
          <w:sz w:val="22"/>
          <w:szCs w:val="22"/>
        </w:rPr>
        <w:t xml:space="preserve">WCPFC </w:t>
      </w:r>
      <w:r w:rsidRPr="009D0D2D">
        <w:rPr>
          <w:rFonts w:ascii="Calibri" w:hAnsi="Calibri" w:cs="Calibri"/>
          <w:kern w:val="0"/>
          <w:sz w:val="22"/>
          <w:szCs w:val="22"/>
        </w:rPr>
        <w:t>HS 2023-03</w:t>
      </w:r>
      <w:r w:rsidR="00E72E05" w:rsidRPr="009D0D2D">
        <w:rPr>
          <w:rFonts w:ascii="Calibri" w:hAnsi="Calibri" w:cs="Calibri"/>
          <w:kern w:val="0"/>
          <w:sz w:val="22"/>
          <w:szCs w:val="22"/>
        </w:rPr>
        <w:t xml:space="preserve"> and</w:t>
      </w:r>
      <w:r w:rsidR="00E52612" w:rsidRPr="009D0D2D">
        <w:rPr>
          <w:rFonts w:ascii="Calibri" w:hAnsi="Calibri" w:cs="Calibri"/>
          <w:kern w:val="0"/>
          <w:sz w:val="22"/>
          <w:szCs w:val="22"/>
        </w:rPr>
        <w:t xml:space="preserve"> IATTC </w:t>
      </w:r>
      <w:r w:rsidR="00E72E05" w:rsidRPr="009D0D2D">
        <w:rPr>
          <w:rFonts w:ascii="Calibri" w:hAnsi="Calibri" w:cs="Calibri"/>
          <w:kern w:val="0"/>
          <w:sz w:val="22"/>
          <w:szCs w:val="22"/>
        </w:rPr>
        <w:t>Resolution</w:t>
      </w:r>
      <w:r w:rsidR="005070B5" w:rsidRPr="009D0D2D">
        <w:rPr>
          <w:rFonts w:ascii="Calibri" w:hAnsi="Calibri" w:cs="Calibri"/>
          <w:kern w:val="0"/>
          <w:sz w:val="22"/>
          <w:szCs w:val="22"/>
        </w:rPr>
        <w:t xml:space="preserve"> C-</w:t>
      </w:r>
      <w:r w:rsidR="003E08BA" w:rsidRPr="009D0D2D">
        <w:rPr>
          <w:rFonts w:ascii="Calibri" w:hAnsi="Calibri" w:cs="Calibri"/>
          <w:kern w:val="0"/>
          <w:sz w:val="22"/>
          <w:szCs w:val="22"/>
        </w:rPr>
        <w:t>23-01</w:t>
      </w:r>
      <w:r w:rsidRPr="009D0D2D">
        <w:rPr>
          <w:rFonts w:ascii="Calibri" w:hAnsi="Calibri" w:cs="Calibri"/>
          <w:kern w:val="0"/>
          <w:sz w:val="22"/>
          <w:szCs w:val="22"/>
        </w:rPr>
        <w:t xml:space="preserve">. This measure shall come into effect on 1 January 2027 and shall remain in effect until 31 December 2032 unless otherwise decided by </w:t>
      </w:r>
      <w:r w:rsidR="00BB5D35" w:rsidRPr="009D0D2D">
        <w:rPr>
          <w:rFonts w:ascii="Calibri" w:hAnsi="Calibri" w:cs="Calibri"/>
          <w:kern w:val="0"/>
          <w:sz w:val="22"/>
          <w:szCs w:val="22"/>
        </w:rPr>
        <w:t xml:space="preserve">both </w:t>
      </w:r>
      <w:r w:rsidR="00A44886" w:rsidRPr="009D0D2D">
        <w:rPr>
          <w:rFonts w:ascii="Calibri" w:hAnsi="Calibri" w:cs="Calibri"/>
          <w:kern w:val="0"/>
          <w:sz w:val="22"/>
          <w:szCs w:val="22"/>
        </w:rPr>
        <w:t>Commission</w:t>
      </w:r>
      <w:r w:rsidR="00BB5D35" w:rsidRPr="009D0D2D">
        <w:rPr>
          <w:rFonts w:ascii="Calibri" w:hAnsi="Calibri" w:cs="Calibri"/>
          <w:kern w:val="0"/>
          <w:sz w:val="22"/>
          <w:szCs w:val="22"/>
        </w:rPr>
        <w:t>s</w:t>
      </w:r>
      <w:r w:rsidR="00A44886" w:rsidRPr="009D0D2D">
        <w:rPr>
          <w:rFonts w:ascii="Calibri" w:hAnsi="Calibri" w:cs="Calibri"/>
          <w:kern w:val="0"/>
          <w:sz w:val="22"/>
          <w:szCs w:val="22"/>
        </w:rPr>
        <w:t>,</w:t>
      </w:r>
      <w:r w:rsidR="00A470FD" w:rsidRPr="009D0D2D">
        <w:rPr>
          <w:rFonts w:ascii="Calibri" w:hAnsi="Calibri" w:cs="Calibri"/>
          <w:kern w:val="0"/>
          <w:sz w:val="22"/>
          <w:szCs w:val="22"/>
        </w:rPr>
        <w:t xml:space="preserve"> in accordance with Paragraph </w:t>
      </w:r>
      <w:r w:rsidR="00E52612" w:rsidRPr="009D0D2D">
        <w:rPr>
          <w:rFonts w:ascii="Calibri" w:hAnsi="Calibri" w:cs="Calibri"/>
          <w:kern w:val="0"/>
          <w:sz w:val="22"/>
          <w:szCs w:val="22"/>
        </w:rPr>
        <w:t>9</w:t>
      </w:r>
      <w:r w:rsidR="00A470FD" w:rsidRPr="009D0D2D">
        <w:rPr>
          <w:rFonts w:ascii="Calibri" w:hAnsi="Calibri" w:cs="Calibri"/>
          <w:kern w:val="0"/>
          <w:sz w:val="22"/>
          <w:szCs w:val="22"/>
        </w:rPr>
        <w:t xml:space="preserve"> above.</w:t>
      </w:r>
    </w:p>
    <w:p w14:paraId="2B2B2863" w14:textId="77777777" w:rsidR="00794AB2" w:rsidRPr="009D0D2D" w:rsidRDefault="00794AB2" w:rsidP="005313BF">
      <w:pPr>
        <w:autoSpaceDE w:val="0"/>
        <w:autoSpaceDN w:val="0"/>
        <w:adjustRightInd w:val="0"/>
        <w:snapToGrid w:val="0"/>
        <w:rPr>
          <w:rFonts w:ascii="Calibri" w:hAnsi="Calibri" w:cs="Calibri"/>
          <w:kern w:val="0"/>
          <w:sz w:val="22"/>
          <w:szCs w:val="22"/>
        </w:rPr>
      </w:pPr>
    </w:p>
    <w:p w14:paraId="2646120C" w14:textId="77777777" w:rsidR="00794AB2" w:rsidRPr="009D0D2D" w:rsidRDefault="00794AB2" w:rsidP="005313BF">
      <w:pPr>
        <w:autoSpaceDE w:val="0"/>
        <w:autoSpaceDN w:val="0"/>
        <w:adjustRightInd w:val="0"/>
        <w:snapToGrid w:val="0"/>
        <w:rPr>
          <w:rFonts w:ascii="Calibri" w:hAnsi="Calibri" w:cs="Calibri"/>
          <w:kern w:val="0"/>
          <w:sz w:val="22"/>
          <w:szCs w:val="22"/>
        </w:rPr>
      </w:pPr>
    </w:p>
    <w:p w14:paraId="5258E633" w14:textId="77777777" w:rsidR="00794AB2" w:rsidRPr="009D0D2D" w:rsidRDefault="00794AB2" w:rsidP="005313BF">
      <w:pPr>
        <w:autoSpaceDE w:val="0"/>
        <w:autoSpaceDN w:val="0"/>
        <w:adjustRightInd w:val="0"/>
        <w:snapToGrid w:val="0"/>
        <w:rPr>
          <w:rFonts w:ascii="Calibri" w:hAnsi="Calibri" w:cs="Calibri"/>
          <w:kern w:val="0"/>
          <w:sz w:val="22"/>
          <w:szCs w:val="22"/>
        </w:rPr>
      </w:pPr>
    </w:p>
    <w:p w14:paraId="0EB7E179" w14:textId="77777777" w:rsidR="00231817" w:rsidRPr="009D0D2D" w:rsidRDefault="00231817" w:rsidP="005313BF">
      <w:pPr>
        <w:widowControl/>
        <w:adjustRightInd w:val="0"/>
        <w:snapToGrid w:val="0"/>
        <w:rPr>
          <w:rFonts w:ascii="Calibri" w:hAnsi="Calibri" w:cs="Calibri"/>
          <w:kern w:val="0"/>
          <w:sz w:val="22"/>
          <w:szCs w:val="22"/>
        </w:rPr>
      </w:pPr>
      <w:r w:rsidRPr="009D0D2D">
        <w:rPr>
          <w:rFonts w:ascii="Calibri" w:hAnsi="Calibri" w:cs="Calibri"/>
          <w:kern w:val="0"/>
          <w:sz w:val="22"/>
          <w:szCs w:val="22"/>
        </w:rPr>
        <w:br w:type="page"/>
      </w:r>
    </w:p>
    <w:p w14:paraId="2B03375B" w14:textId="534B66E9" w:rsidR="00D22225" w:rsidRPr="009D0D2D" w:rsidRDefault="00D416A2"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lastRenderedPageBreak/>
        <w:t>ANNEX 1</w:t>
      </w:r>
      <w:r w:rsidR="00D22225" w:rsidRPr="009D0D2D">
        <w:rPr>
          <w:rFonts w:ascii="Calibri" w:hAnsi="Calibri" w:cs="Calibri"/>
          <w:b/>
          <w:bCs/>
          <w:kern w:val="0"/>
          <w:sz w:val="22"/>
          <w:szCs w:val="22"/>
        </w:rPr>
        <w:t>: HARVEST CONTROL RULE</w:t>
      </w:r>
    </w:p>
    <w:p w14:paraId="2319A57E" w14:textId="77777777" w:rsidR="00D22225" w:rsidRPr="009D0D2D" w:rsidRDefault="00D22225" w:rsidP="005313BF">
      <w:pPr>
        <w:autoSpaceDE w:val="0"/>
        <w:autoSpaceDN w:val="0"/>
        <w:adjustRightInd w:val="0"/>
        <w:snapToGrid w:val="0"/>
        <w:rPr>
          <w:rFonts w:ascii="Calibri" w:hAnsi="Calibri" w:cs="Calibri"/>
          <w:kern w:val="0"/>
          <w:sz w:val="22"/>
          <w:szCs w:val="22"/>
        </w:rPr>
      </w:pPr>
    </w:p>
    <w:p w14:paraId="3F7D4801" w14:textId="77777777" w:rsidR="007E65A6" w:rsidRPr="009D0D2D" w:rsidRDefault="007E65A6" w:rsidP="00A15E52">
      <w:pPr>
        <w:pStyle w:val="ListParagraph"/>
        <w:numPr>
          <w:ilvl w:val="0"/>
          <w:numId w:val="16"/>
        </w:numPr>
        <w:autoSpaceDE w:val="0"/>
        <w:autoSpaceDN w:val="0"/>
        <w:adjustRightInd w:val="0"/>
        <w:snapToGrid w:val="0"/>
        <w:ind w:left="0" w:right="340" w:firstLine="0"/>
        <w:contextualSpacing w:val="0"/>
        <w:rPr>
          <w:rFonts w:ascii="Calibri" w:hAnsi="Calibri" w:cs="Calibri"/>
          <w:sz w:val="22"/>
          <w:szCs w:val="22"/>
        </w:rPr>
      </w:pPr>
      <w:r w:rsidRPr="009D0D2D">
        <w:rPr>
          <w:rFonts w:ascii="Calibri" w:hAnsi="Calibri" w:cs="Calibri"/>
          <w:sz w:val="22"/>
          <w:szCs w:val="22"/>
        </w:rPr>
        <w:t>The harvest control rule (HCR) is defined by parameters related to stock status (the ratio of SSB</w:t>
      </w:r>
      <w:r w:rsidRPr="009D0D2D">
        <w:rPr>
          <w:rFonts w:ascii="Calibri" w:hAnsi="Calibri" w:cs="Calibri"/>
          <w:sz w:val="22"/>
          <w:szCs w:val="22"/>
          <w:vertAlign w:val="subscript"/>
        </w:rPr>
        <w:t>current</w:t>
      </w:r>
      <w:r w:rsidRPr="009D0D2D">
        <w:rPr>
          <w:rFonts w:ascii="Calibri" w:hAnsi="Calibri" w:cs="Calibri"/>
          <w:sz w:val="22"/>
          <w:szCs w:val="22"/>
        </w:rPr>
        <w:t xml:space="preserve"> to SSB</w:t>
      </w:r>
      <w:r w:rsidRPr="009D0D2D">
        <w:rPr>
          <w:rFonts w:ascii="Calibri" w:hAnsi="Calibri" w:cs="Calibri"/>
          <w:sz w:val="22"/>
          <w:szCs w:val="22"/>
          <w:vertAlign w:val="subscript"/>
        </w:rPr>
        <w:t>F=0</w:t>
      </w:r>
      <w:r w:rsidRPr="009D0D2D">
        <w:rPr>
          <w:rFonts w:ascii="Calibri" w:hAnsi="Calibri" w:cs="Calibri"/>
          <w:sz w:val="22"/>
          <w:szCs w:val="22"/>
        </w:rPr>
        <w:t>) and fishing intensity (SPR) (Fig. 1). SSB</w:t>
      </w:r>
      <w:r w:rsidRPr="009D0D2D">
        <w:rPr>
          <w:rFonts w:ascii="Calibri" w:hAnsi="Calibri" w:cs="Calibri"/>
          <w:sz w:val="22"/>
          <w:szCs w:val="22"/>
          <w:vertAlign w:val="subscript"/>
        </w:rPr>
        <w:t>current</w:t>
      </w:r>
      <w:r w:rsidRPr="009D0D2D">
        <w:rPr>
          <w:rFonts w:ascii="Calibri" w:hAnsi="Calibri" w:cs="Calibri"/>
          <w:sz w:val="22"/>
          <w:szCs w:val="22"/>
        </w:rPr>
        <w:t xml:space="preserve"> and SSB</w:t>
      </w:r>
      <w:r w:rsidRPr="009D0D2D">
        <w:rPr>
          <w:rFonts w:ascii="Calibri" w:hAnsi="Calibri" w:cs="Calibri"/>
          <w:sz w:val="22"/>
          <w:szCs w:val="22"/>
          <w:vertAlign w:val="subscript"/>
        </w:rPr>
        <w:t>F=0</w:t>
      </w:r>
      <w:r w:rsidRPr="009D0D2D">
        <w:rPr>
          <w:rFonts w:ascii="Calibri" w:hAnsi="Calibri" w:cs="Calibri"/>
          <w:sz w:val="22"/>
          <w:szCs w:val="22"/>
        </w:rPr>
        <w:t xml:space="preserve"> refer to spawning stock biomass in the terminal year and unfished spawning stock biomass at equilibrium condition, respectively, both estimated by the estimation model. The output from the harvest control rule is a SPR that was used to calculate future TAC along with the age structures of PBF and relative fishing mortality across fleets and ages. Features of HCR include:  </w:t>
      </w:r>
    </w:p>
    <w:p w14:paraId="78D7E8F5" w14:textId="77777777" w:rsidR="002D547D" w:rsidRPr="009D0D2D" w:rsidRDefault="002D547D" w:rsidP="005313BF">
      <w:pPr>
        <w:pStyle w:val="ListParagraph"/>
        <w:tabs>
          <w:tab w:val="left" w:pos="1059"/>
          <w:tab w:val="left" w:pos="1061"/>
        </w:tabs>
        <w:autoSpaceDE w:val="0"/>
        <w:autoSpaceDN w:val="0"/>
        <w:adjustRightInd w:val="0"/>
        <w:snapToGrid w:val="0"/>
        <w:ind w:left="1440" w:right="340"/>
        <w:contextualSpacing w:val="0"/>
        <w:rPr>
          <w:rFonts w:ascii="Calibri" w:hAnsi="Calibri" w:cs="Calibri"/>
          <w:sz w:val="22"/>
          <w:szCs w:val="22"/>
        </w:rPr>
      </w:pPr>
    </w:p>
    <w:p w14:paraId="444029B3" w14:textId="127A4C90" w:rsidR="007E65A6" w:rsidRPr="009D0D2D" w:rsidRDefault="007E65A6" w:rsidP="00A15E52">
      <w:pPr>
        <w:pStyle w:val="ListParagraph"/>
        <w:numPr>
          <w:ilvl w:val="1"/>
          <w:numId w:val="16"/>
        </w:numPr>
        <w:autoSpaceDE w:val="0"/>
        <w:autoSpaceDN w:val="0"/>
        <w:adjustRightInd w:val="0"/>
        <w:snapToGrid w:val="0"/>
        <w:ind w:left="1080" w:right="340"/>
        <w:contextualSpacing w:val="0"/>
        <w:rPr>
          <w:rFonts w:ascii="Calibri" w:hAnsi="Calibri" w:cs="Calibri"/>
          <w:sz w:val="22"/>
          <w:szCs w:val="22"/>
        </w:rPr>
      </w:pPr>
      <w:r w:rsidRPr="009D0D2D">
        <w:rPr>
          <w:rFonts w:ascii="Calibri" w:hAnsi="Calibri" w:cs="Calibri"/>
          <w:sz w:val="22"/>
          <w:szCs w:val="22"/>
        </w:rPr>
        <w:t>If SSB</w:t>
      </w:r>
      <w:r w:rsidRPr="009D0D2D">
        <w:rPr>
          <w:rFonts w:ascii="Calibri" w:hAnsi="Calibri" w:cs="Calibri"/>
          <w:sz w:val="22"/>
          <w:szCs w:val="22"/>
          <w:vertAlign w:val="subscript"/>
        </w:rPr>
        <w:t>current</w:t>
      </w:r>
      <w:r w:rsidRPr="009D0D2D">
        <w:rPr>
          <w:rFonts w:ascii="Calibri" w:hAnsi="Calibri" w:cs="Calibri"/>
          <w:sz w:val="22"/>
          <w:szCs w:val="22"/>
        </w:rPr>
        <w:t>/SSB</w:t>
      </w:r>
      <w:r w:rsidRPr="009D0D2D">
        <w:rPr>
          <w:rFonts w:ascii="Calibri" w:hAnsi="Calibri" w:cs="Calibri"/>
          <w:sz w:val="22"/>
          <w:szCs w:val="22"/>
          <w:vertAlign w:val="subscript"/>
        </w:rPr>
        <w:t>F=0</w:t>
      </w:r>
      <w:r w:rsidRPr="009D0D2D">
        <w:rPr>
          <w:rFonts w:ascii="Calibri" w:hAnsi="Calibri" w:cs="Calibri"/>
          <w:sz w:val="22"/>
          <w:szCs w:val="22"/>
        </w:rPr>
        <w:t xml:space="preserve"> is above or equal to 1</w:t>
      </w:r>
      <w:r w:rsidRPr="009D0D2D">
        <w:rPr>
          <w:rFonts w:ascii="Calibri" w:hAnsi="Calibri" w:cs="Calibri"/>
          <w:sz w:val="22"/>
          <w:szCs w:val="22"/>
          <w:vertAlign w:val="superscript"/>
        </w:rPr>
        <w:t>st</w:t>
      </w:r>
      <w:r w:rsidRPr="009D0D2D">
        <w:rPr>
          <w:rFonts w:ascii="Calibri" w:hAnsi="Calibri" w:cs="Calibri"/>
          <w:sz w:val="22"/>
          <w:szCs w:val="22"/>
        </w:rPr>
        <w:t xml:space="preserve"> control point, fishing intensity shall be maintained at the F target.</w:t>
      </w:r>
    </w:p>
    <w:p w14:paraId="39331302" w14:textId="77777777" w:rsidR="002D547D" w:rsidRPr="009D0D2D" w:rsidRDefault="002D547D" w:rsidP="00A15E52">
      <w:pPr>
        <w:pStyle w:val="ListParagraph"/>
        <w:autoSpaceDE w:val="0"/>
        <w:autoSpaceDN w:val="0"/>
        <w:adjustRightInd w:val="0"/>
        <w:snapToGrid w:val="0"/>
        <w:ind w:left="1080" w:right="340"/>
        <w:contextualSpacing w:val="0"/>
        <w:rPr>
          <w:rFonts w:ascii="Calibri" w:hAnsi="Calibri" w:cs="Calibri"/>
          <w:sz w:val="22"/>
          <w:szCs w:val="22"/>
        </w:rPr>
      </w:pPr>
    </w:p>
    <w:p w14:paraId="6C8CA1F9" w14:textId="0E10E522" w:rsidR="007E65A6" w:rsidRPr="009D0D2D" w:rsidRDefault="007E65A6" w:rsidP="00A15E52">
      <w:pPr>
        <w:pStyle w:val="ListParagraph"/>
        <w:numPr>
          <w:ilvl w:val="1"/>
          <w:numId w:val="16"/>
        </w:numPr>
        <w:autoSpaceDE w:val="0"/>
        <w:autoSpaceDN w:val="0"/>
        <w:adjustRightInd w:val="0"/>
        <w:snapToGrid w:val="0"/>
        <w:ind w:left="1080" w:right="340"/>
        <w:contextualSpacing w:val="0"/>
        <w:rPr>
          <w:rFonts w:ascii="Calibri" w:hAnsi="Calibri" w:cs="Calibri"/>
          <w:sz w:val="22"/>
          <w:szCs w:val="22"/>
        </w:rPr>
      </w:pPr>
      <w:r w:rsidRPr="009D0D2D">
        <w:rPr>
          <w:rFonts w:ascii="Calibri" w:hAnsi="Calibri" w:cs="Calibri"/>
          <w:sz w:val="22"/>
          <w:szCs w:val="22"/>
        </w:rPr>
        <w:t>If SSB</w:t>
      </w:r>
      <w:r w:rsidRPr="009D0D2D">
        <w:rPr>
          <w:rFonts w:ascii="Calibri" w:hAnsi="Calibri" w:cs="Calibri"/>
          <w:sz w:val="22"/>
          <w:szCs w:val="22"/>
          <w:vertAlign w:val="subscript"/>
        </w:rPr>
        <w:t>current</w:t>
      </w:r>
      <w:r w:rsidRPr="009D0D2D">
        <w:rPr>
          <w:rFonts w:ascii="Calibri" w:hAnsi="Calibri" w:cs="Calibri"/>
          <w:sz w:val="22"/>
          <w:szCs w:val="22"/>
        </w:rPr>
        <w:t>/SSB</w:t>
      </w:r>
      <w:r w:rsidRPr="009D0D2D">
        <w:rPr>
          <w:rFonts w:ascii="Calibri" w:hAnsi="Calibri" w:cs="Calibri"/>
          <w:sz w:val="22"/>
          <w:szCs w:val="22"/>
          <w:vertAlign w:val="subscript"/>
        </w:rPr>
        <w:t>F=0</w:t>
      </w:r>
      <w:r w:rsidRPr="009D0D2D">
        <w:rPr>
          <w:rFonts w:ascii="Calibri" w:hAnsi="Calibri" w:cs="Calibri"/>
          <w:sz w:val="22"/>
          <w:szCs w:val="22"/>
        </w:rPr>
        <w:t xml:space="preserve"> is below 1</w:t>
      </w:r>
      <w:r w:rsidRPr="009D0D2D">
        <w:rPr>
          <w:rFonts w:ascii="Calibri" w:hAnsi="Calibri" w:cs="Calibri"/>
          <w:sz w:val="22"/>
          <w:szCs w:val="22"/>
          <w:vertAlign w:val="superscript"/>
        </w:rPr>
        <w:t>st</w:t>
      </w:r>
      <w:r w:rsidRPr="009D0D2D">
        <w:rPr>
          <w:rFonts w:ascii="Calibri" w:hAnsi="Calibri" w:cs="Calibri"/>
          <w:sz w:val="22"/>
          <w:szCs w:val="22"/>
        </w:rPr>
        <w:t xml:space="preserve"> control point, and is above 2</w:t>
      </w:r>
      <w:r w:rsidRPr="009D0D2D">
        <w:rPr>
          <w:rFonts w:ascii="Calibri" w:hAnsi="Calibri" w:cs="Calibri"/>
          <w:sz w:val="22"/>
          <w:szCs w:val="22"/>
          <w:vertAlign w:val="superscript"/>
        </w:rPr>
        <w:t>nd</w:t>
      </w:r>
      <w:r w:rsidRPr="009D0D2D">
        <w:rPr>
          <w:rFonts w:ascii="Calibri" w:hAnsi="Calibri" w:cs="Calibri"/>
          <w:sz w:val="22"/>
          <w:szCs w:val="22"/>
        </w:rPr>
        <w:t xml:space="preserve"> control point, fishing intensity shall be reduced to a level in accordance with following formula:</w:t>
      </w:r>
    </w:p>
    <w:p w14:paraId="6A2EC783" w14:textId="77777777" w:rsidR="007E65A6" w:rsidRPr="009D0D2D" w:rsidRDefault="007E65A6" w:rsidP="00A15E52">
      <w:pPr>
        <w:pStyle w:val="ListParagraph"/>
        <w:adjustRightInd w:val="0"/>
        <w:snapToGrid w:val="0"/>
        <w:ind w:left="1080" w:right="340"/>
        <w:contextualSpacing w:val="0"/>
        <w:rPr>
          <w:rFonts w:ascii="Calibri" w:hAnsi="Calibri" w:cs="Calibri"/>
          <w:sz w:val="22"/>
          <w:szCs w:val="22"/>
        </w:rPr>
      </w:pPr>
      <w:r w:rsidRPr="009D0D2D">
        <w:rPr>
          <w:rFonts w:ascii="Calibri" w:hAnsi="Calibri" w:cs="Calibri"/>
          <w:sz w:val="22"/>
          <w:szCs w:val="22"/>
        </w:rPr>
        <w:tab/>
      </w:r>
      <m:oMath>
        <m:r>
          <w:rPr>
            <w:rFonts w:ascii="Cambria Math" w:hAnsi="Cambria Math" w:cs="Calibri"/>
            <w:sz w:val="22"/>
            <w:szCs w:val="22"/>
          </w:rPr>
          <m:t>F=</m:t>
        </m:r>
        <m:f>
          <m:fPr>
            <m:ctrlPr>
              <w:rPr>
                <w:rFonts w:ascii="Cambria Math" w:hAnsi="Cambria Math" w:cs="Calibri"/>
                <w:i/>
                <w:sz w:val="22"/>
                <w:szCs w:val="22"/>
              </w:rPr>
            </m:ctrlPr>
          </m:fPr>
          <m:num>
            <m:sSub>
              <m:sSubPr>
                <m:ctrlPr>
                  <w:rPr>
                    <w:rFonts w:ascii="Cambria Math" w:hAnsi="Cambria Math" w:cs="Calibri"/>
                    <w:i/>
                    <w:sz w:val="22"/>
                    <w:szCs w:val="22"/>
                  </w:rPr>
                </m:ctrlPr>
              </m:sSubPr>
              <m:e>
                <m:r>
                  <w:rPr>
                    <w:rFonts w:ascii="Cambria Math" w:hAnsi="Cambria Math" w:cs="Calibri"/>
                    <w:sz w:val="22"/>
                    <w:szCs w:val="22"/>
                  </w:rPr>
                  <m:t>F</m:t>
                </m:r>
              </m:e>
              <m:sub>
                <m:r>
                  <w:rPr>
                    <w:rFonts w:ascii="Cambria Math" w:hAnsi="Cambria Math" w:cs="Calibri"/>
                    <w:sz w:val="22"/>
                    <w:szCs w:val="22"/>
                  </w:rPr>
                  <m:t>target</m:t>
                </m:r>
              </m:sub>
            </m:sSub>
            <m:r>
              <w:rPr>
                <w:rFonts w:ascii="Cambria Math" w:hAnsi="Cambria Math" w:cs="Calibri"/>
                <w:sz w:val="22"/>
                <w:szCs w:val="22"/>
              </w:rPr>
              <m:t xml:space="preserve"> - </m:t>
            </m:r>
            <m:sSub>
              <m:sSubPr>
                <m:ctrlPr>
                  <w:rPr>
                    <w:rFonts w:ascii="Cambria Math" w:hAnsi="Cambria Math" w:cs="Calibri"/>
                    <w:i/>
                    <w:sz w:val="22"/>
                    <w:szCs w:val="22"/>
                  </w:rPr>
                </m:ctrlPr>
              </m:sSubPr>
              <m:e>
                <m:r>
                  <w:rPr>
                    <w:rFonts w:ascii="Cambria Math" w:hAnsi="Cambria Math" w:cs="Calibri"/>
                    <w:sz w:val="22"/>
                    <w:szCs w:val="22"/>
                  </w:rPr>
                  <m:t>F</m:t>
                </m:r>
              </m:e>
              <m:sub>
                <m:r>
                  <w:rPr>
                    <w:rFonts w:ascii="Cambria Math" w:hAnsi="Cambria Math" w:cs="Calibri"/>
                    <w:sz w:val="22"/>
                    <w:szCs w:val="22"/>
                  </w:rPr>
                  <m:t>min</m:t>
                </m:r>
              </m:sub>
            </m:sSub>
          </m:num>
          <m:den>
            <m:sSup>
              <m:sSupPr>
                <m:ctrlPr>
                  <w:rPr>
                    <w:rFonts w:ascii="Cambria Math" w:hAnsi="Cambria Math" w:cs="Calibri"/>
                    <w:i/>
                    <w:sz w:val="22"/>
                    <w:szCs w:val="22"/>
                  </w:rPr>
                </m:ctrlPr>
              </m:sSupPr>
              <m:e>
                <m:r>
                  <w:rPr>
                    <w:rFonts w:ascii="Cambria Math" w:hAnsi="Cambria Math" w:cs="Calibri"/>
                    <w:sz w:val="22"/>
                    <w:szCs w:val="22"/>
                  </w:rPr>
                  <m:t>1</m:t>
                </m:r>
              </m:e>
              <m:sup>
                <m:r>
                  <w:rPr>
                    <w:rFonts w:ascii="Cambria Math" w:hAnsi="Cambria Math" w:cs="Calibri"/>
                    <w:sz w:val="22"/>
                    <w:szCs w:val="22"/>
                  </w:rPr>
                  <m:t>st</m:t>
                </m:r>
              </m:sup>
            </m:sSup>
            <m:r>
              <w:rPr>
                <w:rFonts w:ascii="Cambria Math" w:hAnsi="Cambria Math" w:cs="Calibri"/>
                <w:sz w:val="22"/>
                <w:szCs w:val="22"/>
              </w:rPr>
              <m:t xml:space="preserve">contro;point - </m:t>
            </m:r>
            <m:sSup>
              <m:sSupPr>
                <m:ctrlPr>
                  <w:rPr>
                    <w:rFonts w:ascii="Cambria Math" w:hAnsi="Cambria Math" w:cs="Calibri"/>
                    <w:i/>
                    <w:sz w:val="22"/>
                    <w:szCs w:val="22"/>
                  </w:rPr>
                </m:ctrlPr>
              </m:sSupPr>
              <m:e>
                <m:r>
                  <w:rPr>
                    <w:rFonts w:ascii="Cambria Math" w:hAnsi="Cambria Math" w:cs="Calibri"/>
                    <w:sz w:val="22"/>
                    <w:szCs w:val="22"/>
                  </w:rPr>
                  <m:t>2</m:t>
                </m:r>
              </m:e>
              <m:sup>
                <m:r>
                  <w:rPr>
                    <w:rFonts w:ascii="Cambria Math" w:hAnsi="Cambria Math" w:cs="Calibri"/>
                    <w:sz w:val="22"/>
                    <w:szCs w:val="22"/>
                  </w:rPr>
                  <m:t>nd</m:t>
                </m:r>
              </m:sup>
            </m:sSup>
            <m:r>
              <w:rPr>
                <w:rFonts w:ascii="Cambria Math" w:hAnsi="Cambria Math" w:cs="Calibri"/>
                <w:sz w:val="22"/>
                <w:szCs w:val="22"/>
              </w:rPr>
              <m:t xml:space="preserve">control point  </m:t>
            </m:r>
          </m:den>
        </m:f>
        <m:r>
          <w:rPr>
            <w:rFonts w:ascii="Cambria Math" w:hAnsi="Cambria Math" w:cs="Calibri"/>
            <w:sz w:val="22"/>
            <w:szCs w:val="22"/>
          </w:rPr>
          <m:t xml:space="preserve"> × </m:t>
        </m:r>
        <m:d>
          <m:dPr>
            <m:ctrlPr>
              <w:rPr>
                <w:rFonts w:ascii="Cambria Math" w:hAnsi="Cambria Math" w:cs="Calibri"/>
                <w:i/>
                <w:sz w:val="22"/>
                <w:szCs w:val="22"/>
              </w:rPr>
            </m:ctrlPr>
          </m:dPr>
          <m:e>
            <m:f>
              <m:fPr>
                <m:ctrlPr>
                  <w:rPr>
                    <w:rFonts w:ascii="Cambria Math" w:hAnsi="Cambria Math" w:cs="Calibri"/>
                    <w:i/>
                    <w:sz w:val="22"/>
                    <w:szCs w:val="22"/>
                  </w:rPr>
                </m:ctrlPr>
              </m:fPr>
              <m:num>
                <m:sSub>
                  <m:sSubPr>
                    <m:ctrlPr>
                      <w:rPr>
                        <w:rFonts w:ascii="Cambria Math" w:hAnsi="Cambria Math" w:cs="Calibri"/>
                        <w:i/>
                        <w:sz w:val="22"/>
                        <w:szCs w:val="22"/>
                      </w:rPr>
                    </m:ctrlPr>
                  </m:sSubPr>
                  <m:e>
                    <m:r>
                      <w:rPr>
                        <w:rFonts w:ascii="Cambria Math" w:hAnsi="Cambria Math" w:cs="Calibri"/>
                        <w:sz w:val="22"/>
                        <w:szCs w:val="22"/>
                      </w:rPr>
                      <m:t>SSB</m:t>
                    </m:r>
                  </m:e>
                  <m:sub>
                    <m:r>
                      <w:rPr>
                        <w:rFonts w:ascii="Cambria Math" w:hAnsi="Cambria Math" w:cs="Calibri"/>
                        <w:sz w:val="22"/>
                        <w:szCs w:val="22"/>
                      </w:rPr>
                      <m:t>current</m:t>
                    </m:r>
                  </m:sub>
                </m:sSub>
              </m:num>
              <m:den>
                <m:sSub>
                  <m:sSubPr>
                    <m:ctrlPr>
                      <w:rPr>
                        <w:rFonts w:ascii="Cambria Math" w:hAnsi="Cambria Math" w:cs="Calibri"/>
                        <w:i/>
                        <w:sz w:val="22"/>
                        <w:szCs w:val="22"/>
                      </w:rPr>
                    </m:ctrlPr>
                  </m:sSubPr>
                  <m:e>
                    <m:r>
                      <w:rPr>
                        <w:rFonts w:ascii="Cambria Math" w:hAnsi="Cambria Math" w:cs="Calibri"/>
                        <w:sz w:val="22"/>
                        <w:szCs w:val="22"/>
                      </w:rPr>
                      <m:t>SSB</m:t>
                    </m:r>
                  </m:e>
                  <m:sub>
                    <m:r>
                      <w:rPr>
                        <w:rFonts w:ascii="Cambria Math" w:hAnsi="Cambria Math" w:cs="Calibri"/>
                        <w:sz w:val="22"/>
                        <w:szCs w:val="22"/>
                      </w:rPr>
                      <m:t>F=0</m:t>
                    </m:r>
                  </m:sub>
                </m:sSub>
              </m:den>
            </m:f>
            <m:r>
              <w:rPr>
                <w:rFonts w:ascii="Cambria Math" w:hAnsi="Cambria Math" w:cs="Calibri"/>
                <w:sz w:val="22"/>
                <w:szCs w:val="22"/>
              </w:rPr>
              <m:t xml:space="preserve"> - </m:t>
            </m:r>
            <m:sSup>
              <m:sSupPr>
                <m:ctrlPr>
                  <w:rPr>
                    <w:rFonts w:ascii="Cambria Math" w:hAnsi="Cambria Math" w:cs="Calibri"/>
                    <w:i/>
                    <w:sz w:val="22"/>
                    <w:szCs w:val="22"/>
                  </w:rPr>
                </m:ctrlPr>
              </m:sSupPr>
              <m:e>
                <m:r>
                  <w:rPr>
                    <w:rFonts w:ascii="Cambria Math" w:hAnsi="Cambria Math" w:cs="Calibri"/>
                    <w:sz w:val="22"/>
                    <w:szCs w:val="22"/>
                  </w:rPr>
                  <m:t>2</m:t>
                </m:r>
              </m:e>
              <m:sup>
                <m:r>
                  <w:rPr>
                    <w:rFonts w:ascii="Cambria Math" w:hAnsi="Cambria Math" w:cs="Calibri"/>
                    <w:sz w:val="22"/>
                    <w:szCs w:val="22"/>
                  </w:rPr>
                  <m:t>nd</m:t>
                </m:r>
              </m:sup>
            </m:sSup>
            <m:r>
              <w:rPr>
                <w:rFonts w:ascii="Cambria Math" w:hAnsi="Cambria Math" w:cs="Calibri"/>
                <w:sz w:val="22"/>
                <w:szCs w:val="22"/>
              </w:rPr>
              <m:t xml:space="preserve"> control point</m:t>
            </m:r>
          </m:e>
        </m:d>
        <m:r>
          <w:rPr>
            <w:rFonts w:ascii="Cambria Math" w:hAnsi="Cambria Math" w:cs="Calibri"/>
            <w:sz w:val="22"/>
            <w:szCs w:val="22"/>
          </w:rPr>
          <m:t xml:space="preserve">+ </m:t>
        </m:r>
        <m:sSub>
          <m:sSubPr>
            <m:ctrlPr>
              <w:rPr>
                <w:rFonts w:ascii="Cambria Math" w:hAnsi="Cambria Math" w:cs="Calibri"/>
                <w:i/>
                <w:sz w:val="22"/>
                <w:szCs w:val="22"/>
              </w:rPr>
            </m:ctrlPr>
          </m:sSubPr>
          <m:e>
            <m:r>
              <w:rPr>
                <w:rFonts w:ascii="Cambria Math" w:hAnsi="Cambria Math" w:cs="Calibri"/>
                <w:sz w:val="22"/>
                <w:szCs w:val="22"/>
              </w:rPr>
              <m:t>F</m:t>
            </m:r>
          </m:e>
          <m:sub>
            <m:r>
              <w:rPr>
                <w:rFonts w:ascii="Cambria Math" w:hAnsi="Cambria Math" w:cs="Calibri"/>
                <w:sz w:val="22"/>
                <w:szCs w:val="22"/>
              </w:rPr>
              <m:t>min</m:t>
            </m:r>
          </m:sub>
        </m:sSub>
      </m:oMath>
    </w:p>
    <w:p w14:paraId="2B1C02F7" w14:textId="77777777" w:rsidR="002D547D" w:rsidRPr="009D0D2D" w:rsidRDefault="002D547D" w:rsidP="00A15E52">
      <w:pPr>
        <w:pStyle w:val="ListParagraph"/>
        <w:autoSpaceDE w:val="0"/>
        <w:autoSpaceDN w:val="0"/>
        <w:adjustRightInd w:val="0"/>
        <w:snapToGrid w:val="0"/>
        <w:ind w:left="1080" w:right="340"/>
        <w:contextualSpacing w:val="0"/>
        <w:rPr>
          <w:rFonts w:ascii="Calibri" w:hAnsi="Calibri" w:cs="Calibri"/>
          <w:sz w:val="22"/>
          <w:szCs w:val="22"/>
        </w:rPr>
      </w:pPr>
    </w:p>
    <w:p w14:paraId="4BB71DF0" w14:textId="1FF194A1" w:rsidR="00A44886" w:rsidRPr="00703307" w:rsidRDefault="007E65A6" w:rsidP="00A15E52">
      <w:pPr>
        <w:pStyle w:val="ListParagraph"/>
        <w:numPr>
          <w:ilvl w:val="1"/>
          <w:numId w:val="16"/>
        </w:numPr>
        <w:autoSpaceDE w:val="0"/>
        <w:autoSpaceDN w:val="0"/>
        <w:adjustRightInd w:val="0"/>
        <w:snapToGrid w:val="0"/>
        <w:ind w:left="1080" w:right="340"/>
        <w:contextualSpacing w:val="0"/>
        <w:rPr>
          <w:rFonts w:ascii="Calibri" w:hAnsi="Calibri" w:cs="Calibri"/>
          <w:sz w:val="22"/>
          <w:szCs w:val="22"/>
        </w:rPr>
      </w:pPr>
      <w:r w:rsidRPr="009D0D2D">
        <w:rPr>
          <w:rFonts w:ascii="Calibri" w:hAnsi="Calibri" w:cs="Calibri"/>
          <w:sz w:val="22"/>
          <w:szCs w:val="22"/>
        </w:rPr>
        <w:t>If SSB</w:t>
      </w:r>
      <w:r w:rsidRPr="009D0D2D">
        <w:rPr>
          <w:rFonts w:ascii="Calibri" w:hAnsi="Calibri" w:cs="Calibri"/>
          <w:sz w:val="22"/>
          <w:szCs w:val="22"/>
          <w:vertAlign w:val="subscript"/>
        </w:rPr>
        <w:t>current</w:t>
      </w:r>
      <w:r w:rsidRPr="009D0D2D">
        <w:rPr>
          <w:rFonts w:ascii="Calibri" w:hAnsi="Calibri" w:cs="Calibri"/>
          <w:sz w:val="22"/>
          <w:szCs w:val="22"/>
        </w:rPr>
        <w:t>/SSB</w:t>
      </w:r>
      <w:r w:rsidRPr="009D0D2D">
        <w:rPr>
          <w:rFonts w:ascii="Calibri" w:hAnsi="Calibri" w:cs="Calibri"/>
          <w:sz w:val="22"/>
          <w:szCs w:val="22"/>
          <w:vertAlign w:val="subscript"/>
        </w:rPr>
        <w:t>F=0</w:t>
      </w:r>
      <w:r w:rsidRPr="009D0D2D">
        <w:rPr>
          <w:rFonts w:ascii="Calibri" w:hAnsi="Calibri" w:cs="Calibri"/>
          <w:sz w:val="22"/>
          <w:szCs w:val="22"/>
        </w:rPr>
        <w:t xml:space="preserve"> is at or below 2</w:t>
      </w:r>
      <w:r w:rsidRPr="009D0D2D">
        <w:rPr>
          <w:rFonts w:ascii="Calibri" w:hAnsi="Calibri" w:cs="Calibri"/>
          <w:sz w:val="22"/>
          <w:szCs w:val="22"/>
          <w:vertAlign w:val="superscript"/>
        </w:rPr>
        <w:t>nd</w:t>
      </w:r>
      <w:r w:rsidRPr="009D0D2D">
        <w:rPr>
          <w:rFonts w:ascii="Calibri" w:hAnsi="Calibri" w:cs="Calibri"/>
          <w:sz w:val="22"/>
          <w:szCs w:val="22"/>
        </w:rPr>
        <w:t xml:space="preserve"> control point, fishing intensity shall be set at F</w:t>
      </w:r>
      <w:r w:rsidRPr="009D0D2D">
        <w:rPr>
          <w:rFonts w:ascii="Calibri" w:hAnsi="Calibri" w:cs="Calibri"/>
          <w:sz w:val="22"/>
          <w:szCs w:val="22"/>
          <w:vertAlign w:val="subscript"/>
        </w:rPr>
        <w:t>min</w:t>
      </w:r>
      <w:r w:rsidR="00955BF9" w:rsidRPr="009D0D2D">
        <w:rPr>
          <w:rFonts w:ascii="Calibri" w:hAnsi="Calibri" w:cs="Calibri"/>
          <w:sz w:val="22"/>
          <w:szCs w:val="22"/>
        </w:rPr>
        <w:t>.</w:t>
      </w:r>
    </w:p>
    <w:p w14:paraId="21ACBE59" w14:textId="77777777" w:rsidR="00703307" w:rsidRDefault="00703307" w:rsidP="00703307">
      <w:pPr>
        <w:pStyle w:val="ListParagraph"/>
        <w:autoSpaceDE w:val="0"/>
        <w:autoSpaceDN w:val="0"/>
        <w:adjustRightInd w:val="0"/>
        <w:snapToGrid w:val="0"/>
        <w:ind w:left="1080" w:right="340"/>
        <w:contextualSpacing w:val="0"/>
        <w:rPr>
          <w:rFonts w:ascii="Calibri" w:eastAsia="Malgun Gothic" w:hAnsi="Calibri" w:cs="Calibri"/>
          <w:sz w:val="22"/>
          <w:szCs w:val="22"/>
          <w:lang w:eastAsia="ko-KR"/>
        </w:rPr>
      </w:pPr>
    </w:p>
    <w:p w14:paraId="0BB04BF2" w14:textId="77777777" w:rsidR="00703307" w:rsidRPr="009D0D2D" w:rsidRDefault="00703307" w:rsidP="00703307">
      <w:pPr>
        <w:pStyle w:val="ListParagraph"/>
        <w:autoSpaceDE w:val="0"/>
        <w:autoSpaceDN w:val="0"/>
        <w:adjustRightInd w:val="0"/>
        <w:snapToGrid w:val="0"/>
        <w:ind w:left="1080" w:right="340"/>
        <w:contextualSpacing w:val="0"/>
        <w:rPr>
          <w:rFonts w:ascii="Calibri" w:hAnsi="Calibri" w:cs="Calibri"/>
          <w:sz w:val="22"/>
          <w:szCs w:val="22"/>
        </w:rPr>
      </w:pPr>
    </w:p>
    <w:p w14:paraId="489044B7" w14:textId="77777777" w:rsidR="001150E3" w:rsidRPr="009D0D2D" w:rsidRDefault="00A44886" w:rsidP="005313BF">
      <w:pPr>
        <w:tabs>
          <w:tab w:val="left" w:pos="718"/>
          <w:tab w:val="left" w:pos="720"/>
        </w:tabs>
        <w:adjustRightInd w:val="0"/>
        <w:snapToGrid w:val="0"/>
        <w:ind w:leftChars="322" w:left="676" w:right="340"/>
        <w:rPr>
          <w:rFonts w:ascii="Calibri" w:hAnsi="Calibri" w:cs="Calibri"/>
          <w:sz w:val="22"/>
          <w:szCs w:val="22"/>
        </w:rPr>
      </w:pPr>
      <w:r w:rsidRPr="009D0D2D">
        <w:rPr>
          <w:rFonts w:ascii="Calibri" w:hAnsi="Calibri" w:cs="Calibri"/>
          <w:noProof/>
          <w:sz w:val="22"/>
          <w:szCs w:val="22"/>
        </w:rPr>
        <w:drawing>
          <wp:inline distT="0" distB="0" distL="0" distR="0" wp14:anchorId="0E4FAF20" wp14:editId="21FE158D">
            <wp:extent cx="4834255" cy="3511550"/>
            <wp:effectExtent l="0" t="0" r="0" b="0"/>
            <wp:docPr id="139127858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4255" cy="3511550"/>
                    </a:xfrm>
                    <a:prstGeom prst="rect">
                      <a:avLst/>
                    </a:prstGeom>
                    <a:noFill/>
                    <a:ln>
                      <a:noFill/>
                    </a:ln>
                  </pic:spPr>
                </pic:pic>
              </a:graphicData>
            </a:graphic>
          </wp:inline>
        </w:drawing>
      </w:r>
    </w:p>
    <w:p w14:paraId="7FFBDBDA" w14:textId="7024A009" w:rsidR="00A44886" w:rsidRPr="009D0D2D" w:rsidRDefault="001150E3" w:rsidP="00703307">
      <w:pPr>
        <w:adjustRightInd w:val="0"/>
        <w:snapToGrid w:val="0"/>
        <w:rPr>
          <w:rFonts w:ascii="Calibri" w:hAnsi="Calibri" w:cs="Calibri"/>
          <w:sz w:val="22"/>
          <w:szCs w:val="22"/>
        </w:rPr>
      </w:pPr>
      <w:r w:rsidRPr="00703307">
        <w:rPr>
          <w:rFonts w:ascii="Calibri" w:hAnsi="Calibri" w:cs="Calibri"/>
          <w:b/>
          <w:bCs/>
          <w:sz w:val="22"/>
          <w:szCs w:val="22"/>
        </w:rPr>
        <w:t xml:space="preserve">Figure </w:t>
      </w:r>
      <w:r w:rsidR="003A7FE8" w:rsidRPr="00703307">
        <w:rPr>
          <w:rFonts w:ascii="Calibri" w:hAnsi="Calibri" w:cs="Calibri"/>
          <w:b/>
          <w:bCs/>
          <w:sz w:val="22"/>
          <w:szCs w:val="22"/>
        </w:rPr>
        <w:t>1</w:t>
      </w:r>
      <w:r w:rsidR="003A7FE8" w:rsidRPr="009D0D2D">
        <w:rPr>
          <w:rFonts w:ascii="Calibri" w:hAnsi="Calibri" w:cs="Calibri"/>
          <w:sz w:val="22"/>
          <w:szCs w:val="22"/>
        </w:rPr>
        <w:t>: Illustration</w:t>
      </w:r>
      <w:r w:rsidR="00A44886" w:rsidRPr="009D0D2D">
        <w:rPr>
          <w:rFonts w:ascii="Calibri" w:hAnsi="Calibri" w:cs="Calibri"/>
          <w:sz w:val="22"/>
          <w:szCs w:val="22"/>
        </w:rPr>
        <w:t xml:space="preserve"> of the harvest control rule with target reference point (F</w:t>
      </w:r>
      <w:r w:rsidR="00A44886" w:rsidRPr="009D0D2D">
        <w:rPr>
          <w:rFonts w:ascii="Calibri" w:hAnsi="Calibri" w:cs="Calibri"/>
          <w:sz w:val="22"/>
          <w:szCs w:val="22"/>
          <w:vertAlign w:val="subscript"/>
        </w:rPr>
        <w:t>target</w:t>
      </w:r>
      <w:r w:rsidR="00A44886" w:rsidRPr="009D0D2D">
        <w:rPr>
          <w:rFonts w:ascii="Calibri" w:hAnsi="Calibri" w:cs="Calibri"/>
          <w:sz w:val="22"/>
          <w:szCs w:val="22"/>
        </w:rPr>
        <w:t>), 1</w:t>
      </w:r>
      <w:r w:rsidR="00A44886" w:rsidRPr="009D0D2D">
        <w:rPr>
          <w:rFonts w:ascii="Calibri" w:hAnsi="Calibri" w:cs="Calibri"/>
          <w:sz w:val="22"/>
          <w:szCs w:val="22"/>
          <w:vertAlign w:val="superscript"/>
        </w:rPr>
        <w:t>st</w:t>
      </w:r>
      <w:r w:rsidR="00A44886" w:rsidRPr="009D0D2D">
        <w:rPr>
          <w:rFonts w:ascii="Calibri" w:hAnsi="Calibri" w:cs="Calibri"/>
          <w:sz w:val="22"/>
          <w:szCs w:val="22"/>
        </w:rPr>
        <w:t xml:space="preserve"> and 2</w:t>
      </w:r>
      <w:r w:rsidR="00A44886" w:rsidRPr="009D0D2D">
        <w:rPr>
          <w:rFonts w:ascii="Calibri" w:hAnsi="Calibri" w:cs="Calibri"/>
          <w:sz w:val="22"/>
          <w:szCs w:val="22"/>
          <w:vertAlign w:val="superscript"/>
        </w:rPr>
        <w:t>nd</w:t>
      </w:r>
      <w:r w:rsidR="00A44886" w:rsidRPr="009D0D2D">
        <w:rPr>
          <w:rFonts w:ascii="Calibri" w:hAnsi="Calibri" w:cs="Calibri"/>
          <w:sz w:val="22"/>
          <w:szCs w:val="22"/>
        </w:rPr>
        <w:t xml:space="preserve"> control points, and the minimum allowed fishing intensity (F</w:t>
      </w:r>
      <w:r w:rsidR="00A44886" w:rsidRPr="009D0D2D">
        <w:rPr>
          <w:rFonts w:ascii="Calibri" w:hAnsi="Calibri" w:cs="Calibri"/>
          <w:sz w:val="22"/>
          <w:szCs w:val="22"/>
          <w:vertAlign w:val="subscript"/>
        </w:rPr>
        <w:t>min</w:t>
      </w:r>
      <w:r w:rsidR="00A44886" w:rsidRPr="009D0D2D">
        <w:rPr>
          <w:rFonts w:ascii="Calibri" w:hAnsi="Calibri" w:cs="Calibri"/>
          <w:sz w:val="22"/>
          <w:szCs w:val="22"/>
        </w:rPr>
        <w:t xml:space="preserve">). </w:t>
      </w:r>
    </w:p>
    <w:p w14:paraId="7C2E2D35" w14:textId="77777777" w:rsidR="00A44886" w:rsidRPr="009D0D2D" w:rsidRDefault="00A44886" w:rsidP="005313BF">
      <w:pPr>
        <w:tabs>
          <w:tab w:val="left" w:pos="718"/>
          <w:tab w:val="left" w:pos="720"/>
        </w:tabs>
        <w:adjustRightInd w:val="0"/>
        <w:snapToGrid w:val="0"/>
        <w:ind w:right="340"/>
        <w:rPr>
          <w:rFonts w:ascii="Calibri" w:hAnsi="Calibri" w:cs="Calibri"/>
          <w:sz w:val="22"/>
          <w:szCs w:val="22"/>
        </w:rPr>
      </w:pPr>
    </w:p>
    <w:p w14:paraId="12894391" w14:textId="420C7FE5" w:rsidR="00A44886" w:rsidRPr="009D0D2D" w:rsidRDefault="00A44886" w:rsidP="006A528C">
      <w:pPr>
        <w:pStyle w:val="ListParagraph"/>
        <w:numPr>
          <w:ilvl w:val="0"/>
          <w:numId w:val="16"/>
        </w:numPr>
        <w:autoSpaceDE w:val="0"/>
        <w:autoSpaceDN w:val="0"/>
        <w:adjustRightInd w:val="0"/>
        <w:snapToGrid w:val="0"/>
        <w:ind w:left="0" w:right="340" w:firstLine="0"/>
        <w:contextualSpacing w:val="0"/>
        <w:rPr>
          <w:rFonts w:ascii="Calibri" w:hAnsi="Calibri" w:cs="Calibri"/>
          <w:sz w:val="22"/>
          <w:szCs w:val="22"/>
        </w:rPr>
      </w:pPr>
      <w:r w:rsidRPr="009D0D2D">
        <w:rPr>
          <w:rFonts w:ascii="Calibri" w:hAnsi="Calibri" w:cs="Calibri"/>
          <w:sz w:val="22"/>
          <w:szCs w:val="22"/>
        </w:rPr>
        <w:t>The maximum changes in catch limits for each fishery segment indicated by the HCR between any 2-year management period shall be 25% relative to the catch limits specified by the MP for the previous 2-year period unless SSB</w:t>
      </w:r>
      <w:r w:rsidRPr="009D0D2D">
        <w:rPr>
          <w:rFonts w:ascii="Calibri" w:hAnsi="Calibri" w:cs="Calibri"/>
          <w:sz w:val="22"/>
          <w:szCs w:val="22"/>
          <w:vertAlign w:val="subscript"/>
        </w:rPr>
        <w:t>current</w:t>
      </w:r>
      <w:r w:rsidRPr="009D0D2D">
        <w:rPr>
          <w:rFonts w:ascii="Calibri" w:hAnsi="Calibri" w:cs="Calibri"/>
          <w:sz w:val="22"/>
          <w:szCs w:val="22"/>
        </w:rPr>
        <w:t>/SSB</w:t>
      </w:r>
      <w:r w:rsidRPr="009D0D2D">
        <w:rPr>
          <w:rFonts w:ascii="Calibri" w:hAnsi="Calibri" w:cs="Calibri"/>
          <w:sz w:val="22"/>
          <w:szCs w:val="22"/>
          <w:vertAlign w:val="subscript"/>
        </w:rPr>
        <w:t>F=0</w:t>
      </w:r>
      <w:r w:rsidRPr="009D0D2D">
        <w:rPr>
          <w:rFonts w:ascii="Calibri" w:hAnsi="Calibri" w:cs="Calibri"/>
          <w:sz w:val="22"/>
          <w:szCs w:val="22"/>
        </w:rPr>
        <w:t xml:space="preserve"> is below 2</w:t>
      </w:r>
      <w:r w:rsidRPr="009D0D2D">
        <w:rPr>
          <w:rFonts w:ascii="Calibri" w:hAnsi="Calibri" w:cs="Calibri"/>
          <w:sz w:val="22"/>
          <w:szCs w:val="22"/>
          <w:vertAlign w:val="superscript"/>
        </w:rPr>
        <w:t>nd</w:t>
      </w:r>
      <w:r w:rsidRPr="009D0D2D">
        <w:rPr>
          <w:rFonts w:ascii="Calibri" w:hAnsi="Calibri" w:cs="Calibri"/>
          <w:sz w:val="22"/>
          <w:szCs w:val="22"/>
        </w:rPr>
        <w:t xml:space="preserve"> control point. </w:t>
      </w:r>
    </w:p>
    <w:p w14:paraId="36F1C826" w14:textId="77777777" w:rsidR="00A44886" w:rsidRPr="009D0D2D" w:rsidRDefault="00A44886" w:rsidP="005313BF">
      <w:pPr>
        <w:pStyle w:val="ListParagraph"/>
        <w:tabs>
          <w:tab w:val="left" w:pos="718"/>
          <w:tab w:val="left" w:pos="720"/>
        </w:tabs>
        <w:adjustRightInd w:val="0"/>
        <w:snapToGrid w:val="0"/>
        <w:ind w:right="340"/>
        <w:contextualSpacing w:val="0"/>
        <w:rPr>
          <w:rFonts w:ascii="Calibri" w:hAnsi="Calibri" w:cs="Calibri"/>
          <w:sz w:val="22"/>
          <w:szCs w:val="22"/>
        </w:rPr>
      </w:pPr>
    </w:p>
    <w:p w14:paraId="685808EB" w14:textId="39734D2E" w:rsidR="005508F5" w:rsidRPr="009D0D2D" w:rsidRDefault="005508F5" w:rsidP="005313BF">
      <w:pPr>
        <w:autoSpaceDE w:val="0"/>
        <w:autoSpaceDN w:val="0"/>
        <w:adjustRightInd w:val="0"/>
        <w:snapToGrid w:val="0"/>
        <w:rPr>
          <w:rFonts w:ascii="Calibri" w:hAnsi="Calibri" w:cs="Calibri"/>
          <w:kern w:val="0"/>
          <w:sz w:val="22"/>
          <w:szCs w:val="22"/>
        </w:rPr>
      </w:pPr>
    </w:p>
    <w:p w14:paraId="03EBBDB4" w14:textId="48044BE1" w:rsidR="005508F5" w:rsidRPr="009D0D2D" w:rsidRDefault="005508F5"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lastRenderedPageBreak/>
        <w:t xml:space="preserve">ANNEX </w:t>
      </w:r>
      <w:r w:rsidR="00064C21">
        <w:rPr>
          <w:rFonts w:ascii="Calibri" w:eastAsia="Malgun Gothic" w:hAnsi="Calibri" w:cs="Calibri" w:hint="eastAsia"/>
          <w:b/>
          <w:bCs/>
          <w:kern w:val="0"/>
          <w:sz w:val="22"/>
          <w:szCs w:val="22"/>
          <w:lang w:eastAsia="ko-KR"/>
        </w:rPr>
        <w:t>2</w:t>
      </w:r>
      <w:r w:rsidRPr="009D0D2D">
        <w:rPr>
          <w:rFonts w:ascii="Calibri" w:hAnsi="Calibri" w:cs="Calibri"/>
          <w:b/>
          <w:bCs/>
          <w:kern w:val="0"/>
          <w:sz w:val="22"/>
          <w:szCs w:val="22"/>
        </w:rPr>
        <w:t>: ESTIMATION MODEL</w:t>
      </w:r>
    </w:p>
    <w:p w14:paraId="35BEDD17" w14:textId="77777777" w:rsidR="00FC639C" w:rsidRPr="009D0D2D" w:rsidRDefault="00FC639C" w:rsidP="005313BF">
      <w:pPr>
        <w:autoSpaceDE w:val="0"/>
        <w:autoSpaceDN w:val="0"/>
        <w:adjustRightInd w:val="0"/>
        <w:snapToGrid w:val="0"/>
        <w:rPr>
          <w:rFonts w:ascii="Calibri" w:hAnsi="Calibri" w:cs="Calibri"/>
          <w:b/>
          <w:bCs/>
          <w:kern w:val="0"/>
          <w:sz w:val="22"/>
          <w:szCs w:val="22"/>
        </w:rPr>
      </w:pPr>
    </w:p>
    <w:p w14:paraId="61305463" w14:textId="67DFE4CE" w:rsidR="004F3136" w:rsidRPr="009D0D2D" w:rsidRDefault="005508F5" w:rsidP="006A528C">
      <w:pPr>
        <w:pStyle w:val="ListParagraph"/>
        <w:numPr>
          <w:ilvl w:val="0"/>
          <w:numId w:val="17"/>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Stock status (SSB</w:t>
      </w:r>
      <w:r w:rsidRPr="009D0D2D">
        <w:rPr>
          <w:rFonts w:ascii="Calibri" w:hAnsi="Calibri" w:cs="Calibri"/>
          <w:kern w:val="0"/>
          <w:sz w:val="22"/>
          <w:szCs w:val="22"/>
          <w:vertAlign w:val="subscript"/>
        </w:rPr>
        <w:t>current</w:t>
      </w:r>
      <w:r w:rsidRPr="009D0D2D">
        <w:rPr>
          <w:rFonts w:ascii="Calibri" w:hAnsi="Calibri" w:cs="Calibri"/>
          <w:kern w:val="0"/>
          <w:sz w:val="22"/>
          <w:szCs w:val="22"/>
        </w:rPr>
        <w:t xml:space="preserve"> /SSB</w:t>
      </w:r>
      <w:r w:rsidRPr="009D0D2D">
        <w:rPr>
          <w:rFonts w:ascii="Calibri" w:hAnsi="Calibri" w:cs="Calibri"/>
          <w:kern w:val="0"/>
          <w:sz w:val="22"/>
          <w:szCs w:val="22"/>
          <w:vertAlign w:val="subscript"/>
        </w:rPr>
        <w:t>F=0</w:t>
      </w:r>
      <w:r w:rsidRPr="009D0D2D">
        <w:rPr>
          <w:rFonts w:ascii="Calibri" w:hAnsi="Calibri" w:cs="Calibri"/>
          <w:kern w:val="0"/>
          <w:sz w:val="22"/>
          <w:szCs w:val="22"/>
        </w:rPr>
        <w:t>), age structure of PBF in the terminal year, and relative fishing mortality by fleet and age are estimated within the MP using a stock synthesis (SS3; Methot and Wetzel 2013) based quasi age</w:t>
      </w:r>
      <w:r w:rsidRPr="009D0D2D">
        <w:rPr>
          <w:rFonts w:ascii="Cambria Math" w:hAnsi="Cambria Math" w:cs="Cambria Math"/>
          <w:kern w:val="0"/>
          <w:sz w:val="22"/>
          <w:szCs w:val="22"/>
        </w:rPr>
        <w:t>‑</w:t>
      </w:r>
      <w:r w:rsidRPr="009D0D2D">
        <w:rPr>
          <w:rFonts w:ascii="Calibri" w:hAnsi="Calibri" w:cs="Calibri"/>
          <w:kern w:val="0"/>
          <w:sz w:val="22"/>
          <w:szCs w:val="22"/>
        </w:rPr>
        <w:t>structured-production-model</w:t>
      </w:r>
      <w:r w:rsidR="00591EE1" w:rsidRPr="009D0D2D">
        <w:rPr>
          <w:rFonts w:ascii="Calibri" w:hAnsi="Calibri" w:cs="Calibri"/>
          <w:kern w:val="0"/>
          <w:sz w:val="22"/>
          <w:szCs w:val="22"/>
        </w:rPr>
        <w:t>. The model</w:t>
      </w:r>
      <w:r w:rsidRPr="009D0D2D">
        <w:rPr>
          <w:rFonts w:ascii="Calibri" w:hAnsi="Calibri" w:cs="Calibri"/>
          <w:kern w:val="0"/>
          <w:sz w:val="22"/>
          <w:szCs w:val="22"/>
        </w:rPr>
        <w:t xml:space="preserve"> </w:t>
      </w:r>
      <w:r w:rsidR="00812534" w:rsidRPr="009D0D2D">
        <w:rPr>
          <w:rFonts w:ascii="Calibri" w:hAnsi="Calibri" w:cs="Calibri"/>
          <w:kern w:val="0"/>
          <w:sz w:val="22"/>
          <w:szCs w:val="22"/>
        </w:rPr>
        <w:t xml:space="preserve">takes into account </w:t>
      </w:r>
      <w:r w:rsidR="005426B9" w:rsidRPr="009D0D2D">
        <w:rPr>
          <w:rFonts w:ascii="Calibri" w:hAnsi="Calibri" w:cs="Calibri"/>
          <w:kern w:val="0"/>
          <w:sz w:val="22"/>
          <w:szCs w:val="22"/>
        </w:rPr>
        <w:t>annual recruitment variation</w:t>
      </w:r>
      <w:r w:rsidRPr="009D0D2D">
        <w:rPr>
          <w:rFonts w:ascii="Calibri" w:hAnsi="Calibri" w:cs="Calibri"/>
          <w:kern w:val="0"/>
          <w:sz w:val="22"/>
          <w:szCs w:val="22"/>
        </w:rPr>
        <w:t xml:space="preserve"> and size selectivity of the key fleet</w:t>
      </w:r>
      <w:r w:rsidR="00CE76BE" w:rsidRPr="009D0D2D">
        <w:rPr>
          <w:rFonts w:ascii="Calibri" w:hAnsi="Calibri" w:cs="Calibri"/>
          <w:kern w:val="0"/>
          <w:sz w:val="22"/>
          <w:szCs w:val="22"/>
        </w:rPr>
        <w:t>s</w:t>
      </w:r>
      <w:r w:rsidRPr="009D0D2D">
        <w:rPr>
          <w:rFonts w:ascii="Calibri" w:hAnsi="Calibri" w:cs="Calibri"/>
          <w:kern w:val="0"/>
          <w:sz w:val="22"/>
          <w:szCs w:val="22"/>
        </w:rPr>
        <w:t xml:space="preserve"> (ASPM</w:t>
      </w:r>
      <w:r w:rsidRPr="009D0D2D">
        <w:rPr>
          <w:rFonts w:ascii="Cambria Math" w:hAnsi="Cambria Math" w:cs="Cambria Math"/>
          <w:kern w:val="0"/>
          <w:sz w:val="22"/>
          <w:szCs w:val="22"/>
        </w:rPr>
        <w:t>‑</w:t>
      </w:r>
      <w:r w:rsidRPr="009D0D2D">
        <w:rPr>
          <w:rFonts w:ascii="Calibri" w:hAnsi="Calibri" w:cs="Calibri"/>
          <w:kern w:val="0"/>
          <w:sz w:val="22"/>
          <w:szCs w:val="22"/>
        </w:rPr>
        <w:t>R+; ISC 2025).</w:t>
      </w:r>
    </w:p>
    <w:p w14:paraId="39F64E54" w14:textId="77777777" w:rsidR="004F3136" w:rsidRPr="009D0D2D" w:rsidRDefault="004F3136" w:rsidP="005313BF">
      <w:pPr>
        <w:pStyle w:val="ListParagraph"/>
        <w:autoSpaceDE w:val="0"/>
        <w:autoSpaceDN w:val="0"/>
        <w:adjustRightInd w:val="0"/>
        <w:snapToGrid w:val="0"/>
        <w:contextualSpacing w:val="0"/>
        <w:rPr>
          <w:rFonts w:ascii="Calibri" w:hAnsi="Calibri" w:cs="Calibri"/>
          <w:kern w:val="0"/>
          <w:sz w:val="22"/>
          <w:szCs w:val="22"/>
        </w:rPr>
      </w:pPr>
    </w:p>
    <w:p w14:paraId="0B6EC6A1" w14:textId="12ACB246" w:rsidR="004F3136" w:rsidRPr="009D0D2D" w:rsidRDefault="005508F5" w:rsidP="006A528C">
      <w:pPr>
        <w:pStyle w:val="ListParagraph"/>
        <w:numPr>
          <w:ilvl w:val="0"/>
          <w:numId w:val="17"/>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ASPM</w:t>
      </w:r>
      <w:r w:rsidRPr="009D0D2D">
        <w:rPr>
          <w:rFonts w:ascii="Cambria Math" w:hAnsi="Cambria Math" w:cs="Cambria Math"/>
          <w:kern w:val="0"/>
          <w:sz w:val="22"/>
          <w:szCs w:val="22"/>
        </w:rPr>
        <w:t>‑</w:t>
      </w:r>
      <w:r w:rsidRPr="009D0D2D">
        <w:rPr>
          <w:rFonts w:ascii="Calibri" w:hAnsi="Calibri" w:cs="Calibri"/>
          <w:kern w:val="0"/>
          <w:sz w:val="22"/>
          <w:szCs w:val="22"/>
        </w:rPr>
        <w:t>R+ estimation model adopts the same demographic assumptions as the 2024 PBF stock assessment base</w:t>
      </w:r>
      <w:r w:rsidRPr="009D0D2D">
        <w:rPr>
          <w:rFonts w:ascii="Cambria Math" w:hAnsi="Cambria Math" w:cs="Cambria Math"/>
          <w:kern w:val="0"/>
          <w:sz w:val="22"/>
          <w:szCs w:val="22"/>
        </w:rPr>
        <w:t>‑</w:t>
      </w:r>
      <w:r w:rsidRPr="009D0D2D">
        <w:rPr>
          <w:rFonts w:ascii="Calibri" w:hAnsi="Calibri" w:cs="Calibri"/>
          <w:kern w:val="0"/>
          <w:sz w:val="22"/>
          <w:szCs w:val="22"/>
        </w:rPr>
        <w:t>case model. Input data include updated longline CPUE</w:t>
      </w:r>
      <w:r w:rsidRPr="009D0D2D">
        <w:rPr>
          <w:rFonts w:ascii="Cambria Math" w:hAnsi="Cambria Math" w:cs="Cambria Math"/>
          <w:kern w:val="0"/>
          <w:sz w:val="22"/>
          <w:szCs w:val="22"/>
        </w:rPr>
        <w:t>‑</w:t>
      </w:r>
      <w:r w:rsidRPr="009D0D2D">
        <w:rPr>
          <w:rFonts w:ascii="Calibri" w:hAnsi="Calibri" w:cs="Calibri"/>
          <w:kern w:val="0"/>
          <w:sz w:val="22"/>
          <w:szCs w:val="22"/>
        </w:rPr>
        <w:t>based abundance indices, updated catch time series for all fleets, and size</w:t>
      </w:r>
      <w:r w:rsidRPr="009D0D2D">
        <w:rPr>
          <w:rFonts w:ascii="Cambria Math" w:hAnsi="Cambria Math" w:cs="Cambria Math"/>
          <w:kern w:val="0"/>
          <w:sz w:val="22"/>
          <w:szCs w:val="22"/>
        </w:rPr>
        <w:t>‑</w:t>
      </w:r>
      <w:r w:rsidRPr="009D0D2D">
        <w:rPr>
          <w:rFonts w:ascii="Calibri" w:hAnsi="Calibri" w:cs="Calibri"/>
          <w:kern w:val="0"/>
          <w:sz w:val="22"/>
          <w:szCs w:val="22"/>
        </w:rPr>
        <w:t>composition data for fleets associated with the longline indices. The model estimates population scale, initial conditions, annual recruitment deviations, and longline fleet selectivity. Estimates of SSB</w:t>
      </w:r>
      <w:r w:rsidRPr="009D0D2D">
        <w:rPr>
          <w:rFonts w:ascii="Calibri" w:hAnsi="Calibri" w:cs="Calibri"/>
          <w:kern w:val="0"/>
          <w:sz w:val="22"/>
          <w:szCs w:val="22"/>
          <w:vertAlign w:val="subscript"/>
        </w:rPr>
        <w:t xml:space="preserve">current </w:t>
      </w:r>
      <w:r w:rsidRPr="009D0D2D">
        <w:rPr>
          <w:rFonts w:ascii="Calibri" w:hAnsi="Calibri" w:cs="Calibri"/>
          <w:kern w:val="0"/>
          <w:sz w:val="22"/>
          <w:szCs w:val="22"/>
        </w:rPr>
        <w:t>/SSB</w:t>
      </w:r>
      <w:r w:rsidRPr="009D0D2D">
        <w:rPr>
          <w:rFonts w:ascii="Calibri" w:hAnsi="Calibri" w:cs="Calibri"/>
          <w:kern w:val="0"/>
          <w:sz w:val="22"/>
          <w:szCs w:val="22"/>
          <w:vertAlign w:val="subscript"/>
        </w:rPr>
        <w:t>F=0</w:t>
      </w:r>
      <w:r w:rsidRPr="009D0D2D">
        <w:rPr>
          <w:rFonts w:ascii="Calibri" w:hAnsi="Calibri" w:cs="Calibri"/>
          <w:kern w:val="0"/>
          <w:sz w:val="22"/>
          <w:szCs w:val="22"/>
        </w:rPr>
        <w:t>, terminal</w:t>
      </w:r>
      <w:r w:rsidRPr="009D0D2D">
        <w:rPr>
          <w:rFonts w:ascii="Cambria Math" w:hAnsi="Cambria Math" w:cs="Cambria Math"/>
          <w:kern w:val="0"/>
          <w:sz w:val="22"/>
          <w:szCs w:val="22"/>
        </w:rPr>
        <w:t>‑</w:t>
      </w:r>
      <w:r w:rsidRPr="009D0D2D">
        <w:rPr>
          <w:rFonts w:ascii="Calibri" w:hAnsi="Calibri" w:cs="Calibri"/>
          <w:kern w:val="0"/>
          <w:sz w:val="22"/>
          <w:szCs w:val="22"/>
        </w:rPr>
        <w:t>year age structure, and relative fishing mortality by fleet and age for 2015–2022 are derived from the model outputs.</w:t>
      </w:r>
    </w:p>
    <w:p w14:paraId="33C6B261" w14:textId="77777777" w:rsidR="004F3136" w:rsidRPr="009D0D2D" w:rsidRDefault="004F3136" w:rsidP="005313BF">
      <w:pPr>
        <w:pStyle w:val="ListParagraph"/>
        <w:adjustRightInd w:val="0"/>
        <w:snapToGrid w:val="0"/>
        <w:contextualSpacing w:val="0"/>
        <w:rPr>
          <w:rFonts w:ascii="Calibri" w:hAnsi="Calibri" w:cs="Calibri"/>
          <w:kern w:val="0"/>
          <w:sz w:val="22"/>
          <w:szCs w:val="22"/>
        </w:rPr>
      </w:pPr>
    </w:p>
    <w:p w14:paraId="30F27EC6" w14:textId="7F3E1313" w:rsidR="005508F5" w:rsidRPr="009D0D2D" w:rsidRDefault="005508F5" w:rsidP="006A528C">
      <w:pPr>
        <w:pStyle w:val="ListParagraph"/>
        <w:numPr>
          <w:ilvl w:val="0"/>
          <w:numId w:val="17"/>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The ASPM</w:t>
      </w:r>
      <w:r w:rsidRPr="009D0D2D">
        <w:rPr>
          <w:rFonts w:ascii="Cambria Math" w:hAnsi="Cambria Math" w:cs="Cambria Math"/>
          <w:kern w:val="0"/>
          <w:sz w:val="22"/>
          <w:szCs w:val="22"/>
        </w:rPr>
        <w:t>‑</w:t>
      </w:r>
      <w:r w:rsidRPr="009D0D2D">
        <w:rPr>
          <w:rFonts w:ascii="Calibri" w:hAnsi="Calibri" w:cs="Calibri"/>
          <w:kern w:val="0"/>
          <w:sz w:val="22"/>
          <w:szCs w:val="22"/>
        </w:rPr>
        <w:t>R+ first estimates the average fishing mortality over 2015–2022 and the corresponding multiplier required to achieve the SPR specified by the HCR. Using these estimates, together with terminal</w:t>
      </w:r>
      <w:r w:rsidRPr="009D0D2D">
        <w:rPr>
          <w:rFonts w:ascii="Cambria Math" w:hAnsi="Cambria Math" w:cs="Cambria Math"/>
          <w:kern w:val="0"/>
          <w:sz w:val="22"/>
          <w:szCs w:val="22"/>
        </w:rPr>
        <w:t>‑</w:t>
      </w:r>
      <w:r w:rsidRPr="009D0D2D">
        <w:rPr>
          <w:rFonts w:ascii="Calibri" w:hAnsi="Calibri" w:cs="Calibri"/>
          <w:kern w:val="0"/>
          <w:sz w:val="22"/>
          <w:szCs w:val="22"/>
        </w:rPr>
        <w:t xml:space="preserve">year numbers at age, natural mortality, and weight at age derived from the estimation model (EM), the future TAC for each fishery segment is then calculated. </w:t>
      </w:r>
    </w:p>
    <w:p w14:paraId="61F6307E" w14:textId="77777777" w:rsidR="005508F5" w:rsidRPr="009D0D2D" w:rsidRDefault="005508F5"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 </w:t>
      </w:r>
    </w:p>
    <w:p w14:paraId="3CAF4550" w14:textId="77777777" w:rsidR="005508F5" w:rsidRPr="009D0D2D" w:rsidRDefault="005508F5" w:rsidP="005313BF">
      <w:pPr>
        <w:autoSpaceDE w:val="0"/>
        <w:autoSpaceDN w:val="0"/>
        <w:adjustRightInd w:val="0"/>
        <w:snapToGrid w:val="0"/>
        <w:rPr>
          <w:rFonts w:ascii="Calibri" w:hAnsi="Calibri" w:cs="Calibri"/>
          <w:kern w:val="0"/>
          <w:sz w:val="22"/>
          <w:szCs w:val="22"/>
        </w:rPr>
      </w:pPr>
    </w:p>
    <w:p w14:paraId="06ADF207" w14:textId="77777777" w:rsidR="00812534" w:rsidRPr="009D0D2D" w:rsidRDefault="00812534" w:rsidP="005313BF">
      <w:pPr>
        <w:widowControl/>
        <w:adjustRightInd w:val="0"/>
        <w:snapToGrid w:val="0"/>
        <w:rPr>
          <w:rFonts w:ascii="Calibri" w:hAnsi="Calibri" w:cs="Calibri"/>
          <w:kern w:val="0"/>
          <w:sz w:val="22"/>
          <w:szCs w:val="22"/>
        </w:rPr>
      </w:pPr>
      <w:r w:rsidRPr="009D0D2D">
        <w:rPr>
          <w:rFonts w:ascii="Calibri" w:hAnsi="Calibri" w:cs="Calibri"/>
          <w:kern w:val="0"/>
          <w:sz w:val="22"/>
          <w:szCs w:val="22"/>
        </w:rPr>
        <w:br w:type="page"/>
      </w:r>
    </w:p>
    <w:p w14:paraId="2B02EB5A" w14:textId="35CC02E8" w:rsidR="005508F5" w:rsidRPr="009D0D2D" w:rsidRDefault="001D6DB7" w:rsidP="005313BF">
      <w:pPr>
        <w:autoSpaceDE w:val="0"/>
        <w:autoSpaceDN w:val="0"/>
        <w:adjustRightInd w:val="0"/>
        <w:snapToGrid w:val="0"/>
        <w:rPr>
          <w:rFonts w:ascii="Calibri" w:hAnsi="Calibri" w:cs="Calibri"/>
          <w:b/>
          <w:bCs/>
          <w:kern w:val="0"/>
          <w:sz w:val="22"/>
          <w:szCs w:val="22"/>
        </w:rPr>
      </w:pPr>
      <w:r w:rsidRPr="009D0D2D">
        <w:rPr>
          <w:rFonts w:ascii="Calibri" w:hAnsi="Calibri" w:cs="Calibri"/>
          <w:b/>
          <w:bCs/>
          <w:kern w:val="0"/>
          <w:sz w:val="22"/>
          <w:szCs w:val="22"/>
        </w:rPr>
        <w:lastRenderedPageBreak/>
        <w:t xml:space="preserve">ANNEX 3: </w:t>
      </w:r>
      <w:r w:rsidR="009D542A" w:rsidRPr="009D0D2D">
        <w:rPr>
          <w:rFonts w:ascii="Calibri" w:hAnsi="Calibri" w:cs="Calibri"/>
          <w:b/>
          <w:bCs/>
          <w:kern w:val="0"/>
          <w:sz w:val="22"/>
          <w:szCs w:val="22"/>
        </w:rPr>
        <w:t xml:space="preserve">CRITERIA FOR IDENTIFYING </w:t>
      </w:r>
      <w:r w:rsidR="005508F5" w:rsidRPr="009D0D2D">
        <w:rPr>
          <w:rFonts w:ascii="Calibri" w:hAnsi="Calibri" w:cs="Calibri"/>
          <w:b/>
          <w:bCs/>
          <w:kern w:val="0"/>
          <w:sz w:val="22"/>
          <w:szCs w:val="22"/>
        </w:rPr>
        <w:t>EXCEPTIONAL CIRCUMSTANCE</w:t>
      </w:r>
      <w:r w:rsidR="009D542A" w:rsidRPr="009D0D2D">
        <w:rPr>
          <w:rFonts w:ascii="Calibri" w:hAnsi="Calibri" w:cs="Calibri"/>
          <w:b/>
          <w:bCs/>
          <w:kern w:val="0"/>
          <w:sz w:val="22"/>
          <w:szCs w:val="22"/>
        </w:rPr>
        <w:t>S</w:t>
      </w:r>
    </w:p>
    <w:p w14:paraId="6916120F" w14:textId="77777777" w:rsidR="00B833CA" w:rsidRPr="009D0D2D" w:rsidRDefault="00B833CA" w:rsidP="005313BF">
      <w:pPr>
        <w:autoSpaceDE w:val="0"/>
        <w:autoSpaceDN w:val="0"/>
        <w:adjustRightInd w:val="0"/>
        <w:snapToGrid w:val="0"/>
        <w:rPr>
          <w:rFonts w:ascii="Calibri" w:hAnsi="Calibri" w:cs="Calibri"/>
          <w:b/>
          <w:bCs/>
          <w:kern w:val="0"/>
          <w:sz w:val="22"/>
          <w:szCs w:val="22"/>
          <w:u w:val="single"/>
        </w:rPr>
      </w:pPr>
    </w:p>
    <w:p w14:paraId="6BC7F152" w14:textId="1D44539C" w:rsidR="00F55A5A" w:rsidRPr="009D0D2D" w:rsidRDefault="005D223D" w:rsidP="006A528C">
      <w:pPr>
        <w:pStyle w:val="ListParagraph"/>
        <w:numPr>
          <w:ilvl w:val="0"/>
          <w:numId w:val="18"/>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Exceptional circumstances are defined as the occurrence of events that are outside the range of scenarios considered for testing the MP. In the case of such events, it may be necessary to re-evaluate the MP or, in severe cases where there is considered to be a risk to the stock, take remedial action. Exceptional circumstances are not a mechanism for making regular, small</w:t>
      </w:r>
      <w:r w:rsidRPr="009D0D2D">
        <w:rPr>
          <w:rFonts w:ascii="Calibri" w:hAnsi="Calibri" w:cs="Calibri"/>
          <w:kern w:val="0"/>
          <w:sz w:val="22"/>
          <w:szCs w:val="22"/>
        </w:rPr>
        <w:br/>
        <w:t>adjustments to the MP, but rather should be invoked where, through an agreed process, the operation of the MP has been demonstrated to be highly risky or inappropriate. This Annex provides guidance on the process for determining whether exceptional circumstances exist and the necessary actions but does not provide firm definitions of all possible exceptional</w:t>
      </w:r>
      <w:r w:rsidRPr="009D0D2D">
        <w:rPr>
          <w:rFonts w:ascii="Calibri" w:hAnsi="Calibri" w:cs="Calibri"/>
          <w:kern w:val="0"/>
          <w:sz w:val="22"/>
          <w:szCs w:val="22"/>
        </w:rPr>
        <w:br/>
        <w:t>circumstances.</w:t>
      </w:r>
    </w:p>
    <w:p w14:paraId="6AEB694B" w14:textId="77777777" w:rsidR="008B5A95" w:rsidRPr="009D0D2D" w:rsidRDefault="008B5A95" w:rsidP="005313BF">
      <w:pPr>
        <w:autoSpaceDE w:val="0"/>
        <w:autoSpaceDN w:val="0"/>
        <w:adjustRightInd w:val="0"/>
        <w:snapToGrid w:val="0"/>
        <w:rPr>
          <w:rFonts w:ascii="Calibri" w:hAnsi="Calibri" w:cs="Calibri"/>
          <w:kern w:val="0"/>
          <w:sz w:val="22"/>
          <w:szCs w:val="22"/>
        </w:rPr>
      </w:pPr>
    </w:p>
    <w:p w14:paraId="4ED20E1F" w14:textId="32C9480E" w:rsidR="005508F5" w:rsidRPr="009D0D2D" w:rsidRDefault="008B5A95"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 xml:space="preserve">Process to determine if exceptional circumstances exist: </w:t>
      </w:r>
    </w:p>
    <w:p w14:paraId="5AB2FCA5" w14:textId="77777777" w:rsidR="008B5A95" w:rsidRPr="009D0D2D" w:rsidRDefault="008B5A95" w:rsidP="005313BF">
      <w:pPr>
        <w:autoSpaceDE w:val="0"/>
        <w:autoSpaceDN w:val="0"/>
        <w:adjustRightInd w:val="0"/>
        <w:snapToGrid w:val="0"/>
        <w:rPr>
          <w:rFonts w:ascii="Calibri" w:hAnsi="Calibri" w:cs="Calibri"/>
          <w:kern w:val="0"/>
          <w:sz w:val="22"/>
          <w:szCs w:val="22"/>
        </w:rPr>
      </w:pPr>
    </w:p>
    <w:p w14:paraId="5B5395EF" w14:textId="77777777" w:rsidR="005A61C8" w:rsidRPr="009D0D2D" w:rsidRDefault="008B5A95" w:rsidP="006A528C">
      <w:pPr>
        <w:pStyle w:val="ListParagraph"/>
        <w:numPr>
          <w:ilvl w:val="0"/>
          <w:numId w:val="18"/>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The ISC </w:t>
      </w:r>
      <w:r w:rsidR="005508F5" w:rsidRPr="009D0D2D">
        <w:rPr>
          <w:rFonts w:ascii="Calibri" w:hAnsi="Calibri" w:cs="Calibri"/>
          <w:kern w:val="0"/>
          <w:sz w:val="22"/>
          <w:szCs w:val="22"/>
        </w:rPr>
        <w:t xml:space="preserve">will update CPUE every year, continue to update the estimation model for the scheduled MP run, and conduct stock assessments for the stock with updated data sources. The </w:t>
      </w:r>
      <w:r w:rsidR="00016103" w:rsidRPr="009D0D2D">
        <w:rPr>
          <w:rFonts w:ascii="Calibri" w:hAnsi="Calibri" w:cs="Calibri"/>
          <w:kern w:val="0"/>
          <w:sz w:val="22"/>
          <w:szCs w:val="22"/>
        </w:rPr>
        <w:t>ISC</w:t>
      </w:r>
      <w:r w:rsidR="005508F5" w:rsidRPr="009D0D2D">
        <w:rPr>
          <w:rFonts w:ascii="Calibri" w:hAnsi="Calibri" w:cs="Calibri"/>
          <w:kern w:val="0"/>
          <w:sz w:val="22"/>
          <w:szCs w:val="22"/>
        </w:rPr>
        <w:t xml:space="preserve"> will also conduct research to examine new evidence about the current stock status and environmental conditions. </w:t>
      </w:r>
    </w:p>
    <w:p w14:paraId="1736E7F2" w14:textId="77777777" w:rsidR="00343861" w:rsidRPr="009D0D2D" w:rsidRDefault="00343861" w:rsidP="005313BF">
      <w:pPr>
        <w:pStyle w:val="ListParagraph"/>
        <w:autoSpaceDE w:val="0"/>
        <w:autoSpaceDN w:val="0"/>
        <w:adjustRightInd w:val="0"/>
        <w:snapToGrid w:val="0"/>
        <w:contextualSpacing w:val="0"/>
        <w:rPr>
          <w:rFonts w:ascii="Calibri" w:hAnsi="Calibri" w:cs="Calibri"/>
          <w:kern w:val="0"/>
          <w:sz w:val="22"/>
          <w:szCs w:val="22"/>
        </w:rPr>
      </w:pPr>
    </w:p>
    <w:p w14:paraId="53E23583" w14:textId="73D5E3DE" w:rsidR="006E2310" w:rsidRPr="009D0D2D" w:rsidRDefault="005A61C8" w:rsidP="006A528C">
      <w:pPr>
        <w:pStyle w:val="ListParagraph"/>
        <w:numPr>
          <w:ilvl w:val="0"/>
          <w:numId w:val="18"/>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Examples of what might constitute exceptional circumstances</w:t>
      </w:r>
      <w:r w:rsidR="000F5D4A" w:rsidRPr="009D0D2D">
        <w:rPr>
          <w:rFonts w:ascii="Calibri" w:hAnsi="Calibri" w:cs="Calibri"/>
          <w:kern w:val="0"/>
          <w:sz w:val="22"/>
          <w:szCs w:val="22"/>
        </w:rPr>
        <w:t xml:space="preserve"> for PBF</w:t>
      </w:r>
      <w:r w:rsidRPr="009D0D2D">
        <w:rPr>
          <w:rFonts w:ascii="Calibri" w:hAnsi="Calibri" w:cs="Calibri"/>
          <w:kern w:val="0"/>
          <w:sz w:val="22"/>
          <w:szCs w:val="22"/>
        </w:rPr>
        <w:t xml:space="preserve"> include, but are not limited to:</w:t>
      </w:r>
    </w:p>
    <w:p w14:paraId="3444F5B2" w14:textId="5CE25F5F" w:rsidR="00640D65" w:rsidRPr="009D0D2D" w:rsidRDefault="005508F5" w:rsidP="000B3929">
      <w:pPr>
        <w:pStyle w:val="ListParagraph"/>
        <w:numPr>
          <w:ilvl w:val="1"/>
          <w:numId w:val="18"/>
        </w:numPr>
        <w:autoSpaceDE w:val="0"/>
        <w:autoSpaceDN w:val="0"/>
        <w:adjustRightInd w:val="0"/>
        <w:snapToGrid w:val="0"/>
        <w:ind w:left="1080"/>
        <w:contextualSpacing w:val="0"/>
        <w:rPr>
          <w:rFonts w:ascii="Calibri" w:hAnsi="Calibri" w:cs="Calibri"/>
          <w:kern w:val="0"/>
          <w:sz w:val="22"/>
          <w:szCs w:val="22"/>
        </w:rPr>
      </w:pPr>
      <w:r w:rsidRPr="009D0D2D">
        <w:rPr>
          <w:rFonts w:ascii="Calibri" w:hAnsi="Calibri" w:cs="Calibri"/>
          <w:kern w:val="0"/>
          <w:sz w:val="22"/>
          <w:szCs w:val="22"/>
        </w:rPr>
        <w:t xml:space="preserve">Stock and Fleet Dynamics: Evidence from stock assessment estimates that the stock is in a state not previously simulated in the MSE (e.g., current SSB estimates are outside the range of uncertainty, or new evidence about the biology of the stock is presented). </w:t>
      </w:r>
      <w:r w:rsidR="00016103" w:rsidRPr="009D0D2D">
        <w:rPr>
          <w:rFonts w:ascii="Calibri" w:hAnsi="Calibri" w:cs="Calibri"/>
          <w:kern w:val="0"/>
          <w:sz w:val="22"/>
          <w:szCs w:val="22"/>
        </w:rPr>
        <w:t>In addition,</w:t>
      </w:r>
      <w:r w:rsidR="008A31FB" w:rsidRPr="009D0D2D">
        <w:rPr>
          <w:rFonts w:ascii="Calibri" w:hAnsi="Calibri" w:cs="Calibri"/>
          <w:kern w:val="0"/>
          <w:sz w:val="22"/>
          <w:szCs w:val="22"/>
        </w:rPr>
        <w:t xml:space="preserve"> </w:t>
      </w:r>
      <w:r w:rsidR="00733834" w:rsidRPr="009D0D2D">
        <w:rPr>
          <w:rFonts w:ascii="Calibri" w:hAnsi="Calibri" w:cs="Calibri"/>
          <w:kern w:val="0"/>
          <w:sz w:val="22"/>
          <w:szCs w:val="22"/>
        </w:rPr>
        <w:t>consider</w:t>
      </w:r>
      <w:r w:rsidRPr="009D0D2D">
        <w:rPr>
          <w:rFonts w:ascii="Calibri" w:hAnsi="Calibri" w:cs="Calibri"/>
          <w:kern w:val="0"/>
          <w:sz w:val="22"/>
          <w:szCs w:val="22"/>
        </w:rPr>
        <w:t xml:space="preserve"> evidence that the fleet structure or fishing operations have changed substantially. </w:t>
      </w:r>
    </w:p>
    <w:p w14:paraId="0C5E4D02" w14:textId="77777777" w:rsidR="00CD03AD" w:rsidRPr="009D0D2D" w:rsidRDefault="005508F5" w:rsidP="000B3929">
      <w:pPr>
        <w:pStyle w:val="ListParagraph"/>
        <w:numPr>
          <w:ilvl w:val="1"/>
          <w:numId w:val="18"/>
        </w:numPr>
        <w:autoSpaceDE w:val="0"/>
        <w:autoSpaceDN w:val="0"/>
        <w:adjustRightInd w:val="0"/>
        <w:snapToGrid w:val="0"/>
        <w:ind w:left="1080"/>
        <w:contextualSpacing w:val="0"/>
        <w:rPr>
          <w:rFonts w:ascii="Calibri" w:hAnsi="Calibri" w:cs="Calibri"/>
          <w:kern w:val="0"/>
          <w:sz w:val="22"/>
          <w:szCs w:val="22"/>
        </w:rPr>
      </w:pPr>
      <w:r w:rsidRPr="009D0D2D">
        <w:rPr>
          <w:rFonts w:ascii="Calibri" w:hAnsi="Calibri" w:cs="Calibri"/>
          <w:kern w:val="0"/>
          <w:sz w:val="22"/>
          <w:szCs w:val="22"/>
        </w:rPr>
        <w:t>Application: Data collection required to produce the stock assessment is no longer available and/or appropriate to apply the adopted MP.</w:t>
      </w:r>
    </w:p>
    <w:p w14:paraId="2FA8A095" w14:textId="58493AB6" w:rsidR="005508F5" w:rsidRPr="009D0D2D" w:rsidRDefault="005508F5" w:rsidP="000B3929">
      <w:pPr>
        <w:pStyle w:val="ListParagraph"/>
        <w:numPr>
          <w:ilvl w:val="1"/>
          <w:numId w:val="18"/>
        </w:numPr>
        <w:autoSpaceDE w:val="0"/>
        <w:autoSpaceDN w:val="0"/>
        <w:adjustRightInd w:val="0"/>
        <w:snapToGrid w:val="0"/>
        <w:ind w:left="1080"/>
        <w:contextualSpacing w:val="0"/>
        <w:rPr>
          <w:rFonts w:ascii="Calibri" w:hAnsi="Calibri" w:cs="Calibri"/>
          <w:kern w:val="0"/>
          <w:sz w:val="22"/>
          <w:szCs w:val="22"/>
        </w:rPr>
      </w:pPr>
      <w:r w:rsidRPr="009D0D2D">
        <w:rPr>
          <w:rFonts w:ascii="Calibri" w:hAnsi="Calibri" w:cs="Calibri"/>
          <w:kern w:val="0"/>
          <w:sz w:val="22"/>
          <w:szCs w:val="22"/>
        </w:rPr>
        <w:t xml:space="preserve">Implementation: The implementation of the management action is substantially different from what is prescribed by the MPs. For example, the total removals by the fishery differ substantially from what is prescribed by the MPs. TAC overage is not included here, as it is controllable through management actions. </w:t>
      </w:r>
    </w:p>
    <w:p w14:paraId="0860EE3D" w14:textId="77777777" w:rsidR="0088242A" w:rsidRPr="009D0D2D" w:rsidRDefault="0088242A" w:rsidP="005313BF">
      <w:pPr>
        <w:pStyle w:val="ListParagraph"/>
        <w:adjustRightInd w:val="0"/>
        <w:snapToGrid w:val="0"/>
        <w:contextualSpacing w:val="0"/>
        <w:rPr>
          <w:rFonts w:ascii="Calibri" w:hAnsi="Calibri" w:cs="Calibri"/>
          <w:kern w:val="0"/>
          <w:sz w:val="22"/>
          <w:szCs w:val="22"/>
        </w:rPr>
      </w:pPr>
    </w:p>
    <w:p w14:paraId="2BCA3BB2" w14:textId="54EF89F5" w:rsidR="0088242A" w:rsidRPr="009D0D2D" w:rsidRDefault="00C60DEF" w:rsidP="006A528C">
      <w:pPr>
        <w:pStyle w:val="ListParagraph"/>
        <w:numPr>
          <w:ilvl w:val="0"/>
          <w:numId w:val="18"/>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Based on the general elements above, indicators are summarized in Table 1.</w:t>
      </w:r>
    </w:p>
    <w:p w14:paraId="73254F3D" w14:textId="2B8EC152" w:rsidR="005508F5" w:rsidRPr="009D0D2D" w:rsidRDefault="005508F5" w:rsidP="005313BF">
      <w:pPr>
        <w:autoSpaceDE w:val="0"/>
        <w:autoSpaceDN w:val="0"/>
        <w:adjustRightInd w:val="0"/>
        <w:snapToGrid w:val="0"/>
        <w:rPr>
          <w:rFonts w:ascii="Calibri" w:hAnsi="Calibri" w:cs="Calibri"/>
          <w:strike/>
          <w:kern w:val="0"/>
          <w:sz w:val="22"/>
          <w:szCs w:val="22"/>
        </w:rPr>
      </w:pPr>
    </w:p>
    <w:p w14:paraId="4302E991" w14:textId="290C0F75" w:rsidR="00D36176" w:rsidRPr="009D0D2D" w:rsidRDefault="00D36176" w:rsidP="005313BF">
      <w:pPr>
        <w:autoSpaceDE w:val="0"/>
        <w:autoSpaceDN w:val="0"/>
        <w:adjustRightInd w:val="0"/>
        <w:snapToGrid w:val="0"/>
        <w:rPr>
          <w:rFonts w:ascii="Calibri" w:hAnsi="Calibri" w:cs="Calibri"/>
          <w:kern w:val="0"/>
          <w:sz w:val="22"/>
          <w:szCs w:val="22"/>
        </w:rPr>
      </w:pPr>
      <w:r w:rsidRPr="009D0D2D">
        <w:rPr>
          <w:rFonts w:ascii="Calibri" w:hAnsi="Calibri" w:cs="Calibri"/>
          <w:kern w:val="0"/>
          <w:sz w:val="22"/>
          <w:szCs w:val="22"/>
        </w:rPr>
        <w:t>Process for action in the event of exceptional circumstances:</w:t>
      </w:r>
    </w:p>
    <w:p w14:paraId="46634EDF" w14:textId="77777777" w:rsidR="00D36176" w:rsidRPr="009D0D2D" w:rsidRDefault="00D36176" w:rsidP="005313BF">
      <w:pPr>
        <w:autoSpaceDE w:val="0"/>
        <w:autoSpaceDN w:val="0"/>
        <w:adjustRightInd w:val="0"/>
        <w:snapToGrid w:val="0"/>
        <w:rPr>
          <w:rFonts w:ascii="Calibri" w:hAnsi="Calibri" w:cs="Calibri"/>
          <w:kern w:val="0"/>
          <w:sz w:val="22"/>
          <w:szCs w:val="22"/>
        </w:rPr>
      </w:pPr>
    </w:p>
    <w:p w14:paraId="1F8AA30C" w14:textId="77777777" w:rsidR="002E39D1" w:rsidRPr="009D0D2D" w:rsidRDefault="0028514A" w:rsidP="006A528C">
      <w:pPr>
        <w:pStyle w:val="ListParagraph"/>
        <w:numPr>
          <w:ilvl w:val="0"/>
          <w:numId w:val="18"/>
        </w:numPr>
        <w:autoSpaceDE w:val="0"/>
        <w:autoSpaceDN w:val="0"/>
        <w:adjustRightInd w:val="0"/>
        <w:snapToGrid w:val="0"/>
        <w:ind w:left="0" w:firstLine="0"/>
        <w:contextualSpacing w:val="0"/>
        <w:rPr>
          <w:rFonts w:ascii="Calibri" w:hAnsi="Calibri" w:cs="Calibri"/>
          <w:kern w:val="0"/>
          <w:sz w:val="22"/>
          <w:szCs w:val="22"/>
        </w:rPr>
      </w:pPr>
      <w:r w:rsidRPr="009D0D2D">
        <w:rPr>
          <w:rFonts w:ascii="Calibri" w:hAnsi="Calibri" w:cs="Calibri"/>
          <w:kern w:val="0"/>
          <w:sz w:val="22"/>
          <w:szCs w:val="22"/>
        </w:rPr>
        <w:t xml:space="preserve">Having determined that there is evidence for exceptional circumstances, the ISC shall </w:t>
      </w:r>
      <w:r w:rsidR="00A635E7" w:rsidRPr="009D0D2D">
        <w:rPr>
          <w:rFonts w:ascii="Calibri" w:hAnsi="Calibri" w:cs="Calibri"/>
          <w:kern w:val="0"/>
          <w:sz w:val="22"/>
          <w:szCs w:val="22"/>
        </w:rPr>
        <w:t>provide advice to the JWG, WCPFC NC and IATTC</w:t>
      </w:r>
      <w:r w:rsidR="002E39D1" w:rsidRPr="009D0D2D">
        <w:rPr>
          <w:rFonts w:ascii="Calibri" w:hAnsi="Calibri" w:cs="Calibri"/>
          <w:kern w:val="0"/>
          <w:sz w:val="22"/>
          <w:szCs w:val="22"/>
        </w:rPr>
        <w:t xml:space="preserve"> including, but not limited to: </w:t>
      </w:r>
    </w:p>
    <w:p w14:paraId="2390B499" w14:textId="62FA4883" w:rsidR="002E39D1" w:rsidRPr="009D0D2D" w:rsidRDefault="002E39D1" w:rsidP="005313BF">
      <w:pPr>
        <w:pStyle w:val="ListParagraph"/>
        <w:numPr>
          <w:ilvl w:val="1"/>
          <w:numId w:val="18"/>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 xml:space="preserve">The </w:t>
      </w:r>
      <w:r w:rsidR="004A2EFE" w:rsidRPr="009D0D2D">
        <w:rPr>
          <w:rFonts w:ascii="Calibri" w:hAnsi="Calibri" w:cs="Calibri"/>
          <w:kern w:val="0"/>
          <w:sz w:val="22"/>
          <w:szCs w:val="22"/>
        </w:rPr>
        <w:t xml:space="preserve">nature, </w:t>
      </w:r>
      <w:r w:rsidRPr="009D0D2D">
        <w:rPr>
          <w:rFonts w:ascii="Calibri" w:hAnsi="Calibri" w:cs="Calibri"/>
          <w:kern w:val="0"/>
          <w:sz w:val="22"/>
          <w:szCs w:val="22"/>
        </w:rPr>
        <w:t>severity</w:t>
      </w:r>
      <w:r w:rsidR="004A2EFE" w:rsidRPr="009D0D2D">
        <w:rPr>
          <w:rFonts w:ascii="Calibri" w:hAnsi="Calibri" w:cs="Calibri"/>
          <w:kern w:val="0"/>
          <w:sz w:val="22"/>
          <w:szCs w:val="22"/>
        </w:rPr>
        <w:t xml:space="preserve"> and potential impacts</w:t>
      </w:r>
      <w:r w:rsidRPr="009D0D2D">
        <w:rPr>
          <w:rFonts w:ascii="Calibri" w:hAnsi="Calibri" w:cs="Calibri"/>
          <w:kern w:val="0"/>
          <w:sz w:val="22"/>
          <w:szCs w:val="22"/>
        </w:rPr>
        <w:t xml:space="preserve"> of the exceptional circumstances;</w:t>
      </w:r>
    </w:p>
    <w:p w14:paraId="011AFF01" w14:textId="44A0BECC" w:rsidR="004A2EFE" w:rsidRPr="009D0D2D" w:rsidRDefault="004A2EFE" w:rsidP="005313BF">
      <w:pPr>
        <w:pStyle w:val="ListParagraph"/>
        <w:numPr>
          <w:ilvl w:val="1"/>
          <w:numId w:val="18"/>
        </w:numPr>
        <w:autoSpaceDE w:val="0"/>
        <w:autoSpaceDN w:val="0"/>
        <w:adjustRightInd w:val="0"/>
        <w:snapToGrid w:val="0"/>
        <w:contextualSpacing w:val="0"/>
        <w:rPr>
          <w:rFonts w:ascii="Calibri" w:hAnsi="Calibri" w:cs="Calibri"/>
          <w:kern w:val="0"/>
          <w:sz w:val="22"/>
          <w:szCs w:val="22"/>
        </w:rPr>
      </w:pPr>
      <w:r w:rsidRPr="009D0D2D">
        <w:rPr>
          <w:rFonts w:ascii="Calibri" w:hAnsi="Calibri" w:cs="Calibri"/>
          <w:kern w:val="0"/>
          <w:sz w:val="22"/>
          <w:szCs w:val="22"/>
        </w:rPr>
        <w:t>Potential impacts on the performance of the MP</w:t>
      </w:r>
      <w:r w:rsidR="00F30837" w:rsidRPr="009D0D2D">
        <w:rPr>
          <w:rFonts w:ascii="Calibri" w:hAnsi="Calibri" w:cs="Calibri"/>
          <w:kern w:val="0"/>
          <w:sz w:val="22"/>
          <w:szCs w:val="22"/>
        </w:rPr>
        <w:t>;</w:t>
      </w:r>
    </w:p>
    <w:p w14:paraId="7E1F5533" w14:textId="5406B5C6" w:rsidR="005508F5" w:rsidRPr="009D0D2D" w:rsidRDefault="00F30837" w:rsidP="005313BF">
      <w:pPr>
        <w:pStyle w:val="ListParagraph"/>
        <w:numPr>
          <w:ilvl w:val="1"/>
          <w:numId w:val="18"/>
        </w:numPr>
        <w:autoSpaceDE w:val="0"/>
        <w:autoSpaceDN w:val="0"/>
        <w:adjustRightInd w:val="0"/>
        <w:snapToGrid w:val="0"/>
        <w:contextualSpacing w:val="0"/>
        <w:rPr>
          <w:rFonts w:ascii="Calibri" w:hAnsi="Calibri" w:cs="Calibri"/>
          <w:strike/>
          <w:kern w:val="0"/>
          <w:sz w:val="22"/>
          <w:szCs w:val="22"/>
        </w:rPr>
      </w:pPr>
      <w:r w:rsidRPr="009D0D2D">
        <w:rPr>
          <w:rFonts w:ascii="Calibri" w:hAnsi="Calibri" w:cs="Calibri"/>
          <w:kern w:val="0"/>
          <w:sz w:val="22"/>
          <w:szCs w:val="22"/>
        </w:rPr>
        <w:t>Potenti</w:t>
      </w:r>
      <w:r w:rsidR="006958CA" w:rsidRPr="009D0D2D">
        <w:rPr>
          <w:rFonts w:ascii="Calibri" w:hAnsi="Calibri" w:cs="Calibri"/>
          <w:kern w:val="0"/>
          <w:sz w:val="22"/>
          <w:szCs w:val="22"/>
        </w:rPr>
        <w:t xml:space="preserve">al actions to address the exceptional circumstances, such as </w:t>
      </w:r>
      <w:r w:rsidR="00FE2BD1" w:rsidRPr="009D0D2D">
        <w:rPr>
          <w:rFonts w:ascii="Calibri" w:hAnsi="Calibri" w:cs="Calibri"/>
          <w:kern w:val="0"/>
          <w:sz w:val="22"/>
          <w:szCs w:val="22"/>
        </w:rPr>
        <w:t xml:space="preserve">a change in the MP, additional research, updates to the MSE framework for PBF or other recommendations as appropriate. </w:t>
      </w:r>
      <w:r w:rsidR="005508F5" w:rsidRPr="009D0D2D">
        <w:rPr>
          <w:rFonts w:ascii="Calibri" w:hAnsi="Calibri" w:cs="Calibri"/>
          <w:kern w:val="0"/>
          <w:sz w:val="22"/>
          <w:szCs w:val="22"/>
        </w:rPr>
        <w:t> </w:t>
      </w:r>
    </w:p>
    <w:p w14:paraId="13146F1B" w14:textId="77777777" w:rsidR="005508F5" w:rsidRPr="009D0D2D" w:rsidRDefault="005508F5" w:rsidP="005313BF">
      <w:pPr>
        <w:autoSpaceDE w:val="0"/>
        <w:autoSpaceDN w:val="0"/>
        <w:adjustRightInd w:val="0"/>
        <w:snapToGrid w:val="0"/>
        <w:rPr>
          <w:rFonts w:ascii="Calibri" w:hAnsi="Calibri" w:cs="Calibri"/>
          <w:kern w:val="0"/>
          <w:sz w:val="22"/>
          <w:szCs w:val="22"/>
        </w:rPr>
      </w:pPr>
    </w:p>
    <w:p w14:paraId="3C8DD7AA" w14:textId="77777777" w:rsidR="000D0EB5" w:rsidRDefault="000D0EB5">
      <w:pPr>
        <w:widowControl/>
        <w:jc w:val="left"/>
        <w:rPr>
          <w:rFonts w:ascii="Calibri" w:hAnsi="Calibri" w:cs="Calibri"/>
          <w:kern w:val="0"/>
          <w:sz w:val="22"/>
          <w:szCs w:val="22"/>
        </w:rPr>
      </w:pPr>
      <w:r>
        <w:rPr>
          <w:rFonts w:ascii="Calibri" w:hAnsi="Calibri" w:cs="Calibri"/>
          <w:kern w:val="0"/>
          <w:sz w:val="22"/>
          <w:szCs w:val="22"/>
        </w:rPr>
        <w:br w:type="page"/>
      </w:r>
    </w:p>
    <w:p w14:paraId="11F70FBD" w14:textId="2471F77B" w:rsidR="005508F5" w:rsidRPr="009D0D2D" w:rsidRDefault="005508F5" w:rsidP="005313BF">
      <w:pPr>
        <w:autoSpaceDE w:val="0"/>
        <w:autoSpaceDN w:val="0"/>
        <w:adjustRightInd w:val="0"/>
        <w:snapToGrid w:val="0"/>
        <w:rPr>
          <w:rFonts w:ascii="Calibri" w:hAnsi="Calibri" w:cs="Calibri"/>
          <w:kern w:val="0"/>
          <w:sz w:val="22"/>
          <w:szCs w:val="22"/>
        </w:rPr>
      </w:pPr>
      <w:r w:rsidRPr="000D0EB5">
        <w:rPr>
          <w:rFonts w:ascii="Calibri" w:hAnsi="Calibri" w:cs="Calibri"/>
          <w:b/>
          <w:bCs/>
          <w:kern w:val="0"/>
          <w:sz w:val="22"/>
          <w:szCs w:val="22"/>
        </w:rPr>
        <w:lastRenderedPageBreak/>
        <w:t>Table 1</w:t>
      </w:r>
      <w:r w:rsidR="00FE2BD1" w:rsidRPr="009D0D2D">
        <w:rPr>
          <w:rFonts w:ascii="Calibri" w:hAnsi="Calibri" w:cs="Calibri"/>
          <w:kern w:val="0"/>
          <w:sz w:val="22"/>
          <w:szCs w:val="22"/>
        </w:rPr>
        <w:t>:</w:t>
      </w:r>
      <w:r w:rsidR="000D0EB5">
        <w:rPr>
          <w:rFonts w:ascii="Calibri" w:eastAsia="Malgun Gothic" w:hAnsi="Calibri" w:cs="Calibri" w:hint="eastAsia"/>
          <w:kern w:val="0"/>
          <w:sz w:val="22"/>
          <w:szCs w:val="22"/>
          <w:lang w:eastAsia="ko-KR"/>
        </w:rPr>
        <w:t xml:space="preserve"> </w:t>
      </w:r>
      <w:r w:rsidRPr="009D0D2D">
        <w:rPr>
          <w:rFonts w:ascii="Calibri" w:hAnsi="Calibri" w:cs="Calibri"/>
          <w:kern w:val="0"/>
          <w:sz w:val="22"/>
          <w:szCs w:val="22"/>
        </w:rPr>
        <w:t>Elements, indicators, and defined reference ranges used to evaluate whether the stock is experiencing exceptional circumstances beyond those considered in the Pacific bluefin tuna management strategy evaluation.</w:t>
      </w:r>
    </w:p>
    <w:tbl>
      <w:tblPr>
        <w:tblW w:w="5000" w:type="pct"/>
        <w:tblBorders>
          <w:top w:val="none" w:sz="6" w:space="0" w:color="auto"/>
          <w:left w:val="none" w:sz="6" w:space="0" w:color="auto"/>
          <w:right w:val="none" w:sz="6" w:space="0" w:color="auto"/>
        </w:tblBorders>
        <w:tblLook w:val="0000" w:firstRow="0" w:lastRow="0" w:firstColumn="0" w:lastColumn="0" w:noHBand="0" w:noVBand="0"/>
      </w:tblPr>
      <w:tblGrid>
        <w:gridCol w:w="2335"/>
        <w:gridCol w:w="2335"/>
        <w:gridCol w:w="2335"/>
        <w:gridCol w:w="2335"/>
      </w:tblGrid>
      <w:tr w:rsidR="005508F5" w:rsidRPr="007942AF" w14:paraId="498E9BC4" w14:textId="77777777" w:rsidTr="00D021A1">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4E239097" w14:textId="77777777" w:rsidR="005508F5" w:rsidRPr="007942AF" w:rsidRDefault="005508F5"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Element</w:t>
            </w:r>
          </w:p>
        </w:tc>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456EBCE8" w14:textId="77777777" w:rsidR="005508F5" w:rsidRPr="007942AF" w:rsidRDefault="005508F5"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Indicator</w:t>
            </w:r>
          </w:p>
        </w:tc>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4451F822" w14:textId="77777777" w:rsidR="005508F5" w:rsidRPr="007942AF" w:rsidRDefault="005508F5"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Range</w:t>
            </w:r>
          </w:p>
        </w:tc>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17A900C1" w14:textId="77777777" w:rsidR="005508F5" w:rsidRPr="007942AF" w:rsidRDefault="005508F5"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Evaluation Schedule</w:t>
            </w:r>
          </w:p>
        </w:tc>
      </w:tr>
      <w:tr w:rsidR="005508F5" w:rsidRPr="007942AF" w14:paraId="16DE2371"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FA9C1F"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b/>
                <w:bCs/>
                <w:kern w:val="0"/>
                <w:sz w:val="20"/>
                <w:szCs w:val="20"/>
              </w:rPr>
              <w:t>Stock and Fleet Dynamics</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443D02"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Depletion of stock biomass</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E55736"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In any year estimates fall outside the range of uncertainty simulated by the operating models (OMs) used in the MSE.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4F723C"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update or stock assessment</w:t>
            </w:r>
          </w:p>
        </w:tc>
      </w:tr>
      <w:tr w:rsidR="005508F5" w:rsidRPr="007942AF" w14:paraId="4823F98F"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3027001"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8FBAEA"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Fishing intensity (F</w:t>
            </w:r>
            <w:r w:rsidRPr="007942AF">
              <w:rPr>
                <w:rFonts w:ascii="Calibri" w:hAnsi="Calibri" w:cs="Calibri"/>
                <w:kern w:val="0"/>
                <w:sz w:val="20"/>
                <w:szCs w:val="20"/>
                <w:vertAlign w:val="subscript"/>
              </w:rPr>
              <w:t>%SPR</w:t>
            </w:r>
            <w:r w:rsidRPr="007942AF">
              <w:rPr>
                <w:rFonts w:ascii="Calibri" w:hAnsi="Calibri" w:cs="Calibri"/>
                <w:kern w:val="0"/>
                <w:sz w:val="20"/>
                <w:szCs w:val="20"/>
              </w:rPr>
              <w:t>) where SPR is the spawning potential ratio</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8029A11"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DD7025"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r>
      <w:tr w:rsidR="005508F5" w:rsidRPr="007942AF" w14:paraId="4187D547"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29ACAE"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4D25EDD"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Longline CPUE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58DFAFC"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In any year estimates fall outside the range of uncertainty simulated by the MSE.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E25FF4"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Every year when CPUE is updated.</w:t>
            </w:r>
          </w:p>
        </w:tc>
      </w:tr>
      <w:tr w:rsidR="005508F5" w:rsidRPr="007942AF" w14:paraId="1AB0E759"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0DE322"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CF4DC5"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Changes in fleet dynamics or selectivity</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E73DCF"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Any substantial differences from the structure and parameterization used in the OMs of the most recent MSE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3AED5E"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As new evidence and research is presented and accepted by the PBFWG</w:t>
            </w:r>
          </w:p>
        </w:tc>
      </w:tr>
      <w:tr w:rsidR="005508F5" w:rsidRPr="007942AF" w14:paraId="7375BA3C"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FA7FDA7"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ABAAB9C"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Biological parameters</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6566580"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B80B391"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r>
      <w:tr w:rsidR="005508F5" w:rsidRPr="007942AF" w14:paraId="4AF105D9"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76739B"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93DB2B1"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Recruitment drop</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FCD851" w14:textId="0C6C2DBB"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Recruitment index shows low trend.</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034EC0"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Every year when CPUE is updated.</w:t>
            </w:r>
          </w:p>
        </w:tc>
      </w:tr>
      <w:tr w:rsidR="005508F5" w:rsidRPr="007942AF" w14:paraId="551AEC7F"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7A3777"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b/>
                <w:bCs/>
                <w:kern w:val="0"/>
                <w:sz w:val="20"/>
                <w:szCs w:val="20"/>
              </w:rPr>
              <w:t>Application</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AAE9DB5"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or Stock assessment</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E4FB8C"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or Stock assessment is not producible or estimates are unreliable.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931F0D"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update or stock assessment</w:t>
            </w:r>
          </w:p>
        </w:tc>
      </w:tr>
      <w:tr w:rsidR="005508F5" w:rsidRPr="007942AF" w14:paraId="4FC4CD1A" w14:textId="77777777" w:rsidTr="007942AF">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4EF9583" w14:textId="77777777" w:rsidR="005508F5" w:rsidRPr="007942AF" w:rsidRDefault="005508F5"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47801A"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Realized catch or effort</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0A6A85"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If there is evidence that catch or effort outside of management, such as discard mortality or by new fleets, is greater than assumed in the MSE.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AA53A93" w14:textId="77777777" w:rsidR="005508F5" w:rsidRPr="007942AF" w:rsidRDefault="005508F5"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As new evidence and research is presented and accepted by the PBFWG</w:t>
            </w:r>
          </w:p>
        </w:tc>
      </w:tr>
    </w:tbl>
    <w:p w14:paraId="4BFD4506" w14:textId="77777777" w:rsidR="005508F5" w:rsidRPr="009D0D2D" w:rsidRDefault="005508F5" w:rsidP="005313BF">
      <w:pPr>
        <w:autoSpaceDE w:val="0"/>
        <w:autoSpaceDN w:val="0"/>
        <w:adjustRightInd w:val="0"/>
        <w:snapToGrid w:val="0"/>
        <w:rPr>
          <w:rFonts w:ascii="Calibri" w:hAnsi="Calibri" w:cs="Calibri"/>
          <w:kern w:val="0"/>
          <w:sz w:val="22"/>
          <w:szCs w:val="22"/>
        </w:rPr>
      </w:pPr>
      <w:r w:rsidRPr="009D0D2D">
        <w:rPr>
          <w:rFonts w:ascii="Calibri" w:hAnsi="Calibri" w:cs="Calibri"/>
          <w:b/>
          <w:bCs/>
          <w:kern w:val="0"/>
          <w:sz w:val="22"/>
          <w:szCs w:val="22"/>
        </w:rPr>
        <w:t> </w:t>
      </w:r>
    </w:p>
    <w:sectPr w:rsidR="005508F5" w:rsidRPr="009D0D2D" w:rsidSect="00C31A85">
      <w:footerReference w:type="default" r:id="rId10"/>
      <w:pgSz w:w="12240" w:h="15840" w:code="1"/>
      <w:pgMar w:top="1440" w:right="1440" w:bottom="1440" w:left="1440" w:header="720" w:footer="4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7AE0" w14:textId="77777777" w:rsidR="000F7CAB" w:rsidRDefault="000F7CAB" w:rsidP="003214B2">
      <w:r>
        <w:separator/>
      </w:r>
    </w:p>
  </w:endnote>
  <w:endnote w:type="continuationSeparator" w:id="0">
    <w:p w14:paraId="51AC9194" w14:textId="77777777" w:rsidR="000F7CAB" w:rsidRDefault="000F7CAB" w:rsidP="0032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266594"/>
      <w:docPartObj>
        <w:docPartGallery w:val="Page Numbers (Bottom of Page)"/>
        <w:docPartUnique/>
      </w:docPartObj>
    </w:sdtPr>
    <w:sdtEndPr>
      <w:rPr>
        <w:rFonts w:ascii="Calibri" w:hAnsi="Calibri" w:cs="Calibri"/>
        <w:noProof/>
        <w:sz w:val="22"/>
        <w:szCs w:val="22"/>
      </w:rPr>
    </w:sdtEndPr>
    <w:sdtContent>
      <w:p w14:paraId="5847DD88" w14:textId="266657B9" w:rsidR="00A84202" w:rsidRPr="00C31A85" w:rsidRDefault="00A84202">
        <w:pPr>
          <w:pStyle w:val="Footer"/>
          <w:jc w:val="center"/>
          <w:rPr>
            <w:rFonts w:ascii="Calibri" w:hAnsi="Calibri" w:cs="Calibri"/>
            <w:sz w:val="22"/>
            <w:szCs w:val="22"/>
          </w:rPr>
        </w:pPr>
        <w:r w:rsidRPr="00C31A85">
          <w:rPr>
            <w:rFonts w:ascii="Calibri" w:hAnsi="Calibri" w:cs="Calibri"/>
            <w:sz w:val="22"/>
            <w:szCs w:val="22"/>
          </w:rPr>
          <w:fldChar w:fldCharType="begin"/>
        </w:r>
        <w:r w:rsidRPr="00C31A85">
          <w:rPr>
            <w:rFonts w:ascii="Calibri" w:hAnsi="Calibri" w:cs="Calibri"/>
            <w:sz w:val="22"/>
            <w:szCs w:val="22"/>
          </w:rPr>
          <w:instrText xml:space="preserve"> PAGE   \* MERGEFORMAT </w:instrText>
        </w:r>
        <w:r w:rsidRPr="00C31A85">
          <w:rPr>
            <w:rFonts w:ascii="Calibri" w:hAnsi="Calibri" w:cs="Calibri"/>
            <w:sz w:val="22"/>
            <w:szCs w:val="22"/>
          </w:rPr>
          <w:fldChar w:fldCharType="separate"/>
        </w:r>
        <w:r w:rsidRPr="00C31A85">
          <w:rPr>
            <w:rFonts w:ascii="Calibri" w:hAnsi="Calibri" w:cs="Calibri"/>
            <w:noProof/>
            <w:sz w:val="22"/>
            <w:szCs w:val="22"/>
          </w:rPr>
          <w:t>2</w:t>
        </w:r>
        <w:r w:rsidRPr="00C31A85">
          <w:rPr>
            <w:rFonts w:ascii="Calibri" w:hAnsi="Calibri" w:cs="Calibri"/>
            <w:noProof/>
            <w:sz w:val="22"/>
            <w:szCs w:val="22"/>
          </w:rPr>
          <w:fldChar w:fldCharType="end"/>
        </w:r>
      </w:p>
    </w:sdtContent>
  </w:sdt>
  <w:p w14:paraId="5642E714" w14:textId="77777777" w:rsidR="00A84202" w:rsidRDefault="00A8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8092" w14:textId="77777777" w:rsidR="000F7CAB" w:rsidRDefault="000F7CAB" w:rsidP="003214B2">
      <w:r>
        <w:separator/>
      </w:r>
    </w:p>
  </w:footnote>
  <w:footnote w:type="continuationSeparator" w:id="0">
    <w:p w14:paraId="09AE6249" w14:textId="77777777" w:rsidR="000F7CAB" w:rsidRDefault="000F7CAB" w:rsidP="003214B2">
      <w:r>
        <w:continuationSeparator/>
      </w:r>
    </w:p>
  </w:footnote>
  <w:footnote w:id="1">
    <w:p w14:paraId="5CEB5568" w14:textId="1FB272D7" w:rsidR="000C035F" w:rsidRPr="00012DEB" w:rsidRDefault="000C035F" w:rsidP="00012DEB">
      <w:pPr>
        <w:pStyle w:val="FootnoteText"/>
        <w:adjustRightInd w:val="0"/>
        <w:snapToGrid w:val="0"/>
        <w:rPr>
          <w:rFonts w:ascii="Calibri" w:hAnsi="Calibri" w:cs="Calibri"/>
        </w:rPr>
      </w:pPr>
      <w:r w:rsidRPr="00012DEB">
        <w:rPr>
          <w:rStyle w:val="FootnoteReference"/>
          <w:rFonts w:ascii="Calibri" w:hAnsi="Calibri" w:cs="Calibri"/>
        </w:rPr>
        <w:footnoteRef/>
      </w:r>
      <w:r w:rsidRPr="00012DEB">
        <w:rPr>
          <w:rFonts w:ascii="Calibri" w:hAnsi="Calibri" w:cs="Calibri"/>
        </w:rPr>
        <w:t xml:space="preserve"> </w:t>
      </w:r>
      <w:r w:rsidR="0034750E" w:rsidRPr="00012DEB">
        <w:rPr>
          <w:rFonts w:ascii="Calibri" w:hAnsi="Calibri" w:cs="Calibri"/>
          <w:kern w:val="0"/>
        </w:rPr>
        <w:t xml:space="preserve">WCPFC and IATTC subsidiary bodies, including </w:t>
      </w:r>
      <w:r w:rsidRPr="00012DEB">
        <w:rPr>
          <w:rFonts w:ascii="Calibri" w:hAnsi="Calibri" w:cs="Calibri"/>
          <w:kern w:val="0"/>
        </w:rPr>
        <w:t>WCPFC SC and IATTC SAC</w:t>
      </w:r>
      <w:r w:rsidR="0034750E" w:rsidRPr="00012DEB">
        <w:rPr>
          <w:rFonts w:ascii="Calibri" w:hAnsi="Calibri" w:cs="Calibri"/>
          <w:kern w:val="0"/>
        </w:rPr>
        <w:t>,</w:t>
      </w:r>
      <w:r w:rsidRPr="00012DEB">
        <w:rPr>
          <w:rFonts w:ascii="Calibri" w:hAnsi="Calibri" w:cs="Calibri"/>
          <w:kern w:val="0"/>
        </w:rPr>
        <w:t xml:space="preserve"> may provide input to the JWG and/or the WCPFC and IATTC, respectively, through existing consultation processes.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12"/>
    <w:multiLevelType w:val="hybridMultilevel"/>
    <w:tmpl w:val="ADAAFA18"/>
    <w:lvl w:ilvl="0" w:tplc="1F568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F44B2"/>
    <w:multiLevelType w:val="hybridMultilevel"/>
    <w:tmpl w:val="A45289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C116C1"/>
    <w:multiLevelType w:val="hybridMultilevel"/>
    <w:tmpl w:val="077093B8"/>
    <w:lvl w:ilvl="0" w:tplc="5F42C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94100"/>
    <w:multiLevelType w:val="hybridMultilevel"/>
    <w:tmpl w:val="5E6CE25A"/>
    <w:lvl w:ilvl="0" w:tplc="49A4A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56A57"/>
    <w:multiLevelType w:val="hybridMultilevel"/>
    <w:tmpl w:val="AF32C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931AA"/>
    <w:multiLevelType w:val="hybridMultilevel"/>
    <w:tmpl w:val="25AC8682"/>
    <w:lvl w:ilvl="0" w:tplc="36D4E8F8">
      <w:start w:val="1"/>
      <w:numFmt w:val="lowerLetter"/>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329F2844"/>
    <w:multiLevelType w:val="hybridMultilevel"/>
    <w:tmpl w:val="A4528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F28F7"/>
    <w:multiLevelType w:val="hybridMultilevel"/>
    <w:tmpl w:val="A1D26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339C6"/>
    <w:multiLevelType w:val="hybridMultilevel"/>
    <w:tmpl w:val="7A1E2FB6"/>
    <w:lvl w:ilvl="0" w:tplc="FFFFFFFF">
      <w:start w:val="1"/>
      <w:numFmt w:val="decimal"/>
      <w:lvlText w:val="%1."/>
      <w:lvlJc w:val="left"/>
      <w:pPr>
        <w:ind w:left="720" w:hanging="360"/>
      </w:pPr>
      <w:rPr>
        <w:rFonts w:hint="default"/>
      </w:rPr>
    </w:lvl>
    <w:lvl w:ilvl="1" w:tplc="AD4E3462">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11596"/>
    <w:multiLevelType w:val="hybridMultilevel"/>
    <w:tmpl w:val="A5262B66"/>
    <w:lvl w:ilvl="0" w:tplc="4F3C0B48">
      <w:start w:val="1"/>
      <w:numFmt w:val="decimal"/>
      <w:lvlText w:val="%1."/>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2312BA42">
      <w:start w:val="1"/>
      <w:numFmt w:val="lowerLetter"/>
      <w:lvlText w:val="%2)"/>
      <w:lvlJc w:val="left"/>
      <w:pPr>
        <w:ind w:left="1080" w:hanging="370"/>
      </w:pPr>
      <w:rPr>
        <w:rFonts w:ascii="Calibri" w:eastAsia="Calibri" w:hAnsi="Calibri" w:cs="Calibri" w:hint="default"/>
        <w:b w:val="0"/>
        <w:bCs w:val="0"/>
        <w:i w:val="0"/>
        <w:iCs w:val="0"/>
        <w:spacing w:val="-1"/>
        <w:w w:val="100"/>
        <w:sz w:val="22"/>
        <w:szCs w:val="22"/>
        <w:lang w:val="en-US" w:eastAsia="en-US" w:bidi="ar-SA"/>
      </w:rPr>
    </w:lvl>
    <w:lvl w:ilvl="2" w:tplc="06566374">
      <w:numFmt w:val="bullet"/>
      <w:lvlText w:val="•"/>
      <w:lvlJc w:val="left"/>
      <w:pPr>
        <w:ind w:left="2080" w:hanging="370"/>
      </w:pPr>
      <w:rPr>
        <w:rFonts w:hint="default"/>
        <w:lang w:val="en-US" w:eastAsia="en-US" w:bidi="ar-SA"/>
      </w:rPr>
    </w:lvl>
    <w:lvl w:ilvl="3" w:tplc="B05ADB52">
      <w:numFmt w:val="bullet"/>
      <w:lvlText w:val="•"/>
      <w:lvlJc w:val="left"/>
      <w:pPr>
        <w:ind w:left="3080" w:hanging="370"/>
      </w:pPr>
      <w:rPr>
        <w:rFonts w:hint="default"/>
        <w:lang w:val="en-US" w:eastAsia="en-US" w:bidi="ar-SA"/>
      </w:rPr>
    </w:lvl>
    <w:lvl w:ilvl="4" w:tplc="71B24AFC">
      <w:numFmt w:val="bullet"/>
      <w:lvlText w:val="•"/>
      <w:lvlJc w:val="left"/>
      <w:pPr>
        <w:ind w:left="4080" w:hanging="370"/>
      </w:pPr>
      <w:rPr>
        <w:rFonts w:hint="default"/>
        <w:lang w:val="en-US" w:eastAsia="en-US" w:bidi="ar-SA"/>
      </w:rPr>
    </w:lvl>
    <w:lvl w:ilvl="5" w:tplc="FA342F5E">
      <w:numFmt w:val="bullet"/>
      <w:lvlText w:val="•"/>
      <w:lvlJc w:val="left"/>
      <w:pPr>
        <w:ind w:left="5080" w:hanging="370"/>
      </w:pPr>
      <w:rPr>
        <w:rFonts w:hint="default"/>
        <w:lang w:val="en-US" w:eastAsia="en-US" w:bidi="ar-SA"/>
      </w:rPr>
    </w:lvl>
    <w:lvl w:ilvl="6" w:tplc="9C04BB08">
      <w:numFmt w:val="bullet"/>
      <w:lvlText w:val="•"/>
      <w:lvlJc w:val="left"/>
      <w:pPr>
        <w:ind w:left="6080" w:hanging="370"/>
      </w:pPr>
      <w:rPr>
        <w:rFonts w:hint="default"/>
        <w:lang w:val="en-US" w:eastAsia="en-US" w:bidi="ar-SA"/>
      </w:rPr>
    </w:lvl>
    <w:lvl w:ilvl="7" w:tplc="D612EEC0">
      <w:numFmt w:val="bullet"/>
      <w:lvlText w:val="•"/>
      <w:lvlJc w:val="left"/>
      <w:pPr>
        <w:ind w:left="7080" w:hanging="370"/>
      </w:pPr>
      <w:rPr>
        <w:rFonts w:hint="default"/>
        <w:lang w:val="en-US" w:eastAsia="en-US" w:bidi="ar-SA"/>
      </w:rPr>
    </w:lvl>
    <w:lvl w:ilvl="8" w:tplc="D7E615D6">
      <w:numFmt w:val="bullet"/>
      <w:lvlText w:val="•"/>
      <w:lvlJc w:val="left"/>
      <w:pPr>
        <w:ind w:left="8080" w:hanging="370"/>
      </w:pPr>
      <w:rPr>
        <w:rFonts w:hint="default"/>
        <w:lang w:val="en-US" w:eastAsia="en-US" w:bidi="ar-SA"/>
      </w:rPr>
    </w:lvl>
  </w:abstractNum>
  <w:abstractNum w:abstractNumId="10" w15:restartNumberingAfterBreak="0">
    <w:nsid w:val="54186F34"/>
    <w:multiLevelType w:val="hybridMultilevel"/>
    <w:tmpl w:val="CFE03B24"/>
    <w:lvl w:ilvl="0" w:tplc="9E6E7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423AB"/>
    <w:multiLevelType w:val="hybridMultilevel"/>
    <w:tmpl w:val="8AB4B73E"/>
    <w:lvl w:ilvl="0" w:tplc="DC809E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F260F3"/>
    <w:multiLevelType w:val="hybridMultilevel"/>
    <w:tmpl w:val="6F8CC24E"/>
    <w:lvl w:ilvl="0" w:tplc="3C70E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000754"/>
    <w:multiLevelType w:val="hybridMultilevel"/>
    <w:tmpl w:val="AD38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512CD"/>
    <w:multiLevelType w:val="hybridMultilevel"/>
    <w:tmpl w:val="D180B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E5871"/>
    <w:multiLevelType w:val="hybridMultilevel"/>
    <w:tmpl w:val="00367C7E"/>
    <w:lvl w:ilvl="0" w:tplc="36D4E8F8">
      <w:start w:val="1"/>
      <w:numFmt w:val="lowerLetter"/>
      <w:lvlText w:val="%1)"/>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07D4ABE"/>
    <w:multiLevelType w:val="hybridMultilevel"/>
    <w:tmpl w:val="5AB2E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843D7"/>
    <w:multiLevelType w:val="hybridMultilevel"/>
    <w:tmpl w:val="94E24F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66259133">
    <w:abstractNumId w:val="15"/>
  </w:num>
  <w:num w:numId="2" w16cid:durableId="871382359">
    <w:abstractNumId w:val="17"/>
  </w:num>
  <w:num w:numId="3" w16cid:durableId="182866522">
    <w:abstractNumId w:val="5"/>
  </w:num>
  <w:num w:numId="4" w16cid:durableId="695740883">
    <w:abstractNumId w:val="9"/>
  </w:num>
  <w:num w:numId="5" w16cid:durableId="50471977">
    <w:abstractNumId w:val="14"/>
  </w:num>
  <w:num w:numId="6" w16cid:durableId="244610173">
    <w:abstractNumId w:val="7"/>
  </w:num>
  <w:num w:numId="7" w16cid:durableId="1472166023">
    <w:abstractNumId w:val="16"/>
  </w:num>
  <w:num w:numId="8" w16cid:durableId="179584798">
    <w:abstractNumId w:val="3"/>
  </w:num>
  <w:num w:numId="9" w16cid:durableId="2114666238">
    <w:abstractNumId w:val="10"/>
  </w:num>
  <w:num w:numId="10" w16cid:durableId="1184975056">
    <w:abstractNumId w:val="4"/>
  </w:num>
  <w:num w:numId="11" w16cid:durableId="447241105">
    <w:abstractNumId w:val="0"/>
  </w:num>
  <w:num w:numId="12" w16cid:durableId="62486350">
    <w:abstractNumId w:val="2"/>
  </w:num>
  <w:num w:numId="13" w16cid:durableId="886994457">
    <w:abstractNumId w:val="11"/>
  </w:num>
  <w:num w:numId="14" w16cid:durableId="1911380598">
    <w:abstractNumId w:val="12"/>
  </w:num>
  <w:num w:numId="15" w16cid:durableId="2032951471">
    <w:abstractNumId w:val="13"/>
  </w:num>
  <w:num w:numId="16" w16cid:durableId="559295151">
    <w:abstractNumId w:val="6"/>
  </w:num>
  <w:num w:numId="17" w16cid:durableId="774402220">
    <w:abstractNumId w:val="1"/>
  </w:num>
  <w:num w:numId="18" w16cid:durableId="1231774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defaultTabStop w:val="7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F5"/>
    <w:rsid w:val="00002B7B"/>
    <w:rsid w:val="00006672"/>
    <w:rsid w:val="00012DEB"/>
    <w:rsid w:val="00016103"/>
    <w:rsid w:val="0001633E"/>
    <w:rsid w:val="00027C5B"/>
    <w:rsid w:val="00030331"/>
    <w:rsid w:val="000329DD"/>
    <w:rsid w:val="00036E54"/>
    <w:rsid w:val="000375F3"/>
    <w:rsid w:val="000450EB"/>
    <w:rsid w:val="000460A5"/>
    <w:rsid w:val="0005171C"/>
    <w:rsid w:val="000620BE"/>
    <w:rsid w:val="000637AF"/>
    <w:rsid w:val="00064C21"/>
    <w:rsid w:val="00066C7A"/>
    <w:rsid w:val="0009034D"/>
    <w:rsid w:val="00091F05"/>
    <w:rsid w:val="000938AA"/>
    <w:rsid w:val="00096415"/>
    <w:rsid w:val="000B33B4"/>
    <w:rsid w:val="000B3929"/>
    <w:rsid w:val="000B3C04"/>
    <w:rsid w:val="000B4D35"/>
    <w:rsid w:val="000B74D7"/>
    <w:rsid w:val="000B7D8E"/>
    <w:rsid w:val="000C035F"/>
    <w:rsid w:val="000C6BC4"/>
    <w:rsid w:val="000D0EB5"/>
    <w:rsid w:val="000D107A"/>
    <w:rsid w:val="000E7724"/>
    <w:rsid w:val="000F5D4A"/>
    <w:rsid w:val="000F7CAB"/>
    <w:rsid w:val="001039FB"/>
    <w:rsid w:val="001069C2"/>
    <w:rsid w:val="00107913"/>
    <w:rsid w:val="00114D24"/>
    <w:rsid w:val="001150E3"/>
    <w:rsid w:val="001342A2"/>
    <w:rsid w:val="00134631"/>
    <w:rsid w:val="00143845"/>
    <w:rsid w:val="00143F93"/>
    <w:rsid w:val="00147695"/>
    <w:rsid w:val="0015452E"/>
    <w:rsid w:val="00157A33"/>
    <w:rsid w:val="00163E16"/>
    <w:rsid w:val="00167E2A"/>
    <w:rsid w:val="00184AE2"/>
    <w:rsid w:val="0018549B"/>
    <w:rsid w:val="001935D0"/>
    <w:rsid w:val="00197A5C"/>
    <w:rsid w:val="001A5832"/>
    <w:rsid w:val="001A5B80"/>
    <w:rsid w:val="001A5BC3"/>
    <w:rsid w:val="001A6141"/>
    <w:rsid w:val="001B082B"/>
    <w:rsid w:val="001B5BF2"/>
    <w:rsid w:val="001D52E7"/>
    <w:rsid w:val="001D6DB7"/>
    <w:rsid w:val="001D7FFD"/>
    <w:rsid w:val="001E3701"/>
    <w:rsid w:val="001F094C"/>
    <w:rsid w:val="001F19CB"/>
    <w:rsid w:val="001F48B2"/>
    <w:rsid w:val="001F5E99"/>
    <w:rsid w:val="001F6932"/>
    <w:rsid w:val="00200892"/>
    <w:rsid w:val="0020188E"/>
    <w:rsid w:val="002040A8"/>
    <w:rsid w:val="00210EEA"/>
    <w:rsid w:val="002123AE"/>
    <w:rsid w:val="00217F1B"/>
    <w:rsid w:val="00221046"/>
    <w:rsid w:val="00222295"/>
    <w:rsid w:val="00224D2C"/>
    <w:rsid w:val="00230110"/>
    <w:rsid w:val="00231817"/>
    <w:rsid w:val="00232C43"/>
    <w:rsid w:val="00232FF3"/>
    <w:rsid w:val="00244D46"/>
    <w:rsid w:val="00251126"/>
    <w:rsid w:val="00252618"/>
    <w:rsid w:val="002542F9"/>
    <w:rsid w:val="002554D3"/>
    <w:rsid w:val="00272F8A"/>
    <w:rsid w:val="0028514A"/>
    <w:rsid w:val="00295687"/>
    <w:rsid w:val="00296751"/>
    <w:rsid w:val="002A1637"/>
    <w:rsid w:val="002A38E1"/>
    <w:rsid w:val="002A496D"/>
    <w:rsid w:val="002A5533"/>
    <w:rsid w:val="002B1375"/>
    <w:rsid w:val="002B2749"/>
    <w:rsid w:val="002B3D54"/>
    <w:rsid w:val="002C1AAE"/>
    <w:rsid w:val="002D547D"/>
    <w:rsid w:val="002E39D1"/>
    <w:rsid w:val="002E5FAF"/>
    <w:rsid w:val="002F2A1F"/>
    <w:rsid w:val="00300DB8"/>
    <w:rsid w:val="00304EC6"/>
    <w:rsid w:val="00305B34"/>
    <w:rsid w:val="00312628"/>
    <w:rsid w:val="0031330A"/>
    <w:rsid w:val="00315444"/>
    <w:rsid w:val="003214B2"/>
    <w:rsid w:val="003404BA"/>
    <w:rsid w:val="00342B62"/>
    <w:rsid w:val="00343861"/>
    <w:rsid w:val="00345C91"/>
    <w:rsid w:val="0034750E"/>
    <w:rsid w:val="00347E6F"/>
    <w:rsid w:val="003670CA"/>
    <w:rsid w:val="00381007"/>
    <w:rsid w:val="00381634"/>
    <w:rsid w:val="00390DBA"/>
    <w:rsid w:val="003A4BFB"/>
    <w:rsid w:val="003A4CC9"/>
    <w:rsid w:val="003A7FE8"/>
    <w:rsid w:val="003B0077"/>
    <w:rsid w:val="003B2AAD"/>
    <w:rsid w:val="003B7F28"/>
    <w:rsid w:val="003D0017"/>
    <w:rsid w:val="003D468B"/>
    <w:rsid w:val="003E08BA"/>
    <w:rsid w:val="003E5483"/>
    <w:rsid w:val="003F7D07"/>
    <w:rsid w:val="00402E64"/>
    <w:rsid w:val="00403428"/>
    <w:rsid w:val="0040389C"/>
    <w:rsid w:val="00425431"/>
    <w:rsid w:val="00427397"/>
    <w:rsid w:val="004314F9"/>
    <w:rsid w:val="00446160"/>
    <w:rsid w:val="00446F44"/>
    <w:rsid w:val="004544D9"/>
    <w:rsid w:val="00456205"/>
    <w:rsid w:val="00460B7D"/>
    <w:rsid w:val="0046516B"/>
    <w:rsid w:val="00475811"/>
    <w:rsid w:val="00483F56"/>
    <w:rsid w:val="004850D9"/>
    <w:rsid w:val="004A2EFE"/>
    <w:rsid w:val="004A7184"/>
    <w:rsid w:val="004B23B3"/>
    <w:rsid w:val="004C3393"/>
    <w:rsid w:val="004D1CFA"/>
    <w:rsid w:val="004D3275"/>
    <w:rsid w:val="004D4574"/>
    <w:rsid w:val="004E0B34"/>
    <w:rsid w:val="004E7E40"/>
    <w:rsid w:val="004F2A08"/>
    <w:rsid w:val="004F3136"/>
    <w:rsid w:val="004F41E3"/>
    <w:rsid w:val="004F51A3"/>
    <w:rsid w:val="00502561"/>
    <w:rsid w:val="00503261"/>
    <w:rsid w:val="00503F20"/>
    <w:rsid w:val="005070B5"/>
    <w:rsid w:val="005129C9"/>
    <w:rsid w:val="00513CAD"/>
    <w:rsid w:val="00526DF8"/>
    <w:rsid w:val="005313BF"/>
    <w:rsid w:val="00533727"/>
    <w:rsid w:val="005426B9"/>
    <w:rsid w:val="005477EA"/>
    <w:rsid w:val="005508F5"/>
    <w:rsid w:val="005536DB"/>
    <w:rsid w:val="00556412"/>
    <w:rsid w:val="005609B9"/>
    <w:rsid w:val="005742EF"/>
    <w:rsid w:val="00580927"/>
    <w:rsid w:val="00581437"/>
    <w:rsid w:val="00584EDC"/>
    <w:rsid w:val="00591EE1"/>
    <w:rsid w:val="0059549A"/>
    <w:rsid w:val="0059638E"/>
    <w:rsid w:val="005A26FD"/>
    <w:rsid w:val="005A44E6"/>
    <w:rsid w:val="005A61C8"/>
    <w:rsid w:val="005C06D9"/>
    <w:rsid w:val="005C086E"/>
    <w:rsid w:val="005C7074"/>
    <w:rsid w:val="005D223D"/>
    <w:rsid w:val="005E121B"/>
    <w:rsid w:val="005F1339"/>
    <w:rsid w:val="005F2708"/>
    <w:rsid w:val="005F7111"/>
    <w:rsid w:val="006014D7"/>
    <w:rsid w:val="00603F7D"/>
    <w:rsid w:val="00605617"/>
    <w:rsid w:val="006130AD"/>
    <w:rsid w:val="006149AF"/>
    <w:rsid w:val="006179E8"/>
    <w:rsid w:val="0062264D"/>
    <w:rsid w:val="00625B70"/>
    <w:rsid w:val="00636425"/>
    <w:rsid w:val="0063703E"/>
    <w:rsid w:val="00640D65"/>
    <w:rsid w:val="00642060"/>
    <w:rsid w:val="00652A73"/>
    <w:rsid w:val="006579F4"/>
    <w:rsid w:val="006641AA"/>
    <w:rsid w:val="00666458"/>
    <w:rsid w:val="0067651C"/>
    <w:rsid w:val="006811CE"/>
    <w:rsid w:val="00682B02"/>
    <w:rsid w:val="006932FE"/>
    <w:rsid w:val="006958CA"/>
    <w:rsid w:val="006A160B"/>
    <w:rsid w:val="006A528C"/>
    <w:rsid w:val="006B0E14"/>
    <w:rsid w:val="006B67A7"/>
    <w:rsid w:val="006B75AE"/>
    <w:rsid w:val="006B7ECF"/>
    <w:rsid w:val="006C6D31"/>
    <w:rsid w:val="006E0619"/>
    <w:rsid w:val="006E1620"/>
    <w:rsid w:val="006E2310"/>
    <w:rsid w:val="006E3626"/>
    <w:rsid w:val="006E5E41"/>
    <w:rsid w:val="006F0E54"/>
    <w:rsid w:val="006F6C7F"/>
    <w:rsid w:val="00700110"/>
    <w:rsid w:val="00700842"/>
    <w:rsid w:val="00703307"/>
    <w:rsid w:val="00724ACD"/>
    <w:rsid w:val="0072590E"/>
    <w:rsid w:val="00733834"/>
    <w:rsid w:val="00734626"/>
    <w:rsid w:val="0073727E"/>
    <w:rsid w:val="00741318"/>
    <w:rsid w:val="0074134E"/>
    <w:rsid w:val="007447E0"/>
    <w:rsid w:val="007450C1"/>
    <w:rsid w:val="007474ED"/>
    <w:rsid w:val="00776975"/>
    <w:rsid w:val="0078215E"/>
    <w:rsid w:val="007834D9"/>
    <w:rsid w:val="007934C9"/>
    <w:rsid w:val="00793601"/>
    <w:rsid w:val="007942AF"/>
    <w:rsid w:val="00794AB2"/>
    <w:rsid w:val="0079630E"/>
    <w:rsid w:val="007A772E"/>
    <w:rsid w:val="007B048E"/>
    <w:rsid w:val="007B0C7D"/>
    <w:rsid w:val="007B4028"/>
    <w:rsid w:val="007D00E3"/>
    <w:rsid w:val="007D6F49"/>
    <w:rsid w:val="007E65A6"/>
    <w:rsid w:val="00804415"/>
    <w:rsid w:val="00812534"/>
    <w:rsid w:val="0083120A"/>
    <w:rsid w:val="008564F6"/>
    <w:rsid w:val="00862FA6"/>
    <w:rsid w:val="0086566D"/>
    <w:rsid w:val="00866043"/>
    <w:rsid w:val="008757CA"/>
    <w:rsid w:val="00880A50"/>
    <w:rsid w:val="0088242A"/>
    <w:rsid w:val="00884B69"/>
    <w:rsid w:val="008920A6"/>
    <w:rsid w:val="00893C58"/>
    <w:rsid w:val="008A31FB"/>
    <w:rsid w:val="008B119F"/>
    <w:rsid w:val="008B524F"/>
    <w:rsid w:val="008B5A95"/>
    <w:rsid w:val="008C1309"/>
    <w:rsid w:val="008C5D5C"/>
    <w:rsid w:val="008C7E62"/>
    <w:rsid w:val="008D3486"/>
    <w:rsid w:val="008D74C9"/>
    <w:rsid w:val="008E0FFD"/>
    <w:rsid w:val="008E482A"/>
    <w:rsid w:val="008E4CB4"/>
    <w:rsid w:val="008E68E0"/>
    <w:rsid w:val="008F18AF"/>
    <w:rsid w:val="008F6FA1"/>
    <w:rsid w:val="008F757E"/>
    <w:rsid w:val="008F7A8A"/>
    <w:rsid w:val="00903F63"/>
    <w:rsid w:val="00913878"/>
    <w:rsid w:val="00923AA0"/>
    <w:rsid w:val="00923D13"/>
    <w:rsid w:val="0095502F"/>
    <w:rsid w:val="00955BF9"/>
    <w:rsid w:val="00966EEA"/>
    <w:rsid w:val="009674EC"/>
    <w:rsid w:val="00975264"/>
    <w:rsid w:val="0098737C"/>
    <w:rsid w:val="00992C58"/>
    <w:rsid w:val="009A0E9B"/>
    <w:rsid w:val="009A280E"/>
    <w:rsid w:val="009B63A6"/>
    <w:rsid w:val="009C26A7"/>
    <w:rsid w:val="009C5577"/>
    <w:rsid w:val="009C67B7"/>
    <w:rsid w:val="009C7855"/>
    <w:rsid w:val="009D0D2D"/>
    <w:rsid w:val="009D542A"/>
    <w:rsid w:val="009D7079"/>
    <w:rsid w:val="009D729B"/>
    <w:rsid w:val="009D7F88"/>
    <w:rsid w:val="009F7994"/>
    <w:rsid w:val="00A0020C"/>
    <w:rsid w:val="00A029C0"/>
    <w:rsid w:val="00A069B2"/>
    <w:rsid w:val="00A13ABA"/>
    <w:rsid w:val="00A14D27"/>
    <w:rsid w:val="00A15E52"/>
    <w:rsid w:val="00A16E2B"/>
    <w:rsid w:val="00A175D9"/>
    <w:rsid w:val="00A232FA"/>
    <w:rsid w:val="00A40490"/>
    <w:rsid w:val="00A40EBF"/>
    <w:rsid w:val="00A4177F"/>
    <w:rsid w:val="00A44886"/>
    <w:rsid w:val="00A456DD"/>
    <w:rsid w:val="00A470FD"/>
    <w:rsid w:val="00A50F5D"/>
    <w:rsid w:val="00A635E7"/>
    <w:rsid w:val="00A6436B"/>
    <w:rsid w:val="00A84202"/>
    <w:rsid w:val="00A90417"/>
    <w:rsid w:val="00A93189"/>
    <w:rsid w:val="00AA02C5"/>
    <w:rsid w:val="00AA2289"/>
    <w:rsid w:val="00AA4FBB"/>
    <w:rsid w:val="00AB5281"/>
    <w:rsid w:val="00AC0E04"/>
    <w:rsid w:val="00AC3349"/>
    <w:rsid w:val="00AC3C12"/>
    <w:rsid w:val="00AE196D"/>
    <w:rsid w:val="00AE3D7C"/>
    <w:rsid w:val="00AF45BB"/>
    <w:rsid w:val="00AF58AE"/>
    <w:rsid w:val="00B01DAA"/>
    <w:rsid w:val="00B020FB"/>
    <w:rsid w:val="00B066F2"/>
    <w:rsid w:val="00B10261"/>
    <w:rsid w:val="00B13E74"/>
    <w:rsid w:val="00B17554"/>
    <w:rsid w:val="00B21327"/>
    <w:rsid w:val="00B22715"/>
    <w:rsid w:val="00B42645"/>
    <w:rsid w:val="00B43B3A"/>
    <w:rsid w:val="00B572B9"/>
    <w:rsid w:val="00B60034"/>
    <w:rsid w:val="00B62E93"/>
    <w:rsid w:val="00B65EA5"/>
    <w:rsid w:val="00B833CA"/>
    <w:rsid w:val="00B90E49"/>
    <w:rsid w:val="00B9461B"/>
    <w:rsid w:val="00B9463E"/>
    <w:rsid w:val="00B96C2C"/>
    <w:rsid w:val="00B9743E"/>
    <w:rsid w:val="00BA37A8"/>
    <w:rsid w:val="00BA6E84"/>
    <w:rsid w:val="00BB02B8"/>
    <w:rsid w:val="00BB05B0"/>
    <w:rsid w:val="00BB20DB"/>
    <w:rsid w:val="00BB20FA"/>
    <w:rsid w:val="00BB3A27"/>
    <w:rsid w:val="00BB503D"/>
    <w:rsid w:val="00BB5D35"/>
    <w:rsid w:val="00BB6CB9"/>
    <w:rsid w:val="00BC43F1"/>
    <w:rsid w:val="00BE058F"/>
    <w:rsid w:val="00BE3FD4"/>
    <w:rsid w:val="00BE4904"/>
    <w:rsid w:val="00BF29D4"/>
    <w:rsid w:val="00C1282D"/>
    <w:rsid w:val="00C17509"/>
    <w:rsid w:val="00C178D7"/>
    <w:rsid w:val="00C17A7D"/>
    <w:rsid w:val="00C2151A"/>
    <w:rsid w:val="00C31A85"/>
    <w:rsid w:val="00C372A6"/>
    <w:rsid w:val="00C40E24"/>
    <w:rsid w:val="00C577B8"/>
    <w:rsid w:val="00C60DEF"/>
    <w:rsid w:val="00C64F8E"/>
    <w:rsid w:val="00C8479E"/>
    <w:rsid w:val="00C87805"/>
    <w:rsid w:val="00C87896"/>
    <w:rsid w:val="00C92CFB"/>
    <w:rsid w:val="00CA4EB3"/>
    <w:rsid w:val="00CB0B9C"/>
    <w:rsid w:val="00CC461E"/>
    <w:rsid w:val="00CD03AD"/>
    <w:rsid w:val="00CD12A2"/>
    <w:rsid w:val="00CE76BE"/>
    <w:rsid w:val="00CF1102"/>
    <w:rsid w:val="00D008C6"/>
    <w:rsid w:val="00D021A1"/>
    <w:rsid w:val="00D0662A"/>
    <w:rsid w:val="00D159E4"/>
    <w:rsid w:val="00D22225"/>
    <w:rsid w:val="00D267A1"/>
    <w:rsid w:val="00D36176"/>
    <w:rsid w:val="00D41539"/>
    <w:rsid w:val="00D416A2"/>
    <w:rsid w:val="00D42270"/>
    <w:rsid w:val="00D42C1B"/>
    <w:rsid w:val="00D42C56"/>
    <w:rsid w:val="00D43844"/>
    <w:rsid w:val="00D4459F"/>
    <w:rsid w:val="00D5310C"/>
    <w:rsid w:val="00D615DF"/>
    <w:rsid w:val="00D62723"/>
    <w:rsid w:val="00D728C5"/>
    <w:rsid w:val="00D73E5D"/>
    <w:rsid w:val="00D77F50"/>
    <w:rsid w:val="00D8119D"/>
    <w:rsid w:val="00D83314"/>
    <w:rsid w:val="00D858A9"/>
    <w:rsid w:val="00D97B70"/>
    <w:rsid w:val="00DA089A"/>
    <w:rsid w:val="00DB0462"/>
    <w:rsid w:val="00DB20C6"/>
    <w:rsid w:val="00DE188A"/>
    <w:rsid w:val="00DF7975"/>
    <w:rsid w:val="00E06347"/>
    <w:rsid w:val="00E07D1E"/>
    <w:rsid w:val="00E215D9"/>
    <w:rsid w:val="00E21D2F"/>
    <w:rsid w:val="00E27BD4"/>
    <w:rsid w:val="00E3425D"/>
    <w:rsid w:val="00E3449F"/>
    <w:rsid w:val="00E44B11"/>
    <w:rsid w:val="00E45022"/>
    <w:rsid w:val="00E51CBB"/>
    <w:rsid w:val="00E52612"/>
    <w:rsid w:val="00E53CAA"/>
    <w:rsid w:val="00E57CC9"/>
    <w:rsid w:val="00E63F78"/>
    <w:rsid w:val="00E64F13"/>
    <w:rsid w:val="00E65BD2"/>
    <w:rsid w:val="00E67F43"/>
    <w:rsid w:val="00E72E05"/>
    <w:rsid w:val="00E757A9"/>
    <w:rsid w:val="00E95816"/>
    <w:rsid w:val="00EA0095"/>
    <w:rsid w:val="00EA7193"/>
    <w:rsid w:val="00EA7501"/>
    <w:rsid w:val="00EB2E2D"/>
    <w:rsid w:val="00EB7E6C"/>
    <w:rsid w:val="00ED0A93"/>
    <w:rsid w:val="00EE023E"/>
    <w:rsid w:val="00EE47BD"/>
    <w:rsid w:val="00EE7618"/>
    <w:rsid w:val="00EF558E"/>
    <w:rsid w:val="00EF7677"/>
    <w:rsid w:val="00F00A9D"/>
    <w:rsid w:val="00F101E8"/>
    <w:rsid w:val="00F11B9A"/>
    <w:rsid w:val="00F14149"/>
    <w:rsid w:val="00F1419C"/>
    <w:rsid w:val="00F1652A"/>
    <w:rsid w:val="00F2505D"/>
    <w:rsid w:val="00F30837"/>
    <w:rsid w:val="00F334C6"/>
    <w:rsid w:val="00F33A4D"/>
    <w:rsid w:val="00F40FF9"/>
    <w:rsid w:val="00F55A5A"/>
    <w:rsid w:val="00F55C37"/>
    <w:rsid w:val="00F63ED6"/>
    <w:rsid w:val="00F72A50"/>
    <w:rsid w:val="00F73AD1"/>
    <w:rsid w:val="00F76DAB"/>
    <w:rsid w:val="00F8057D"/>
    <w:rsid w:val="00F85E5E"/>
    <w:rsid w:val="00F94972"/>
    <w:rsid w:val="00F97574"/>
    <w:rsid w:val="00FA3831"/>
    <w:rsid w:val="00FA42CB"/>
    <w:rsid w:val="00FC0C52"/>
    <w:rsid w:val="00FC58FC"/>
    <w:rsid w:val="00FC639C"/>
    <w:rsid w:val="00FD21F5"/>
    <w:rsid w:val="00FD3048"/>
    <w:rsid w:val="00FD6B6A"/>
    <w:rsid w:val="00FE2BD1"/>
    <w:rsid w:val="00FE39BF"/>
    <w:rsid w:val="00FE566F"/>
    <w:rsid w:val="00FF2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269BF"/>
  <w15:chartTrackingRefBased/>
  <w15:docId w15:val="{57F44AF1-9A72-42C3-81C3-01B30D7D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5508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5508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5508F5"/>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5508F5"/>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5508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5508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5508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5508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5508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8F5"/>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5508F5"/>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5508F5"/>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5508F5"/>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5508F5"/>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5508F5"/>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5508F5"/>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5508F5"/>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5508F5"/>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5508F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8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8F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508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08F5"/>
    <w:rPr>
      <w:i/>
      <w:iCs/>
      <w:color w:val="404040" w:themeColor="text1" w:themeTint="BF"/>
    </w:rPr>
  </w:style>
  <w:style w:type="paragraph" w:styleId="ListParagraph">
    <w:name w:val="List Paragraph"/>
    <w:basedOn w:val="Normal"/>
    <w:uiPriority w:val="1"/>
    <w:qFormat/>
    <w:rsid w:val="005508F5"/>
    <w:pPr>
      <w:ind w:left="720"/>
      <w:contextualSpacing/>
    </w:pPr>
  </w:style>
  <w:style w:type="character" w:styleId="IntenseEmphasis">
    <w:name w:val="Intense Emphasis"/>
    <w:basedOn w:val="DefaultParagraphFont"/>
    <w:uiPriority w:val="21"/>
    <w:qFormat/>
    <w:rsid w:val="005508F5"/>
    <w:rPr>
      <w:i/>
      <w:iCs/>
      <w:color w:val="2F5496" w:themeColor="accent1" w:themeShade="BF"/>
    </w:rPr>
  </w:style>
  <w:style w:type="paragraph" w:styleId="IntenseQuote">
    <w:name w:val="Intense Quote"/>
    <w:basedOn w:val="Normal"/>
    <w:next w:val="Normal"/>
    <w:link w:val="IntenseQuoteChar"/>
    <w:uiPriority w:val="30"/>
    <w:qFormat/>
    <w:rsid w:val="00550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8F5"/>
    <w:rPr>
      <w:i/>
      <w:iCs/>
      <w:color w:val="2F5496" w:themeColor="accent1" w:themeShade="BF"/>
    </w:rPr>
  </w:style>
  <w:style w:type="character" w:styleId="IntenseReference">
    <w:name w:val="Intense Reference"/>
    <w:basedOn w:val="DefaultParagraphFont"/>
    <w:uiPriority w:val="32"/>
    <w:qFormat/>
    <w:rsid w:val="005508F5"/>
    <w:rPr>
      <w:b/>
      <w:bCs/>
      <w:smallCaps/>
      <w:color w:val="2F5496" w:themeColor="accent1" w:themeShade="BF"/>
      <w:spacing w:val="5"/>
    </w:rPr>
  </w:style>
  <w:style w:type="character" w:styleId="CommentReference">
    <w:name w:val="annotation reference"/>
    <w:basedOn w:val="DefaultParagraphFont"/>
    <w:uiPriority w:val="99"/>
    <w:semiHidden/>
    <w:unhideWhenUsed/>
    <w:rsid w:val="00A44886"/>
    <w:rPr>
      <w:sz w:val="18"/>
      <w:szCs w:val="18"/>
    </w:rPr>
  </w:style>
  <w:style w:type="paragraph" w:styleId="CommentText">
    <w:name w:val="annotation text"/>
    <w:basedOn w:val="Normal"/>
    <w:link w:val="CommentTextChar"/>
    <w:uiPriority w:val="99"/>
    <w:unhideWhenUsed/>
    <w:rsid w:val="00A44886"/>
    <w:pPr>
      <w:autoSpaceDE w:val="0"/>
      <w:autoSpaceDN w:val="0"/>
      <w:jc w:val="left"/>
    </w:pPr>
    <w:rPr>
      <w:rFonts w:ascii="Calibri" w:eastAsia="Calibri" w:hAnsi="Calibri" w:cs="Calibri"/>
      <w:kern w:val="0"/>
      <w:sz w:val="22"/>
      <w:szCs w:val="22"/>
      <w:lang w:eastAsia="en-US"/>
    </w:rPr>
  </w:style>
  <w:style w:type="character" w:customStyle="1" w:styleId="CommentTextChar">
    <w:name w:val="Comment Text Char"/>
    <w:basedOn w:val="DefaultParagraphFont"/>
    <w:link w:val="CommentText"/>
    <w:uiPriority w:val="99"/>
    <w:rsid w:val="00A44886"/>
    <w:rPr>
      <w:rFonts w:ascii="Calibri" w:eastAsia="Calibri" w:hAnsi="Calibri" w:cs="Calibri"/>
      <w:kern w:val="0"/>
      <w:sz w:val="22"/>
      <w:szCs w:val="22"/>
      <w:lang w:eastAsia="en-US"/>
    </w:rPr>
  </w:style>
  <w:style w:type="paragraph" w:styleId="Revision">
    <w:name w:val="Revision"/>
    <w:hidden/>
    <w:uiPriority w:val="99"/>
    <w:semiHidden/>
    <w:rsid w:val="00581437"/>
  </w:style>
  <w:style w:type="paragraph" w:styleId="CommentSubject">
    <w:name w:val="annotation subject"/>
    <w:basedOn w:val="CommentText"/>
    <w:next w:val="CommentText"/>
    <w:link w:val="CommentSubjectChar"/>
    <w:uiPriority w:val="99"/>
    <w:semiHidden/>
    <w:unhideWhenUsed/>
    <w:rsid w:val="00A16E2B"/>
    <w:pPr>
      <w:autoSpaceDE/>
      <w:autoSpaceDN/>
      <w:jc w:val="both"/>
    </w:pPr>
    <w:rPr>
      <w:rFonts w:asciiTheme="minorHAnsi" w:eastAsiaTheme="minorEastAsia" w:hAnsiTheme="minorHAnsi" w:cstheme="minorBidi"/>
      <w:b/>
      <w:bCs/>
      <w:kern w:val="2"/>
      <w:sz w:val="20"/>
      <w:szCs w:val="20"/>
      <w:lang w:eastAsia="ja-JP"/>
    </w:rPr>
  </w:style>
  <w:style w:type="character" w:customStyle="1" w:styleId="CommentSubjectChar">
    <w:name w:val="Comment Subject Char"/>
    <w:basedOn w:val="CommentTextChar"/>
    <w:link w:val="CommentSubject"/>
    <w:uiPriority w:val="99"/>
    <w:semiHidden/>
    <w:rsid w:val="00A16E2B"/>
    <w:rPr>
      <w:rFonts w:ascii="Calibri" w:eastAsia="Calibri" w:hAnsi="Calibri" w:cs="Calibri"/>
      <w:b/>
      <w:bCs/>
      <w:kern w:val="0"/>
      <w:sz w:val="20"/>
      <w:szCs w:val="20"/>
      <w:lang w:eastAsia="en-US"/>
    </w:rPr>
  </w:style>
  <w:style w:type="paragraph" w:styleId="Header">
    <w:name w:val="header"/>
    <w:basedOn w:val="Normal"/>
    <w:link w:val="HeaderChar"/>
    <w:uiPriority w:val="99"/>
    <w:unhideWhenUsed/>
    <w:rsid w:val="003214B2"/>
    <w:pPr>
      <w:tabs>
        <w:tab w:val="center" w:pos="4252"/>
        <w:tab w:val="right" w:pos="8504"/>
      </w:tabs>
      <w:snapToGrid w:val="0"/>
    </w:pPr>
  </w:style>
  <w:style w:type="character" w:customStyle="1" w:styleId="HeaderChar">
    <w:name w:val="Header Char"/>
    <w:basedOn w:val="DefaultParagraphFont"/>
    <w:link w:val="Header"/>
    <w:uiPriority w:val="99"/>
    <w:rsid w:val="003214B2"/>
  </w:style>
  <w:style w:type="paragraph" w:styleId="Footer">
    <w:name w:val="footer"/>
    <w:basedOn w:val="Normal"/>
    <w:link w:val="FooterChar"/>
    <w:uiPriority w:val="99"/>
    <w:unhideWhenUsed/>
    <w:rsid w:val="003214B2"/>
    <w:pPr>
      <w:tabs>
        <w:tab w:val="center" w:pos="4252"/>
        <w:tab w:val="right" w:pos="8504"/>
      </w:tabs>
      <w:snapToGrid w:val="0"/>
    </w:pPr>
  </w:style>
  <w:style w:type="character" w:customStyle="1" w:styleId="FooterChar">
    <w:name w:val="Footer Char"/>
    <w:basedOn w:val="DefaultParagraphFont"/>
    <w:link w:val="Footer"/>
    <w:uiPriority w:val="99"/>
    <w:rsid w:val="003214B2"/>
  </w:style>
  <w:style w:type="paragraph" w:styleId="FootnoteText">
    <w:name w:val="footnote text"/>
    <w:basedOn w:val="Normal"/>
    <w:link w:val="FootnoteTextChar"/>
    <w:uiPriority w:val="99"/>
    <w:semiHidden/>
    <w:unhideWhenUsed/>
    <w:rsid w:val="000C035F"/>
    <w:rPr>
      <w:sz w:val="20"/>
      <w:szCs w:val="20"/>
    </w:rPr>
  </w:style>
  <w:style w:type="character" w:customStyle="1" w:styleId="FootnoteTextChar">
    <w:name w:val="Footnote Text Char"/>
    <w:basedOn w:val="DefaultParagraphFont"/>
    <w:link w:val="FootnoteText"/>
    <w:uiPriority w:val="99"/>
    <w:semiHidden/>
    <w:rsid w:val="000C035F"/>
    <w:rPr>
      <w:sz w:val="20"/>
      <w:szCs w:val="20"/>
    </w:rPr>
  </w:style>
  <w:style w:type="character" w:styleId="FootnoteReference">
    <w:name w:val="footnote reference"/>
    <w:basedOn w:val="DefaultParagraphFont"/>
    <w:uiPriority w:val="99"/>
    <w:semiHidden/>
    <w:unhideWhenUsed/>
    <w:rsid w:val="000C035F"/>
    <w:rPr>
      <w:vertAlign w:val="superscript"/>
    </w:rPr>
  </w:style>
  <w:style w:type="character" w:styleId="Hyperlink">
    <w:name w:val="Hyperlink"/>
    <w:basedOn w:val="DefaultParagraphFont"/>
    <w:uiPriority w:val="99"/>
    <w:unhideWhenUsed/>
    <w:rsid w:val="00295687"/>
    <w:rPr>
      <w:color w:val="0563C1" w:themeColor="hyperlink"/>
      <w:u w:val="single"/>
    </w:rPr>
  </w:style>
  <w:style w:type="character" w:styleId="UnresolvedMention">
    <w:name w:val="Unresolved Mention"/>
    <w:basedOn w:val="DefaultParagraphFont"/>
    <w:uiPriority w:val="99"/>
    <w:semiHidden/>
    <w:unhideWhenUsed/>
    <w:rsid w:val="00295687"/>
    <w:rPr>
      <w:color w:val="605E5C"/>
      <w:shd w:val="clear" w:color="auto" w:fill="E1DFDD"/>
    </w:rPr>
  </w:style>
  <w:style w:type="paragraph" w:styleId="BodyText">
    <w:name w:val="Body Text"/>
    <w:basedOn w:val="Normal"/>
    <w:link w:val="BodyTextChar"/>
    <w:rsid w:val="00252618"/>
    <w:pPr>
      <w:widowControl/>
      <w:ind w:left="1440" w:hanging="1440"/>
      <w:jc w:val="center"/>
    </w:pPr>
    <w:rPr>
      <w:rFonts w:ascii="Times New Roman" w:eastAsia="Batang" w:hAnsi="Times New Roman" w:cs="Times New Roman"/>
      <w:kern w:val="0"/>
      <w:sz w:val="24"/>
      <w:lang w:val="en-GB" w:eastAsia="en-US"/>
    </w:rPr>
  </w:style>
  <w:style w:type="character" w:customStyle="1" w:styleId="BodyTextChar">
    <w:name w:val="Body Text Char"/>
    <w:basedOn w:val="DefaultParagraphFont"/>
    <w:link w:val="BodyText"/>
    <w:rsid w:val="00252618"/>
    <w:rPr>
      <w:rFonts w:ascii="Times New Roman" w:eastAsia="Batang" w:hAnsi="Times New Roman" w:cs="Times New Roman"/>
      <w:kern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fisheries.noaa.gov/ISCPBF-MSE-t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0483D-2F3E-4804-878A-9C6FFA78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2272</Words>
  <Characters>11910</Characters>
  <Application>Microsoft Office Word</Application>
  <DocSecurity>0</DocSecurity>
  <Lines>233</Lines>
  <Paragraphs>128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SungKwon Soh</cp:lastModifiedBy>
  <cp:revision>4</cp:revision>
  <cp:lastPrinted>2026-06-12T22:51:00Z</cp:lastPrinted>
  <dcterms:created xsi:type="dcterms:W3CDTF">2026-06-12T22:50:00Z</dcterms:created>
  <dcterms:modified xsi:type="dcterms:W3CDTF">2026-06-19T01:55:00Z</dcterms:modified>
</cp:coreProperties>
</file>