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6B3F4" w14:textId="77777777" w:rsidR="008D7B14" w:rsidRDefault="008D7B14" w:rsidP="008D7B14">
      <w:pPr>
        <w:pStyle w:val="Default"/>
        <w:snapToGrid w:val="0"/>
        <w:jc w:val="center"/>
        <w:rPr>
          <w:rFonts w:asciiTheme="majorHAnsi" w:hAnsiTheme="majorHAnsi" w:cstheme="majorHAnsi"/>
          <w:b/>
          <w:bCs/>
          <w:color w:val="1F1F1F"/>
        </w:rPr>
      </w:pPr>
    </w:p>
    <w:p w14:paraId="2CAB447B" w14:textId="58DA1F11" w:rsidR="008D7B14" w:rsidRPr="003F00DA" w:rsidRDefault="008D7B14" w:rsidP="008D7B14">
      <w:pPr>
        <w:pStyle w:val="Default"/>
        <w:snapToGrid w:val="0"/>
        <w:jc w:val="center"/>
        <w:rPr>
          <w:rFonts w:asciiTheme="majorHAnsi" w:hAnsiTheme="majorHAnsi" w:cstheme="majorHAnsi"/>
        </w:rPr>
      </w:pPr>
      <w:r w:rsidRPr="003F00DA">
        <w:rPr>
          <w:rFonts w:asciiTheme="majorHAnsi" w:hAnsiTheme="majorHAnsi" w:cstheme="majorHAnsi"/>
          <w:b/>
          <w:bCs/>
          <w:color w:val="1F1F1F"/>
        </w:rPr>
        <w:t>JOINT IATTC AND WCPFC-NC WORKING GROUP INTERSESSIONAL MEETING ON THE</w:t>
      </w:r>
    </w:p>
    <w:p w14:paraId="416EDF14" w14:textId="77777777" w:rsidR="008D7B14" w:rsidRPr="003F00DA" w:rsidRDefault="008D7B14" w:rsidP="008D7B14">
      <w:pPr>
        <w:pStyle w:val="Default"/>
        <w:snapToGrid w:val="0"/>
        <w:jc w:val="center"/>
        <w:rPr>
          <w:rFonts w:asciiTheme="majorHAnsi" w:hAnsiTheme="majorHAnsi" w:cstheme="majorHAnsi"/>
          <w:color w:val="1F1F1F"/>
        </w:rPr>
      </w:pPr>
      <w:r w:rsidRPr="003F00DA">
        <w:rPr>
          <w:rFonts w:asciiTheme="majorHAnsi" w:hAnsiTheme="majorHAnsi" w:cstheme="majorHAnsi"/>
          <w:b/>
          <w:bCs/>
          <w:color w:val="1F1F1F"/>
        </w:rPr>
        <w:t>MANAGEMENT OF PACIFIC BLUEFIN TUNA</w:t>
      </w:r>
    </w:p>
    <w:p w14:paraId="5570DC2E" w14:textId="77777777" w:rsidR="008D7B14" w:rsidRPr="003F00DA" w:rsidRDefault="008D7B14" w:rsidP="008D7B14">
      <w:pPr>
        <w:pStyle w:val="Default"/>
        <w:snapToGrid w:val="0"/>
        <w:jc w:val="center"/>
        <w:rPr>
          <w:rFonts w:asciiTheme="majorHAnsi" w:hAnsiTheme="majorHAnsi" w:cstheme="majorHAnsi"/>
          <w:b/>
          <w:bCs/>
        </w:rPr>
      </w:pPr>
      <w:r w:rsidRPr="003F00DA">
        <w:rPr>
          <w:rFonts w:asciiTheme="majorHAnsi" w:hAnsiTheme="majorHAnsi" w:cstheme="majorHAnsi"/>
          <w:b/>
          <w:bCs/>
        </w:rPr>
        <w:t>THIRD SESSION (JWGI03)</w:t>
      </w:r>
    </w:p>
    <w:p w14:paraId="65BBA959" w14:textId="4D1CB6B9" w:rsidR="008D7B14" w:rsidRPr="003F00DA" w:rsidRDefault="008D7B14" w:rsidP="008D7B14">
      <w:pPr>
        <w:pStyle w:val="Default"/>
        <w:snapToGrid w:val="0"/>
        <w:spacing w:before="120"/>
        <w:jc w:val="center"/>
        <w:rPr>
          <w:rFonts w:asciiTheme="majorHAnsi" w:hAnsiTheme="majorHAnsi" w:cstheme="majorHAnsi"/>
        </w:rPr>
      </w:pPr>
      <w:r w:rsidRPr="003F00DA">
        <w:rPr>
          <w:rFonts w:asciiTheme="majorHAnsi" w:hAnsiTheme="majorHAnsi" w:cstheme="majorHAnsi"/>
        </w:rPr>
        <w:t>11 – 13 March 2026</w:t>
      </w:r>
    </w:p>
    <w:p w14:paraId="6B5CB6F6" w14:textId="77777777" w:rsidR="008D7B14" w:rsidRPr="003F00DA" w:rsidRDefault="008D7B14" w:rsidP="008D7B14">
      <w:pPr>
        <w:pStyle w:val="Default"/>
        <w:snapToGrid w:val="0"/>
        <w:jc w:val="center"/>
        <w:rPr>
          <w:rFonts w:asciiTheme="majorHAnsi" w:hAnsiTheme="majorHAnsi" w:cstheme="majorHAnsi"/>
        </w:rPr>
      </w:pPr>
      <w:r w:rsidRPr="003F00DA">
        <w:rPr>
          <w:rFonts w:asciiTheme="majorHAnsi" w:eastAsia="Times New Roman" w:hAnsiTheme="majorHAnsi" w:cstheme="majorHAnsi"/>
        </w:rPr>
        <w:t>Newport Beach, California (Hybrid)</w:t>
      </w:r>
    </w:p>
    <w:p w14:paraId="22B3C9CC" w14:textId="5EE3F054" w:rsidR="008D7B14" w:rsidRPr="00583E70" w:rsidRDefault="008D7B14" w:rsidP="008D7B14">
      <w:pPr>
        <w:adjustRightInd w:val="0"/>
        <w:snapToGrid w:val="0"/>
        <w:jc w:val="center"/>
        <w:rPr>
          <w:rFonts w:ascii="Calibri" w:hAnsi="Calibri" w:cs="Calibri"/>
          <w:b/>
        </w:rPr>
      </w:pPr>
    </w:p>
    <w:p w14:paraId="2F0AF60D" w14:textId="77777777" w:rsidR="008D7B14" w:rsidRDefault="008D7B14" w:rsidP="008D7B14">
      <w:pPr>
        <w:pStyle w:val="TTitle"/>
        <w:adjustRightInd w:val="0"/>
        <w:snapToGrid w:val="0"/>
        <w:rPr>
          <w:rFonts w:ascii="Calibri" w:hAnsi="Calibri" w:cs="Calibri"/>
          <w:bCs/>
          <w:sz w:val="22"/>
          <w:szCs w:val="22"/>
        </w:rPr>
      </w:pPr>
    </w:p>
    <w:p w14:paraId="61AEED37" w14:textId="77777777" w:rsidR="008D7B14" w:rsidRDefault="008D7B14" w:rsidP="008D7B14">
      <w:pPr>
        <w:pStyle w:val="TTitle"/>
        <w:adjustRightInd w:val="0"/>
        <w:snapToGrid w:val="0"/>
        <w:rPr>
          <w:rFonts w:ascii="Calibri" w:hAnsi="Calibri" w:cs="Calibri"/>
          <w:bCs/>
          <w:sz w:val="22"/>
          <w:szCs w:val="22"/>
        </w:rPr>
      </w:pPr>
    </w:p>
    <w:p w14:paraId="11FAB1F2" w14:textId="77777777" w:rsidR="008D7B14" w:rsidRDefault="008D7B14" w:rsidP="008D7B14">
      <w:pPr>
        <w:pStyle w:val="TTitle"/>
        <w:adjustRightInd w:val="0"/>
        <w:snapToGrid w:val="0"/>
        <w:rPr>
          <w:rFonts w:ascii="Calibri" w:hAnsi="Calibri" w:cs="Calibri"/>
          <w:bCs/>
          <w:sz w:val="22"/>
          <w:szCs w:val="22"/>
        </w:rPr>
      </w:pPr>
    </w:p>
    <w:p w14:paraId="04BDA339" w14:textId="77777777" w:rsidR="008D7B14" w:rsidRDefault="008D7B14" w:rsidP="008D7B14">
      <w:pPr>
        <w:pStyle w:val="TTitle"/>
        <w:adjustRightInd w:val="0"/>
        <w:snapToGrid w:val="0"/>
        <w:rPr>
          <w:rFonts w:ascii="Calibri" w:hAnsi="Calibri" w:cs="Calibri"/>
          <w:bCs/>
          <w:sz w:val="22"/>
          <w:szCs w:val="22"/>
        </w:rPr>
      </w:pPr>
    </w:p>
    <w:p w14:paraId="72A841CF" w14:textId="77777777" w:rsidR="008D7B14" w:rsidRDefault="008D7B14" w:rsidP="008D7B14">
      <w:pPr>
        <w:pStyle w:val="TTitle"/>
        <w:adjustRightInd w:val="0"/>
        <w:snapToGrid w:val="0"/>
        <w:rPr>
          <w:rFonts w:ascii="Calibri" w:hAnsi="Calibri" w:cs="Calibri"/>
          <w:bCs/>
          <w:sz w:val="22"/>
          <w:szCs w:val="22"/>
        </w:rPr>
      </w:pPr>
    </w:p>
    <w:p w14:paraId="3E6B3022" w14:textId="77777777" w:rsidR="008D7B14" w:rsidRPr="00583E70" w:rsidRDefault="008D7B14" w:rsidP="008D7B14">
      <w:pPr>
        <w:pStyle w:val="TTitle"/>
        <w:adjustRightInd w:val="0"/>
        <w:snapToGrid w:val="0"/>
        <w:rPr>
          <w:rFonts w:ascii="Calibri" w:hAnsi="Calibri" w:cs="Calibri"/>
          <w:bCs/>
          <w:sz w:val="22"/>
          <w:szCs w:val="22"/>
        </w:rPr>
      </w:pPr>
    </w:p>
    <w:p w14:paraId="528E1B93" w14:textId="77777777" w:rsidR="008D7B14" w:rsidRPr="00583E70" w:rsidRDefault="008D7B14" w:rsidP="008D7B14">
      <w:pPr>
        <w:pStyle w:val="TTitle"/>
        <w:adjustRightInd w:val="0"/>
        <w:snapToGrid w:val="0"/>
        <w:rPr>
          <w:rFonts w:ascii="Calibri" w:hAnsi="Calibri" w:cs="Calibri"/>
          <w:bCs/>
          <w:sz w:val="22"/>
          <w:szCs w:val="22"/>
        </w:rPr>
      </w:pPr>
    </w:p>
    <w:p w14:paraId="30C4C1DA" w14:textId="77777777" w:rsidR="008D7B14" w:rsidRDefault="008D7B14" w:rsidP="008D7B14">
      <w:pPr>
        <w:pStyle w:val="TTitle"/>
        <w:adjustRightInd w:val="0"/>
        <w:snapToGrid w:val="0"/>
        <w:rPr>
          <w:rFonts w:ascii="Calibri" w:hAnsi="Calibri" w:cs="Calibri"/>
          <w:b/>
          <w:sz w:val="22"/>
          <w:szCs w:val="22"/>
        </w:rPr>
      </w:pPr>
      <w:r w:rsidRPr="00583E70">
        <w:rPr>
          <w:rFonts w:ascii="Calibri" w:hAnsi="Calibri" w:cs="Calibri"/>
          <w:b/>
          <w:sz w:val="22"/>
          <w:szCs w:val="22"/>
        </w:rPr>
        <w:t>SUMMARY REPORT</w:t>
      </w:r>
    </w:p>
    <w:p w14:paraId="0E1B0F1E" w14:textId="77777777" w:rsidR="008D7B14" w:rsidRDefault="008D7B14" w:rsidP="008D7B14">
      <w:pPr>
        <w:pStyle w:val="TTitle"/>
        <w:adjustRightInd w:val="0"/>
        <w:snapToGrid w:val="0"/>
        <w:rPr>
          <w:rFonts w:ascii="Calibri" w:hAnsi="Calibri" w:cs="Calibri"/>
          <w:b/>
          <w:sz w:val="22"/>
          <w:szCs w:val="22"/>
        </w:rPr>
      </w:pPr>
    </w:p>
    <w:p w14:paraId="16A035C8" w14:textId="77777777" w:rsidR="008D7B14" w:rsidRDefault="008D7B14" w:rsidP="008D7B14">
      <w:pPr>
        <w:pStyle w:val="TTitle"/>
        <w:adjustRightInd w:val="0"/>
        <w:snapToGrid w:val="0"/>
        <w:rPr>
          <w:rFonts w:ascii="Calibri" w:hAnsi="Calibri" w:cs="Calibri"/>
          <w:b/>
          <w:sz w:val="22"/>
          <w:szCs w:val="22"/>
        </w:rPr>
      </w:pPr>
    </w:p>
    <w:p w14:paraId="7DEC4CFB" w14:textId="77777777" w:rsidR="008D7B14" w:rsidRDefault="008D7B14" w:rsidP="008D7B14">
      <w:pPr>
        <w:pStyle w:val="TTitle"/>
        <w:adjustRightInd w:val="0"/>
        <w:snapToGrid w:val="0"/>
        <w:rPr>
          <w:rFonts w:ascii="Calibri" w:hAnsi="Calibri" w:cs="Calibri"/>
          <w:b/>
          <w:sz w:val="22"/>
          <w:szCs w:val="22"/>
        </w:rPr>
      </w:pPr>
    </w:p>
    <w:p w14:paraId="03C15B8D" w14:textId="77777777" w:rsidR="008D7B14" w:rsidRDefault="008D7B14" w:rsidP="008D7B14">
      <w:pPr>
        <w:pStyle w:val="TTitle"/>
        <w:adjustRightInd w:val="0"/>
        <w:snapToGrid w:val="0"/>
        <w:rPr>
          <w:rFonts w:ascii="Calibri" w:hAnsi="Calibri" w:cs="Calibri"/>
          <w:b/>
          <w:sz w:val="22"/>
          <w:szCs w:val="22"/>
        </w:rPr>
      </w:pPr>
    </w:p>
    <w:p w14:paraId="3A1E3C4F" w14:textId="77777777" w:rsidR="008D7B14" w:rsidRDefault="008D7B14" w:rsidP="008D7B14">
      <w:pPr>
        <w:pStyle w:val="TTitle"/>
        <w:adjustRightInd w:val="0"/>
        <w:snapToGrid w:val="0"/>
        <w:rPr>
          <w:rFonts w:ascii="Calibri" w:hAnsi="Calibri" w:cs="Calibri"/>
          <w:b/>
          <w:sz w:val="22"/>
          <w:szCs w:val="22"/>
        </w:rPr>
      </w:pPr>
    </w:p>
    <w:p w14:paraId="54A752CA" w14:textId="77777777" w:rsidR="008D7B14" w:rsidRDefault="008D7B14" w:rsidP="008D7B14">
      <w:pPr>
        <w:pStyle w:val="TTitle"/>
        <w:adjustRightInd w:val="0"/>
        <w:snapToGrid w:val="0"/>
        <w:rPr>
          <w:rFonts w:ascii="Calibri" w:hAnsi="Calibri" w:cs="Calibri"/>
          <w:b/>
          <w:sz w:val="22"/>
          <w:szCs w:val="22"/>
        </w:rPr>
      </w:pPr>
    </w:p>
    <w:p w14:paraId="0C0C8F59" w14:textId="77777777" w:rsidR="008D7B14" w:rsidRDefault="008D7B14" w:rsidP="008D7B14">
      <w:pPr>
        <w:pStyle w:val="TTitle"/>
        <w:adjustRightInd w:val="0"/>
        <w:snapToGrid w:val="0"/>
        <w:rPr>
          <w:rFonts w:ascii="Calibri" w:hAnsi="Calibri" w:cs="Calibri"/>
          <w:b/>
          <w:sz w:val="22"/>
          <w:szCs w:val="22"/>
        </w:rPr>
      </w:pPr>
    </w:p>
    <w:p w14:paraId="02DFAAF7" w14:textId="77777777" w:rsidR="008D7B14" w:rsidRDefault="008D7B14" w:rsidP="008D7B14">
      <w:pPr>
        <w:pStyle w:val="TTitle"/>
        <w:adjustRightInd w:val="0"/>
        <w:snapToGrid w:val="0"/>
        <w:rPr>
          <w:rFonts w:ascii="Calibri" w:hAnsi="Calibri" w:cs="Calibri"/>
          <w:b/>
          <w:sz w:val="22"/>
          <w:szCs w:val="22"/>
        </w:rPr>
      </w:pPr>
    </w:p>
    <w:p w14:paraId="5C77BB57" w14:textId="7C65094B" w:rsidR="008D7B14" w:rsidRDefault="008D7B14" w:rsidP="008D7B14">
      <w:pPr>
        <w:jc w:val="center"/>
        <w:rPr>
          <w:rFonts w:asciiTheme="majorHAnsi" w:eastAsiaTheme="minorEastAsia" w:hAnsiTheme="majorHAnsi" w:cstheme="majorHAnsi"/>
          <w:b/>
          <w:bCs/>
          <w:color w:val="1F1F1F"/>
          <w:sz w:val="24"/>
          <w:szCs w:val="24"/>
          <w:lang w:val="en-US" w:eastAsia="ja-JP"/>
        </w:rPr>
      </w:pPr>
      <w:r>
        <w:rPr>
          <w:rFonts w:asciiTheme="majorHAnsi" w:eastAsiaTheme="minorEastAsia" w:hAnsiTheme="majorHAnsi" w:cstheme="majorHAnsi"/>
          <w:b/>
          <w:bCs/>
          <w:noProof/>
          <w:color w:val="1F1F1F"/>
          <w:sz w:val="24"/>
          <w:szCs w:val="24"/>
          <w:lang w:val="en-US" w:eastAsia="ja-JP"/>
        </w:rPr>
        <w:drawing>
          <wp:inline distT="0" distB="0" distL="0" distR="0" wp14:anchorId="1671D938" wp14:editId="67C3C601">
            <wp:extent cx="5545048" cy="2305878"/>
            <wp:effectExtent l="0" t="0" r="0" b="0"/>
            <wp:docPr id="2006232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232659" name="Picture 2006232659"/>
                    <pic:cNvPicPr/>
                  </pic:nvPicPr>
                  <pic:blipFill rotWithShape="1">
                    <a:blip r:embed="rId7" cstate="print">
                      <a:extLst>
                        <a:ext uri="{28A0092B-C50C-407E-A947-70E740481C1C}">
                          <a14:useLocalDpi xmlns:a14="http://schemas.microsoft.com/office/drawing/2010/main" val="0"/>
                        </a:ext>
                      </a:extLst>
                    </a:blip>
                    <a:srcRect t="30680" b="13874"/>
                    <a:stretch>
                      <a:fillRect/>
                    </a:stretch>
                  </pic:blipFill>
                  <pic:spPr bwMode="auto">
                    <a:xfrm>
                      <a:off x="0" y="0"/>
                      <a:ext cx="5554574" cy="2309839"/>
                    </a:xfrm>
                    <a:prstGeom prst="rect">
                      <a:avLst/>
                    </a:prstGeom>
                    <a:ln>
                      <a:noFill/>
                    </a:ln>
                    <a:extLst>
                      <a:ext uri="{53640926-AAD7-44D8-BBD7-CCE9431645EC}">
                        <a14:shadowObscured xmlns:a14="http://schemas.microsoft.com/office/drawing/2010/main"/>
                      </a:ext>
                    </a:extLst>
                  </pic:spPr>
                </pic:pic>
              </a:graphicData>
            </a:graphic>
          </wp:inline>
        </w:drawing>
      </w:r>
    </w:p>
    <w:p w14:paraId="700EBFE2" w14:textId="77777777" w:rsidR="008D7B14" w:rsidRDefault="008D7B14">
      <w:pPr>
        <w:rPr>
          <w:rFonts w:asciiTheme="majorHAnsi" w:eastAsiaTheme="minorEastAsia" w:hAnsiTheme="majorHAnsi" w:cstheme="majorHAnsi"/>
          <w:b/>
          <w:bCs/>
          <w:color w:val="1F1F1F"/>
          <w:sz w:val="24"/>
          <w:szCs w:val="24"/>
          <w:lang w:val="en-US" w:eastAsia="ja-JP"/>
        </w:rPr>
      </w:pPr>
    </w:p>
    <w:p w14:paraId="4D9C16AD" w14:textId="77777777" w:rsidR="008D7B14" w:rsidRDefault="008D7B14">
      <w:pPr>
        <w:rPr>
          <w:rFonts w:asciiTheme="majorHAnsi" w:eastAsiaTheme="minorEastAsia" w:hAnsiTheme="majorHAnsi" w:cstheme="majorHAnsi"/>
          <w:b/>
          <w:bCs/>
          <w:color w:val="1F1F1F"/>
          <w:sz w:val="24"/>
          <w:szCs w:val="24"/>
          <w:lang w:val="en-US" w:eastAsia="ja-JP"/>
        </w:rPr>
      </w:pPr>
    </w:p>
    <w:p w14:paraId="078F4CDC" w14:textId="77777777" w:rsidR="008D7B14" w:rsidRDefault="008D7B14">
      <w:pPr>
        <w:rPr>
          <w:rFonts w:asciiTheme="majorHAnsi" w:eastAsiaTheme="minorEastAsia" w:hAnsiTheme="majorHAnsi" w:cstheme="majorHAnsi"/>
          <w:b/>
          <w:bCs/>
          <w:color w:val="1F1F1F"/>
          <w:sz w:val="24"/>
          <w:szCs w:val="24"/>
          <w:lang w:val="en-US" w:eastAsia="ja-JP"/>
        </w:rPr>
      </w:pPr>
    </w:p>
    <w:p w14:paraId="67583750" w14:textId="77777777" w:rsidR="008D7B14" w:rsidRDefault="008D7B14">
      <w:pPr>
        <w:rPr>
          <w:rFonts w:asciiTheme="majorHAnsi" w:eastAsiaTheme="minorEastAsia" w:hAnsiTheme="majorHAnsi" w:cstheme="majorHAnsi"/>
          <w:b/>
          <w:bCs/>
          <w:color w:val="1F1F1F"/>
          <w:sz w:val="24"/>
          <w:szCs w:val="24"/>
          <w:lang w:val="en-US" w:eastAsia="ja-JP"/>
        </w:rPr>
      </w:pPr>
      <w:r>
        <w:rPr>
          <w:rFonts w:asciiTheme="majorHAnsi" w:hAnsiTheme="majorHAnsi" w:cstheme="majorHAnsi"/>
          <w:b/>
          <w:bCs/>
          <w:color w:val="1F1F1F"/>
        </w:rPr>
        <w:br w:type="page"/>
      </w:r>
    </w:p>
    <w:p w14:paraId="61658709" w14:textId="408FCA7F" w:rsidR="00C30477" w:rsidRPr="003F00DA" w:rsidRDefault="00C30477" w:rsidP="00C30477">
      <w:pPr>
        <w:pStyle w:val="Default"/>
        <w:snapToGrid w:val="0"/>
        <w:jc w:val="center"/>
        <w:rPr>
          <w:rFonts w:asciiTheme="majorHAnsi" w:hAnsiTheme="majorHAnsi" w:cstheme="majorHAnsi"/>
        </w:rPr>
      </w:pPr>
      <w:r w:rsidRPr="003F00DA">
        <w:rPr>
          <w:rFonts w:asciiTheme="majorHAnsi" w:hAnsiTheme="majorHAnsi" w:cstheme="majorHAnsi"/>
          <w:b/>
          <w:bCs/>
          <w:color w:val="1F1F1F"/>
        </w:rPr>
        <w:lastRenderedPageBreak/>
        <w:t>JOINT IATTC AND WCPFC-NC WORKING GROUP INTERSESSIONAL MEETING ON THE</w:t>
      </w:r>
    </w:p>
    <w:p w14:paraId="0EFA483A" w14:textId="77777777" w:rsidR="00C30477" w:rsidRPr="003F00DA" w:rsidRDefault="00C30477" w:rsidP="00C30477">
      <w:pPr>
        <w:pStyle w:val="Default"/>
        <w:snapToGrid w:val="0"/>
        <w:jc w:val="center"/>
        <w:rPr>
          <w:rFonts w:asciiTheme="majorHAnsi" w:hAnsiTheme="majorHAnsi" w:cstheme="majorHAnsi"/>
          <w:color w:val="1F1F1F"/>
        </w:rPr>
      </w:pPr>
      <w:r w:rsidRPr="003F00DA">
        <w:rPr>
          <w:rFonts w:asciiTheme="majorHAnsi" w:hAnsiTheme="majorHAnsi" w:cstheme="majorHAnsi"/>
          <w:b/>
          <w:bCs/>
          <w:color w:val="1F1F1F"/>
        </w:rPr>
        <w:t>MANAGEMENT OF PACIFIC BLUEFIN TUNA</w:t>
      </w:r>
    </w:p>
    <w:p w14:paraId="32B19863" w14:textId="77777777" w:rsidR="00C30477" w:rsidRPr="003F00DA" w:rsidRDefault="00C30477" w:rsidP="00C30477">
      <w:pPr>
        <w:pStyle w:val="Default"/>
        <w:snapToGrid w:val="0"/>
        <w:jc w:val="center"/>
        <w:rPr>
          <w:rFonts w:asciiTheme="majorHAnsi" w:hAnsiTheme="majorHAnsi" w:cstheme="majorHAnsi"/>
          <w:b/>
          <w:bCs/>
        </w:rPr>
      </w:pPr>
      <w:r w:rsidRPr="003F00DA">
        <w:rPr>
          <w:rFonts w:asciiTheme="majorHAnsi" w:hAnsiTheme="majorHAnsi" w:cstheme="majorHAnsi"/>
          <w:b/>
          <w:bCs/>
        </w:rPr>
        <w:t>THIRD SESSION (JWGI03)</w:t>
      </w:r>
    </w:p>
    <w:p w14:paraId="622FD419" w14:textId="77777777" w:rsidR="00C30477" w:rsidRPr="003F00DA" w:rsidRDefault="00C30477" w:rsidP="00C30477">
      <w:pPr>
        <w:pStyle w:val="Default"/>
        <w:snapToGrid w:val="0"/>
        <w:spacing w:before="120"/>
        <w:jc w:val="center"/>
        <w:rPr>
          <w:rFonts w:asciiTheme="majorHAnsi" w:hAnsiTheme="majorHAnsi" w:cstheme="majorHAnsi"/>
        </w:rPr>
      </w:pPr>
      <w:r w:rsidRPr="003F00DA">
        <w:rPr>
          <w:rFonts w:asciiTheme="majorHAnsi" w:hAnsiTheme="majorHAnsi" w:cstheme="majorHAnsi"/>
        </w:rPr>
        <w:t>11 – 13 March 2026</w:t>
      </w:r>
    </w:p>
    <w:p w14:paraId="5FE89D85" w14:textId="42BE653B" w:rsidR="00C30477" w:rsidRPr="003F00DA" w:rsidRDefault="00E114F3" w:rsidP="00C30477">
      <w:pPr>
        <w:pStyle w:val="Default"/>
        <w:snapToGrid w:val="0"/>
        <w:jc w:val="center"/>
        <w:rPr>
          <w:rFonts w:asciiTheme="majorHAnsi" w:hAnsiTheme="majorHAnsi" w:cstheme="majorHAnsi"/>
        </w:rPr>
      </w:pPr>
      <w:r w:rsidRPr="003F00DA">
        <w:rPr>
          <w:rFonts w:asciiTheme="majorHAnsi" w:eastAsia="Times New Roman" w:hAnsiTheme="majorHAnsi" w:cstheme="majorHAnsi"/>
        </w:rPr>
        <w:t>Newport Beach, California (Hybrid)</w:t>
      </w:r>
    </w:p>
    <w:p w14:paraId="79EFDA5E" w14:textId="16EEF668" w:rsidR="00C30477" w:rsidRPr="003F00DA" w:rsidRDefault="00C30477" w:rsidP="00C30477">
      <w:pPr>
        <w:pBdr>
          <w:top w:val="single" w:sz="18" w:space="1" w:color="auto"/>
          <w:bottom w:val="single" w:sz="18" w:space="0" w:color="auto"/>
        </w:pBdr>
        <w:adjustRightInd w:val="0"/>
        <w:snapToGrid w:val="0"/>
        <w:jc w:val="center"/>
        <w:rPr>
          <w:rFonts w:asciiTheme="majorHAnsi" w:eastAsiaTheme="minorEastAsia" w:hAnsiTheme="majorHAnsi" w:cstheme="majorHAnsi"/>
          <w:b/>
          <w:sz w:val="24"/>
          <w:szCs w:val="24"/>
          <w:lang w:bidi="th-TH"/>
        </w:rPr>
      </w:pPr>
      <w:r w:rsidRPr="003F00DA">
        <w:rPr>
          <w:rFonts w:asciiTheme="majorHAnsi" w:eastAsiaTheme="minorEastAsia" w:hAnsiTheme="majorHAnsi" w:cstheme="majorHAnsi"/>
          <w:b/>
          <w:sz w:val="24"/>
          <w:szCs w:val="24"/>
          <w:lang w:bidi="th-TH"/>
        </w:rPr>
        <w:t>SUMMARY REPORT</w:t>
      </w:r>
    </w:p>
    <w:p w14:paraId="1E9AB7A1" w14:textId="39F017FB" w:rsidR="00626B79" w:rsidRPr="003F00DA" w:rsidRDefault="00626B79" w:rsidP="00EE1ECD">
      <w:pPr>
        <w:jc w:val="both"/>
        <w:rPr>
          <w:rFonts w:asciiTheme="majorHAnsi" w:eastAsia="Times New Roman" w:hAnsiTheme="majorHAnsi" w:cstheme="majorHAnsi"/>
          <w:sz w:val="24"/>
          <w:szCs w:val="24"/>
        </w:rPr>
      </w:pPr>
    </w:p>
    <w:p w14:paraId="089F5047" w14:textId="77777777" w:rsidR="00064FB7" w:rsidRPr="003F00DA" w:rsidRDefault="00064FB7" w:rsidP="00EE1ECD">
      <w:pPr>
        <w:spacing w:after="200"/>
        <w:jc w:val="both"/>
        <w:rPr>
          <w:rFonts w:asciiTheme="majorHAnsi" w:eastAsia="Times New Roman" w:hAnsiTheme="majorHAnsi" w:cstheme="majorHAnsi"/>
          <w:b/>
          <w:bCs/>
          <w:sz w:val="24"/>
          <w:szCs w:val="24"/>
        </w:rPr>
      </w:pPr>
    </w:p>
    <w:p w14:paraId="1E9AB7A5" w14:textId="6E9FEEF6" w:rsidR="00626B79" w:rsidRPr="003F00DA" w:rsidRDefault="008F10E2" w:rsidP="00EE1ECD">
      <w:pPr>
        <w:spacing w:after="200"/>
        <w:jc w:val="both"/>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t>AGENDA ITEM 1</w:t>
      </w:r>
      <w:r w:rsidRPr="003F00DA">
        <w:rPr>
          <w:rFonts w:asciiTheme="majorHAnsi" w:eastAsia="Times New Roman" w:hAnsiTheme="majorHAnsi" w:cstheme="majorHAnsi"/>
          <w:b/>
          <w:bCs/>
          <w:sz w:val="24"/>
          <w:szCs w:val="24"/>
        </w:rPr>
        <w:tab/>
        <w:t>OPENING OF THE MEETING</w:t>
      </w:r>
    </w:p>
    <w:p w14:paraId="1E9AB7A6" w14:textId="77777777" w:rsidR="00626B79" w:rsidRPr="003F00DA" w:rsidRDefault="008F10E2" w:rsidP="00EE1ECD">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The 3rd intersessional meeting of the Joint IATTC and WCPFC-NC Working Group on the Management of Pacific Bluefin Tuna (JWGI03) was held on 11-13 March, 2026.  The meeting was opened by co-chairs, Mr. Masanori Miyahara (Japan, WCPFC Northern Committee Chair) and Mr. Josh Madeira (USA, IATTC). Co-chair Madeira thanked the United States for hosting the meeting, and the Secretariats from the IATTC and WCPFC and staff from Monterey Bay Aquarium for their assistance with meeting arrangements.</w:t>
      </w:r>
    </w:p>
    <w:p w14:paraId="1E9AB7A7"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Drew Lawler, NOAA’s Principal Deputy Assistant Secretary for International Fisheries, delivered opening remarks, welcoming participants to Newport Beach.</w:t>
      </w:r>
    </w:p>
    <w:p w14:paraId="1E9AB7A8"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Co-Chair Madeira noted that JWGI-03 represented the third meeting of this group in the Eastern Pacific, that good discussion had occurred at JWG10 after receiving results of the management strategy evaluation (MSE) for Pacific bluefin tuna (PBF), and that this meeting is an opportunity for JWG to make progress on developing a long-term harvest strategy prior to JWG11 in July. Co-Chair Madeira outlined three objectives for the meeting: 1) exchange views and advance discussion on the long-term harvest strategy, 2) discuss the catch documentation scheme (CDS) and Monitoring, Control, and Surveillance (MCS), and 3) Encourage further discussion among JWG members in advance of JWG11 in July.</w:t>
      </w:r>
    </w:p>
    <w:p w14:paraId="1E9AB7A9" w14:textId="686FA5E8"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 xml:space="preserve">A list of participants to the JWGI03 is included in </w:t>
      </w:r>
      <w:r w:rsidRPr="003F00DA">
        <w:rPr>
          <w:rFonts w:asciiTheme="majorHAnsi" w:eastAsia="Times New Roman" w:hAnsiTheme="majorHAnsi" w:cstheme="majorHAnsi"/>
          <w:b/>
          <w:bCs/>
          <w:sz w:val="24"/>
          <w:szCs w:val="24"/>
        </w:rPr>
        <w:t>A</w:t>
      </w:r>
      <w:r w:rsidR="00C70404">
        <w:rPr>
          <w:rFonts w:asciiTheme="majorHAnsi" w:eastAsia="Times New Roman" w:hAnsiTheme="majorHAnsi" w:cstheme="majorHAnsi"/>
          <w:b/>
          <w:bCs/>
          <w:sz w:val="24"/>
          <w:szCs w:val="24"/>
        </w:rPr>
        <w:t>ttachment</w:t>
      </w:r>
      <w:r w:rsidRPr="003F00DA">
        <w:rPr>
          <w:rFonts w:asciiTheme="majorHAnsi" w:eastAsia="Times New Roman" w:hAnsiTheme="majorHAnsi" w:cstheme="majorHAnsi"/>
          <w:b/>
          <w:bCs/>
          <w:sz w:val="24"/>
          <w:szCs w:val="24"/>
        </w:rPr>
        <w:t xml:space="preserve"> A</w:t>
      </w:r>
      <w:r w:rsidRPr="003F00DA">
        <w:rPr>
          <w:rFonts w:asciiTheme="majorHAnsi" w:eastAsia="Times New Roman" w:hAnsiTheme="majorHAnsi" w:cstheme="majorHAnsi"/>
          <w:sz w:val="24"/>
          <w:szCs w:val="24"/>
        </w:rPr>
        <w:t>.</w:t>
      </w:r>
    </w:p>
    <w:p w14:paraId="1E9AB7AA" w14:textId="77777777" w:rsidR="00626B79" w:rsidRPr="003F00DA" w:rsidRDefault="008F10E2" w:rsidP="00EE1ECD">
      <w:pPr>
        <w:spacing w:after="200"/>
        <w:jc w:val="both"/>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t>AGENDA ITEM 2</w:t>
      </w:r>
      <w:r w:rsidRPr="003F00DA">
        <w:rPr>
          <w:rFonts w:asciiTheme="majorHAnsi" w:eastAsia="Times New Roman" w:hAnsiTheme="majorHAnsi" w:cstheme="majorHAnsi"/>
          <w:b/>
          <w:bCs/>
          <w:sz w:val="24"/>
          <w:szCs w:val="24"/>
        </w:rPr>
        <w:tab/>
        <w:t>ADOPTION OF AGENDA AND MEETING PROCEDURES</w:t>
      </w:r>
    </w:p>
    <w:p w14:paraId="1E9AB7AB" w14:textId="1E3CA2FB"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 xml:space="preserve">The agenda was adopted (see </w:t>
      </w:r>
      <w:r w:rsidRPr="003F00DA">
        <w:rPr>
          <w:rFonts w:asciiTheme="majorHAnsi" w:eastAsia="Times New Roman" w:hAnsiTheme="majorHAnsi" w:cstheme="majorHAnsi"/>
          <w:b/>
          <w:bCs/>
          <w:sz w:val="24"/>
          <w:szCs w:val="24"/>
        </w:rPr>
        <w:t>A</w:t>
      </w:r>
      <w:r w:rsidR="00C70404">
        <w:rPr>
          <w:rFonts w:asciiTheme="majorHAnsi" w:eastAsia="Times New Roman" w:hAnsiTheme="majorHAnsi" w:cstheme="majorHAnsi"/>
          <w:b/>
          <w:bCs/>
          <w:sz w:val="24"/>
          <w:szCs w:val="24"/>
        </w:rPr>
        <w:t>ttachment</w:t>
      </w:r>
      <w:r w:rsidRPr="003F00DA">
        <w:rPr>
          <w:rFonts w:asciiTheme="majorHAnsi" w:eastAsia="Times New Roman" w:hAnsiTheme="majorHAnsi" w:cstheme="majorHAnsi"/>
          <w:b/>
          <w:bCs/>
          <w:sz w:val="24"/>
          <w:szCs w:val="24"/>
        </w:rPr>
        <w:t xml:space="preserve"> B</w:t>
      </w:r>
      <w:r w:rsidRPr="003F00DA">
        <w:rPr>
          <w:rFonts w:asciiTheme="majorHAnsi" w:eastAsia="Times New Roman" w:hAnsiTheme="majorHAnsi" w:cstheme="majorHAnsi"/>
          <w:sz w:val="24"/>
          <w:szCs w:val="24"/>
        </w:rPr>
        <w:t>), and Ms. Valerie Post (USA) was confirmed as the rapporteur.</w:t>
      </w:r>
    </w:p>
    <w:p w14:paraId="1E9AB7AC" w14:textId="77777777" w:rsidR="00626B79" w:rsidRPr="003F00DA" w:rsidRDefault="008F10E2" w:rsidP="00EE1ECD">
      <w:pPr>
        <w:spacing w:after="200"/>
        <w:jc w:val="both"/>
        <w:rPr>
          <w:rFonts w:asciiTheme="majorHAnsi" w:eastAsia="Times New Roman" w:hAnsiTheme="majorHAnsi" w:cstheme="majorHAnsi"/>
          <w:sz w:val="24"/>
          <w:szCs w:val="24"/>
        </w:rPr>
      </w:pPr>
      <w:r w:rsidRPr="003F00DA">
        <w:rPr>
          <w:rFonts w:asciiTheme="majorHAnsi" w:eastAsia="Times New Roman" w:hAnsiTheme="majorHAnsi" w:cstheme="majorHAnsi"/>
          <w:b/>
          <w:bCs/>
          <w:sz w:val="24"/>
          <w:szCs w:val="24"/>
        </w:rPr>
        <w:t>AGENDA ITEM 3</w:t>
      </w:r>
      <w:r w:rsidRPr="003F00DA">
        <w:rPr>
          <w:rFonts w:asciiTheme="majorHAnsi" w:eastAsia="Times New Roman" w:hAnsiTheme="majorHAnsi" w:cstheme="majorHAnsi"/>
          <w:b/>
          <w:bCs/>
          <w:sz w:val="24"/>
          <w:szCs w:val="24"/>
        </w:rPr>
        <w:tab/>
        <w:t>LONG-TERM HARVEST STRATEGY</w:t>
      </w:r>
    </w:p>
    <w:p w14:paraId="1E9AB7AD" w14:textId="77777777" w:rsidR="00626B79" w:rsidRPr="003F00DA" w:rsidRDefault="008F10E2" w:rsidP="00EE1ECD">
      <w:pPr>
        <w:spacing w:after="200"/>
        <w:jc w:val="both"/>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t>AGENDA ITEM 3.1</w:t>
      </w:r>
      <w:r w:rsidRPr="003F00DA">
        <w:rPr>
          <w:rFonts w:asciiTheme="majorHAnsi" w:eastAsia="Times New Roman" w:hAnsiTheme="majorHAnsi" w:cstheme="majorHAnsi"/>
          <w:b/>
          <w:bCs/>
          <w:sz w:val="24"/>
          <w:szCs w:val="24"/>
        </w:rPr>
        <w:tab/>
        <w:t>DEVELOPMENT OF LONG-TERM HARVEST STRATEGY</w:t>
      </w:r>
    </w:p>
    <w:p w14:paraId="1E9AB7AE" w14:textId="174527AA"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lastRenderedPageBreak/>
        <w:t>Co-Chair Madeira provided an overview of the status and management of PBF, and noted that the IATTC and WCPFC are operating under an interim harvest strategy, which needs to be updated and replaced by a long-term harvest strategy now that the stock has achieved the second rebuilding target. Co-Chair Madeira noted that while JWG10 could not reach consensus on a long-term harvest strategy, the members agreed that the stock should be maintained above the second rebuilding target and intersessional discussions should continue. Co-Chair Madeira reminded delegates that the WCPFC and IATTC expected the JWG to complete the long-term harvest strategy in 2026, with implementation in 2027. Co-Chair Madeira also noted that the IATTC management measure expires in 2026. Finally, Co-Chair Madeira noted that JWG10 requested the International Scientific Committee for Tuna and Tuna-Like Species (ISC) to develop criteria for exceptional circumstances for review by JWG11.</w:t>
      </w:r>
    </w:p>
    <w:p w14:paraId="1E9AB7AF" w14:textId="77777777" w:rsidR="00626B79" w:rsidRPr="003F00DA" w:rsidRDefault="008F10E2" w:rsidP="00EE1ECD">
      <w:pPr>
        <w:spacing w:after="200"/>
        <w:jc w:val="both"/>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t>AGENDA ITEM 3.2</w:t>
      </w:r>
      <w:r w:rsidRPr="003F00DA">
        <w:rPr>
          <w:rFonts w:asciiTheme="majorHAnsi" w:eastAsia="Times New Roman" w:hAnsiTheme="majorHAnsi" w:cstheme="majorHAnsi"/>
          <w:b/>
          <w:bCs/>
          <w:sz w:val="24"/>
          <w:szCs w:val="24"/>
        </w:rPr>
        <w:tab/>
        <w:t>MANAGEMENT STRATEGY EVALUATION</w:t>
      </w:r>
    </w:p>
    <w:p w14:paraId="1E9AB7B0"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Dr. Desiree Tommasi (ISC PBFWG) provided a presentation summarizing results of the MSE, including a demo of the Shiny App website and highlighting recent changes that were made to calculate total allowable catch (TAC) for the harvest control rules (HCRs) with a 70:30 WCPO:EPO fishery impact ratio.</w:t>
      </w:r>
    </w:p>
    <w:p w14:paraId="1E9AB7B1"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Mexico noted that the MSE evaluated 16 HCRs, and asked if the ISC would be able to evaluate a new candidate HCR if one was developed by JWG.</w:t>
      </w:r>
    </w:p>
    <w:p w14:paraId="1E9AB7B2" w14:textId="530F6C3D"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 xml:space="preserve">The ISC PBFWG Chair responded that the PBFWG has a meeting scheduled next week and that there is very limited capacity for additional work, but it could be possible depending on the number of additional requests. He noted that </w:t>
      </w:r>
      <w:r w:rsidR="00C70404">
        <w:rPr>
          <w:rFonts w:asciiTheme="majorHAnsi" w:eastAsia="Times New Roman" w:hAnsiTheme="majorHAnsi" w:cstheme="majorHAnsi"/>
          <w:sz w:val="24"/>
          <w:szCs w:val="24"/>
        </w:rPr>
        <w:t xml:space="preserve">the </w:t>
      </w:r>
      <w:r w:rsidRPr="003F00DA">
        <w:rPr>
          <w:rFonts w:asciiTheme="majorHAnsi" w:eastAsia="Times New Roman" w:hAnsiTheme="majorHAnsi" w:cstheme="majorHAnsi"/>
          <w:sz w:val="24"/>
          <w:szCs w:val="24"/>
        </w:rPr>
        <w:t xml:space="preserve">most </w:t>
      </w:r>
      <w:r w:rsidR="00C70404">
        <w:rPr>
          <w:rFonts w:asciiTheme="majorHAnsi" w:eastAsia="Times New Roman" w:hAnsiTheme="majorHAnsi" w:cstheme="majorHAnsi"/>
          <w:sz w:val="24"/>
          <w:szCs w:val="24"/>
        </w:rPr>
        <w:t xml:space="preserve">influential element of </w:t>
      </w:r>
      <w:r w:rsidRPr="003F00DA">
        <w:rPr>
          <w:rFonts w:asciiTheme="majorHAnsi" w:eastAsia="Times New Roman" w:hAnsiTheme="majorHAnsi" w:cstheme="majorHAnsi"/>
          <w:sz w:val="24"/>
          <w:szCs w:val="24"/>
        </w:rPr>
        <w:t>HCR</w:t>
      </w:r>
      <w:r w:rsidR="00C70404">
        <w:rPr>
          <w:rFonts w:asciiTheme="majorHAnsi" w:eastAsia="Times New Roman" w:hAnsiTheme="majorHAnsi" w:cstheme="majorHAnsi"/>
          <w:sz w:val="24"/>
          <w:szCs w:val="24"/>
        </w:rPr>
        <w:t xml:space="preserve"> is its target level and </w:t>
      </w:r>
      <w:r w:rsidRPr="003F00DA">
        <w:rPr>
          <w:rFonts w:asciiTheme="majorHAnsi" w:eastAsia="Times New Roman" w:hAnsiTheme="majorHAnsi" w:cstheme="majorHAnsi"/>
          <w:sz w:val="24"/>
          <w:szCs w:val="24"/>
        </w:rPr>
        <w:t>some inferences could be made on performance if the members were interested in considering variations of different HCRs. If JWGI-03 were to develop a different candidate HCR, the ISC could calculate the TAC for JWG-11.</w:t>
      </w:r>
    </w:p>
    <w:p w14:paraId="1E9AB7B3"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Japan stated that HCRs 1-8 were designed with the WCPO:EPO ratio of 80:20 and HCRs 9-16 were designed with the WCPO:EPO ratio of 70:30. They observed that some of the impact ratios displayed in the table indicated higher impact ratios for the EPO, and asked if ISC could explain why the impact ratios were higher than the design noting that the evaluation was based on the average 2015-2022 calculated impact.</w:t>
      </w:r>
    </w:p>
    <w:p w14:paraId="1E9AB7B4" w14:textId="11B844F1"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Dr. Tommasi confirmed that for HCRs 1-8, the scenarios were not tuned for 80:20, and the WCPO:EPO ratio is an average of the impact across the 20 operating models. Operating Model 1 is closest to the stock assessment, and the estimated WCPO:EPO impact is close to 80:20, but the other operating models consider uncertainty and that is why the resulting WCPO:EPO impact is higher than 80:20 for some of those HCRs.</w:t>
      </w:r>
    </w:p>
    <w:p w14:paraId="1E9AB7B5"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lastRenderedPageBreak/>
        <w:t>The ISC PBFWG Chair noted that the impact ratio may vary in the future depending on future changes to the assessment model.</w:t>
      </w:r>
    </w:p>
    <w:p w14:paraId="1E9AB7B6" w14:textId="77777777" w:rsidR="00626B79" w:rsidRPr="003F00DA" w:rsidRDefault="008F10E2" w:rsidP="00EE1ECD">
      <w:pPr>
        <w:spacing w:after="200"/>
        <w:jc w:val="both"/>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t>AGENDA ITEM 3.3</w:t>
      </w:r>
      <w:r w:rsidRPr="003F00DA">
        <w:rPr>
          <w:rFonts w:asciiTheme="majorHAnsi" w:eastAsia="Times New Roman" w:hAnsiTheme="majorHAnsi" w:cstheme="majorHAnsi"/>
          <w:b/>
          <w:bCs/>
          <w:sz w:val="24"/>
          <w:szCs w:val="24"/>
        </w:rPr>
        <w:tab/>
        <w:t>DISCUSSION AND RECOMMENDATIONS ON THE LONG-TERM HARVEST STRATEGY</w:t>
      </w:r>
    </w:p>
    <w:p w14:paraId="1E9AB7B7"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Co-Chair Madeira summarized the stages of the MSE, and emphasized the need to adopt a revised harvest strategy this year. He urged members to build a shared understanding of needs and objectives to help narrow the HCRs under discussion. Co-Chair Miyahara also noted that the development of the long-term harvest strategy is a year behind schedule and urged productive discussion at this meeting.</w:t>
      </w:r>
    </w:p>
    <w:p w14:paraId="1E9AB7B8" w14:textId="653990CA"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Mexico agreed that reducing the number of HCRs under consideration would be helpful, and suggested focusing first on HCRs that they would not accept. Specifically, Mexico proposed eliminating HCRs 3 and 11 which contained a target reference point (TRP) of FSPR40%. Mexico stated they could not support these HCRs because scientists have never estimated such high biomass for this stock, and there may be significant ecosystem impacts.</w:t>
      </w:r>
    </w:p>
    <w:p w14:paraId="1E9AB7B9" w14:textId="4B9C1B34"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 xml:space="preserve">Japan supported Mexico’s intervention to eliminate HCRs 3 and 11. Japan expressed support for HCR 5 </w:t>
      </w:r>
      <w:r w:rsidRPr="003F00DA">
        <w:rPr>
          <w:rFonts w:asciiTheme="majorHAnsi" w:eastAsia="Times New Roman" w:hAnsiTheme="majorHAnsi" w:cstheme="majorHAnsi"/>
          <w:color w:val="1F1F1F"/>
          <w:sz w:val="24"/>
          <w:szCs w:val="24"/>
          <w:highlight w:val="white"/>
        </w:rPr>
        <w:t xml:space="preserve">which sets the TRP at 25% SSB, close to the estimated Maximum Sustainable Yield (MSY) level, which is a common benchmark for many countries. Japan noted that past </w:t>
      </w:r>
      <w:r w:rsidRPr="003F00DA">
        <w:rPr>
          <w:rFonts w:asciiTheme="majorHAnsi" w:eastAsia="Times New Roman" w:hAnsiTheme="majorHAnsi" w:cstheme="majorHAnsi"/>
          <w:sz w:val="24"/>
          <w:szCs w:val="24"/>
        </w:rPr>
        <w:t>management</w:t>
      </w:r>
      <w:r w:rsidRPr="003F00DA">
        <w:rPr>
          <w:rFonts w:asciiTheme="majorHAnsi" w:eastAsia="Times New Roman" w:hAnsiTheme="majorHAnsi" w:cstheme="majorHAnsi"/>
          <w:color w:val="1F1F1F"/>
          <w:sz w:val="24"/>
          <w:szCs w:val="24"/>
          <w:highlight w:val="white"/>
        </w:rPr>
        <w:t xml:space="preserve"> actions</w:t>
      </w:r>
      <w:r w:rsidR="002923F7">
        <w:rPr>
          <w:rFonts w:asciiTheme="majorHAnsi" w:eastAsia="Times New Roman" w:hAnsiTheme="majorHAnsi" w:cstheme="majorHAnsi"/>
          <w:color w:val="1F1F1F"/>
          <w:sz w:val="24"/>
          <w:szCs w:val="24"/>
          <w:highlight w:val="white"/>
        </w:rPr>
        <w:t>, including a 50% decrease in</w:t>
      </w:r>
      <w:r w:rsidRPr="003F00DA">
        <w:rPr>
          <w:rFonts w:asciiTheme="majorHAnsi" w:eastAsia="Times New Roman" w:hAnsiTheme="majorHAnsi" w:cstheme="majorHAnsi"/>
          <w:color w:val="1F1F1F"/>
          <w:sz w:val="24"/>
          <w:szCs w:val="24"/>
          <w:highlight w:val="white"/>
        </w:rPr>
        <w:t xml:space="preserve"> WCPO small fish catch</w:t>
      </w:r>
      <w:r w:rsidR="002923F7">
        <w:rPr>
          <w:rFonts w:asciiTheme="majorHAnsi" w:eastAsia="Times New Roman" w:hAnsiTheme="majorHAnsi" w:cstheme="majorHAnsi"/>
          <w:color w:val="1F1F1F"/>
          <w:sz w:val="24"/>
          <w:szCs w:val="24"/>
          <w:highlight w:val="white"/>
        </w:rPr>
        <w:t xml:space="preserve"> limit, </w:t>
      </w:r>
      <w:r w:rsidRPr="003F00DA">
        <w:rPr>
          <w:rFonts w:asciiTheme="majorHAnsi" w:eastAsia="Times New Roman" w:hAnsiTheme="majorHAnsi" w:cstheme="majorHAnsi"/>
          <w:color w:val="1F1F1F"/>
          <w:sz w:val="24"/>
          <w:szCs w:val="24"/>
          <w:highlight w:val="white"/>
        </w:rPr>
        <w:t>led to the successful rebuilding of the stock. They stated that the MSE results for HCR 5 show a high probability of maintaining the stock above 20%SSB and a low probability of the stock falling below the limit reference point (LRP). They also stated that they might be open to considering some changes to the HCR 5 based on discussion over the next few days.</w:t>
      </w:r>
    </w:p>
    <w:p w14:paraId="1E9AB7BA"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1F1F1F"/>
          <w:sz w:val="24"/>
          <w:szCs w:val="24"/>
          <w:highlight w:val="white"/>
        </w:rPr>
      </w:pPr>
      <w:r w:rsidRPr="003F00DA">
        <w:rPr>
          <w:rFonts w:asciiTheme="majorHAnsi" w:eastAsia="Times New Roman" w:hAnsiTheme="majorHAnsi" w:cstheme="majorHAnsi"/>
          <w:color w:val="1F1F1F"/>
          <w:sz w:val="24"/>
          <w:szCs w:val="24"/>
          <w:highlight w:val="white"/>
        </w:rPr>
        <w:t xml:space="preserve">Korea echoed support for Mexico’s suggestion, and further proposed eliminating the more extreme HCRs, specifically HCRs 3, 6, 11 and 14. Korea noted that HCRs </w:t>
      </w:r>
      <w:r w:rsidRPr="003F00DA">
        <w:rPr>
          <w:rFonts w:asciiTheme="majorHAnsi" w:eastAsia="Times New Roman" w:hAnsiTheme="majorHAnsi" w:cstheme="majorHAnsi"/>
          <w:color w:val="202124"/>
          <w:sz w:val="24"/>
          <w:szCs w:val="24"/>
        </w:rPr>
        <w:t>3 and 11 would require substantial TAC reductions from current levels to achieve, and considered HCRs 6 and 14 too risky.</w:t>
      </w:r>
    </w:p>
    <w:p w14:paraId="1E9AB7BB"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Chinese Taipei stated that it also supported the recommendations to eliminate HCRs 3 and 11. As their fishery is a WCPO large fish fishery, important elements for them include the expected TAC for the WCPO large fish, stability and long-term yield performance. Chinese Taipei stated that HCR 5 met all of those considerations, and is similar to the current management scheme so their fishermen are familiar with it.</w:t>
      </w:r>
    </w:p>
    <w:p w14:paraId="1E9AB7BC" w14:textId="3ECC7CB9"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1F1F1F"/>
          <w:sz w:val="24"/>
          <w:szCs w:val="24"/>
          <w:highlight w:val="white"/>
        </w:rPr>
        <w:t xml:space="preserve">The United States expressed support for narrowing down the Harvest Control Rules (HCRs) under </w:t>
      </w:r>
      <w:r w:rsidRPr="003F00DA">
        <w:rPr>
          <w:rFonts w:asciiTheme="majorHAnsi" w:eastAsia="Times New Roman" w:hAnsiTheme="majorHAnsi" w:cstheme="majorHAnsi"/>
          <w:sz w:val="24"/>
          <w:szCs w:val="24"/>
        </w:rPr>
        <w:t>consideration</w:t>
      </w:r>
      <w:r w:rsidRPr="003F00DA">
        <w:rPr>
          <w:rFonts w:asciiTheme="majorHAnsi" w:eastAsia="Times New Roman" w:hAnsiTheme="majorHAnsi" w:cstheme="majorHAnsi"/>
          <w:color w:val="1F1F1F"/>
          <w:sz w:val="24"/>
          <w:szCs w:val="24"/>
          <w:highlight w:val="white"/>
        </w:rPr>
        <w:t xml:space="preserve">, agreeing with Mexico's and Korea's suggestions to remove HCRs 3, 6, 11, and 14 based on the rationale provided. The United States stated its support for HCR 10, </w:t>
      </w:r>
      <w:r w:rsidRPr="003F00DA">
        <w:rPr>
          <w:rFonts w:asciiTheme="majorHAnsi" w:eastAsia="Times New Roman" w:hAnsiTheme="majorHAnsi" w:cstheme="majorHAnsi"/>
          <w:color w:val="1F1F1F"/>
          <w:sz w:val="24"/>
          <w:szCs w:val="24"/>
          <w:highlight w:val="white"/>
        </w:rPr>
        <w:lastRenderedPageBreak/>
        <w:t>noting that it provides an adequate buffer between the target and threshold reference point (ThRP) and maintains spawning stock biomass (SSB) above current levels. The United States was not interested in HCRs that did not include explicit LRPs, as they stated LRPs are important components of harvest strategies and referenced the WCPFC CMM on harvest strategies. The United States also did not favor HCRs like HCR 5 where breaching the threshold reference point results in reverting back to prior management, as that management would be unresponsive to stock status. Finally, the United States stressed the need for the long-term harvest strategy to maintain stock status above the second rebuilding target.</w:t>
      </w:r>
    </w:p>
    <w:p w14:paraId="1E9AB7BD" w14:textId="45D98F16"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1F1F1F"/>
          <w:sz w:val="24"/>
          <w:szCs w:val="24"/>
          <w:highlight w:val="white"/>
        </w:rPr>
      </w:pPr>
      <w:r w:rsidRPr="003F00DA">
        <w:rPr>
          <w:rFonts w:asciiTheme="majorHAnsi" w:eastAsia="Times New Roman" w:hAnsiTheme="majorHAnsi" w:cstheme="majorHAnsi"/>
          <w:color w:val="202124"/>
          <w:sz w:val="24"/>
          <w:szCs w:val="24"/>
        </w:rPr>
        <w:t xml:space="preserve">Mexico responded that they were supportive of Korea’s proposal to eliminate HCRs 6 and 14. Mexico </w:t>
      </w:r>
      <w:r w:rsidRPr="003F00DA">
        <w:rPr>
          <w:rFonts w:asciiTheme="majorHAnsi" w:eastAsia="Times New Roman" w:hAnsiTheme="majorHAnsi" w:cstheme="majorHAnsi"/>
          <w:sz w:val="24"/>
          <w:szCs w:val="24"/>
        </w:rPr>
        <w:t>stated</w:t>
      </w:r>
      <w:r w:rsidRPr="003F00DA">
        <w:rPr>
          <w:rFonts w:asciiTheme="majorHAnsi" w:eastAsia="Times New Roman" w:hAnsiTheme="majorHAnsi" w:cstheme="majorHAnsi"/>
          <w:color w:val="202124"/>
          <w:sz w:val="24"/>
          <w:szCs w:val="24"/>
        </w:rPr>
        <w:t xml:space="preserve"> that they were flexible with respect to the TRP, and could accept TRPs ranging from 25-30%. They noted that HCR 5 contains one control point, and that they prefer an HCR with a second control point or a LRP of 7.7%SSB0. On the location of the first control point, they did not support the ThRP at 25% as they viewed a ThRP above the second rebuilding target as inconsistent with the management objectives. Mexico felt that the ThRP should be around 20% SSB</w:t>
      </w:r>
      <w:r w:rsidRPr="003F00DA">
        <w:rPr>
          <w:rFonts w:asciiTheme="majorHAnsi" w:eastAsia="Times New Roman" w:hAnsiTheme="majorHAnsi" w:cstheme="majorHAnsi"/>
          <w:color w:val="202124"/>
          <w:sz w:val="24"/>
          <w:szCs w:val="24"/>
          <w:vertAlign w:val="subscript"/>
        </w:rPr>
        <w:t>0</w:t>
      </w:r>
      <w:r w:rsidRPr="003F00DA">
        <w:rPr>
          <w:rFonts w:asciiTheme="majorHAnsi" w:eastAsia="Times New Roman" w:hAnsiTheme="majorHAnsi" w:cstheme="majorHAnsi"/>
          <w:color w:val="202124"/>
          <w:sz w:val="24"/>
          <w:szCs w:val="24"/>
        </w:rPr>
        <w:t>.</w:t>
      </w:r>
    </w:p>
    <w:p w14:paraId="1E9AB7BE"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New Zealand supported the point from the United States that every HCR should include an explicit limit reference point. New Zealand reiterated its position from last year that it preferred </w:t>
      </w:r>
      <w:r w:rsidRPr="003F00DA">
        <w:rPr>
          <w:rFonts w:asciiTheme="majorHAnsi" w:eastAsia="Times New Roman" w:hAnsiTheme="majorHAnsi" w:cstheme="majorHAnsi"/>
          <w:sz w:val="24"/>
          <w:szCs w:val="24"/>
        </w:rPr>
        <w:t>HCRs</w:t>
      </w:r>
      <w:r w:rsidRPr="003F00DA">
        <w:rPr>
          <w:rFonts w:asciiTheme="majorHAnsi" w:eastAsia="Times New Roman" w:hAnsiTheme="majorHAnsi" w:cstheme="majorHAnsi"/>
          <w:color w:val="202124"/>
          <w:sz w:val="24"/>
          <w:szCs w:val="24"/>
        </w:rPr>
        <w:t xml:space="preserve"> 3 and 11 as these are precautionary and align with their domestic policy. However, noting concerns expressed by Mexico, Japan and Korea, New Zealand stated that HCRs 2 and 10 would also be acceptable.</w:t>
      </w:r>
    </w:p>
    <w:p w14:paraId="1E9AB7BF" w14:textId="19946380"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Pew stated that it believed HCRs should contain a defined LRP, even if not used as a control point. They also emphasized the need for an HCR shape that is responsive to stock status. </w:t>
      </w:r>
      <w:r w:rsidRPr="003F00DA">
        <w:rPr>
          <w:rFonts w:asciiTheme="majorHAnsi" w:eastAsia="Times New Roman" w:hAnsiTheme="majorHAnsi" w:cstheme="majorHAnsi"/>
          <w:sz w:val="24"/>
          <w:szCs w:val="24"/>
        </w:rPr>
        <w:t>Pew</w:t>
      </w:r>
      <w:r w:rsidRPr="003F00DA">
        <w:rPr>
          <w:rFonts w:asciiTheme="majorHAnsi" w:eastAsia="Times New Roman" w:hAnsiTheme="majorHAnsi" w:cstheme="majorHAnsi"/>
          <w:color w:val="202124"/>
          <w:sz w:val="24"/>
          <w:szCs w:val="24"/>
        </w:rPr>
        <w:t xml:space="preserve"> felt that HCRs 5 and 13 were too risky because they are not responsive to the status of the sock, and require high recruitment levels to be successful. Finally, Pew stated that the HCR should </w:t>
      </w:r>
      <w:r w:rsidR="002923F7">
        <w:rPr>
          <w:rFonts w:asciiTheme="majorHAnsi" w:eastAsia="Times New Roman" w:hAnsiTheme="majorHAnsi" w:cstheme="majorHAnsi"/>
          <w:color w:val="202124"/>
          <w:sz w:val="24"/>
          <w:szCs w:val="24"/>
        </w:rPr>
        <w:t xml:space="preserve">ensure a high probability of </w:t>
      </w:r>
      <w:r w:rsidRPr="003F00DA">
        <w:rPr>
          <w:rFonts w:asciiTheme="majorHAnsi" w:eastAsia="Times New Roman" w:hAnsiTheme="majorHAnsi" w:cstheme="majorHAnsi"/>
          <w:color w:val="202124"/>
          <w:sz w:val="24"/>
          <w:szCs w:val="24"/>
        </w:rPr>
        <w:t>maintain</w:t>
      </w:r>
      <w:r w:rsidR="002923F7">
        <w:rPr>
          <w:rFonts w:asciiTheme="majorHAnsi" w:eastAsia="Times New Roman" w:hAnsiTheme="majorHAnsi" w:cstheme="majorHAnsi"/>
          <w:color w:val="202124"/>
          <w:sz w:val="24"/>
          <w:szCs w:val="24"/>
        </w:rPr>
        <w:t>ing</w:t>
      </w:r>
      <w:r w:rsidRPr="003F00DA">
        <w:rPr>
          <w:rFonts w:asciiTheme="majorHAnsi" w:eastAsia="Times New Roman" w:hAnsiTheme="majorHAnsi" w:cstheme="majorHAnsi"/>
          <w:color w:val="202124"/>
          <w:sz w:val="24"/>
          <w:szCs w:val="24"/>
        </w:rPr>
        <w:t xml:space="preserve"> the stock above 20%SSB.</w:t>
      </w:r>
    </w:p>
    <w:p w14:paraId="1E9AB7C0" w14:textId="7D7C2E95"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The ISC </w:t>
      </w:r>
      <w:r w:rsidR="002923F7">
        <w:rPr>
          <w:rFonts w:asciiTheme="majorHAnsi" w:eastAsia="Times New Roman" w:hAnsiTheme="majorHAnsi" w:cstheme="majorHAnsi"/>
          <w:color w:val="202124"/>
          <w:sz w:val="24"/>
          <w:szCs w:val="24"/>
        </w:rPr>
        <w:t xml:space="preserve">PBFWG </w:t>
      </w:r>
      <w:r w:rsidRPr="003F00DA">
        <w:rPr>
          <w:rFonts w:asciiTheme="majorHAnsi" w:eastAsia="Times New Roman" w:hAnsiTheme="majorHAnsi" w:cstheme="majorHAnsi"/>
          <w:color w:val="202124"/>
          <w:sz w:val="24"/>
          <w:szCs w:val="24"/>
        </w:rPr>
        <w:t xml:space="preserve">Chair confirmed that FSPR40% would result in a stock biomass level that has never been observed in the history of the assessment period. The ISC </w:t>
      </w:r>
      <w:r w:rsidR="002923F7">
        <w:rPr>
          <w:rFonts w:asciiTheme="majorHAnsi" w:eastAsia="Times New Roman" w:hAnsiTheme="majorHAnsi" w:cstheme="majorHAnsi"/>
          <w:color w:val="202124"/>
          <w:sz w:val="24"/>
          <w:szCs w:val="24"/>
        </w:rPr>
        <w:t xml:space="preserve">PBFWG </w:t>
      </w:r>
      <w:r w:rsidRPr="003F00DA">
        <w:rPr>
          <w:rFonts w:asciiTheme="majorHAnsi" w:eastAsia="Times New Roman" w:hAnsiTheme="majorHAnsi" w:cstheme="majorHAnsi"/>
          <w:color w:val="202124"/>
          <w:sz w:val="24"/>
          <w:szCs w:val="24"/>
        </w:rPr>
        <w:t xml:space="preserve">Chair also noted that MSY is calculated from the assessment model, but depends on assumptions of recruitment. He also stressed that </w:t>
      </w:r>
      <w:r w:rsidR="002923F7">
        <w:rPr>
          <w:rFonts w:asciiTheme="majorHAnsi" w:eastAsia="Times New Roman" w:hAnsiTheme="majorHAnsi" w:cstheme="majorHAnsi"/>
          <w:color w:val="202124"/>
          <w:sz w:val="24"/>
          <w:szCs w:val="24"/>
        </w:rPr>
        <w:t xml:space="preserve">rather than </w:t>
      </w:r>
      <w:r w:rsidRPr="003F00DA">
        <w:rPr>
          <w:rFonts w:asciiTheme="majorHAnsi" w:eastAsia="Times New Roman" w:hAnsiTheme="majorHAnsi" w:cstheme="majorHAnsi"/>
          <w:color w:val="202124"/>
          <w:sz w:val="24"/>
          <w:szCs w:val="24"/>
        </w:rPr>
        <w:t>HCR shape</w:t>
      </w:r>
      <w:r w:rsidR="002923F7">
        <w:rPr>
          <w:rFonts w:asciiTheme="majorHAnsi" w:eastAsia="Times New Roman" w:hAnsiTheme="majorHAnsi" w:cstheme="majorHAnsi"/>
          <w:color w:val="202124"/>
          <w:sz w:val="24"/>
          <w:szCs w:val="24"/>
        </w:rPr>
        <w:t>, it is more</w:t>
      </w:r>
      <w:r w:rsidRPr="003F00DA">
        <w:rPr>
          <w:rFonts w:asciiTheme="majorHAnsi" w:eastAsia="Times New Roman" w:hAnsiTheme="majorHAnsi" w:cstheme="majorHAnsi"/>
          <w:color w:val="202124"/>
          <w:sz w:val="24"/>
          <w:szCs w:val="24"/>
        </w:rPr>
        <w:t xml:space="preserve"> important to focus on the performance of HCRs through the MSE. </w:t>
      </w:r>
    </w:p>
    <w:p w14:paraId="1E9AB7C1"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The United States suggested that it would be good to discuss the merits of a second control </w:t>
      </w:r>
      <w:r w:rsidRPr="003F00DA">
        <w:rPr>
          <w:rFonts w:asciiTheme="majorHAnsi" w:eastAsia="Times New Roman" w:hAnsiTheme="majorHAnsi" w:cstheme="majorHAnsi"/>
          <w:sz w:val="24"/>
          <w:szCs w:val="24"/>
        </w:rPr>
        <w:t>point</w:t>
      </w:r>
      <w:r w:rsidRPr="003F00DA">
        <w:rPr>
          <w:rFonts w:asciiTheme="majorHAnsi" w:eastAsia="Times New Roman" w:hAnsiTheme="majorHAnsi" w:cstheme="majorHAnsi"/>
          <w:color w:val="202124"/>
          <w:sz w:val="24"/>
          <w:szCs w:val="24"/>
        </w:rPr>
        <w:t xml:space="preserve"> as some members seem hesitant on including it. The United States stated that a second control point builds in safety, and only sees positive benefits, but asked other members what concerns they have.  </w:t>
      </w:r>
    </w:p>
    <w:p w14:paraId="1E9AB7C2" w14:textId="068BD96A"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lastRenderedPageBreak/>
        <w:t xml:space="preserve">The ISC </w:t>
      </w:r>
      <w:r w:rsidR="002923F7">
        <w:rPr>
          <w:rFonts w:asciiTheme="majorHAnsi" w:eastAsia="Times New Roman" w:hAnsiTheme="majorHAnsi" w:cstheme="majorHAnsi"/>
          <w:color w:val="202124"/>
          <w:sz w:val="24"/>
          <w:szCs w:val="24"/>
        </w:rPr>
        <w:t xml:space="preserve">PBFWG </w:t>
      </w:r>
      <w:r w:rsidRPr="003F00DA">
        <w:rPr>
          <w:rFonts w:asciiTheme="majorHAnsi" w:eastAsia="Times New Roman" w:hAnsiTheme="majorHAnsi" w:cstheme="majorHAnsi"/>
          <w:color w:val="202124"/>
          <w:sz w:val="24"/>
          <w:szCs w:val="24"/>
        </w:rPr>
        <w:t xml:space="preserve">Chair noted that a second control point results in a steeper slope which means reducing fishing mortality more quickly than in HCRs with one control point. Steeper reductions may result in greater catch variability, but could be safer because the reduced catch may </w:t>
      </w:r>
      <w:r w:rsidRPr="003F00DA">
        <w:rPr>
          <w:rFonts w:asciiTheme="majorHAnsi" w:eastAsia="Times New Roman" w:hAnsiTheme="majorHAnsi" w:cstheme="majorHAnsi"/>
          <w:sz w:val="24"/>
          <w:szCs w:val="24"/>
        </w:rPr>
        <w:t>allow</w:t>
      </w:r>
      <w:r w:rsidRPr="003F00DA">
        <w:rPr>
          <w:rFonts w:asciiTheme="majorHAnsi" w:eastAsia="Times New Roman" w:hAnsiTheme="majorHAnsi" w:cstheme="majorHAnsi"/>
          <w:color w:val="202124"/>
          <w:sz w:val="24"/>
          <w:szCs w:val="24"/>
        </w:rPr>
        <w:t xml:space="preserve"> the stock to recover quickly so it’s a tradeoff between safety and stability. He also noted that one of the downsides of a 25% </w:t>
      </w:r>
      <w:r w:rsidR="002923F7">
        <w:rPr>
          <w:rFonts w:asciiTheme="majorHAnsi" w:eastAsia="Times New Roman" w:hAnsiTheme="majorHAnsi" w:cstheme="majorHAnsi"/>
          <w:color w:val="202124"/>
          <w:sz w:val="24"/>
          <w:szCs w:val="24"/>
        </w:rPr>
        <w:t>TAC change</w:t>
      </w:r>
      <w:r w:rsidRPr="003F00DA">
        <w:rPr>
          <w:rFonts w:asciiTheme="majorHAnsi" w:eastAsia="Times New Roman" w:hAnsiTheme="majorHAnsi" w:cstheme="majorHAnsi"/>
          <w:color w:val="202124"/>
          <w:sz w:val="24"/>
          <w:szCs w:val="24"/>
        </w:rPr>
        <w:t xml:space="preserve"> limitation is that if </w:t>
      </w:r>
      <w:r w:rsidR="002923F7">
        <w:rPr>
          <w:rFonts w:asciiTheme="majorHAnsi" w:eastAsia="Times New Roman" w:hAnsiTheme="majorHAnsi" w:cstheme="majorHAnsi"/>
          <w:color w:val="202124"/>
          <w:sz w:val="24"/>
          <w:szCs w:val="24"/>
        </w:rPr>
        <w:t>biomass</w:t>
      </w:r>
      <w:r w:rsidRPr="003F00DA">
        <w:rPr>
          <w:rFonts w:asciiTheme="majorHAnsi" w:eastAsia="Times New Roman" w:hAnsiTheme="majorHAnsi" w:cstheme="majorHAnsi"/>
          <w:color w:val="202124"/>
          <w:sz w:val="24"/>
          <w:szCs w:val="24"/>
        </w:rPr>
        <w:t xml:space="preserve"> fall</w:t>
      </w:r>
      <w:r w:rsidR="002923F7">
        <w:rPr>
          <w:rFonts w:asciiTheme="majorHAnsi" w:eastAsia="Times New Roman" w:hAnsiTheme="majorHAnsi" w:cstheme="majorHAnsi"/>
          <w:color w:val="202124"/>
          <w:sz w:val="24"/>
          <w:szCs w:val="24"/>
        </w:rPr>
        <w:t>s</w:t>
      </w:r>
      <w:r w:rsidRPr="003F00DA">
        <w:rPr>
          <w:rFonts w:asciiTheme="majorHAnsi" w:eastAsia="Times New Roman" w:hAnsiTheme="majorHAnsi" w:cstheme="majorHAnsi"/>
          <w:color w:val="202124"/>
          <w:sz w:val="24"/>
          <w:szCs w:val="24"/>
        </w:rPr>
        <w:t xml:space="preserve"> below the LRP, the stock may quickly </w:t>
      </w:r>
      <w:r w:rsidR="002923F7">
        <w:rPr>
          <w:rFonts w:asciiTheme="majorHAnsi" w:eastAsia="Times New Roman" w:hAnsiTheme="majorHAnsi" w:cstheme="majorHAnsi"/>
          <w:color w:val="202124"/>
          <w:sz w:val="24"/>
          <w:szCs w:val="24"/>
        </w:rPr>
        <w:t>recover as 25% restriction is not applied</w:t>
      </w:r>
      <w:r w:rsidRPr="003F00DA">
        <w:rPr>
          <w:rFonts w:asciiTheme="majorHAnsi" w:eastAsia="Times New Roman" w:hAnsiTheme="majorHAnsi" w:cstheme="majorHAnsi"/>
          <w:color w:val="202124"/>
          <w:sz w:val="24"/>
          <w:szCs w:val="24"/>
        </w:rPr>
        <w:t xml:space="preserve">, but </w:t>
      </w:r>
      <w:r w:rsidR="002923F7">
        <w:rPr>
          <w:rFonts w:asciiTheme="majorHAnsi" w:eastAsia="Times New Roman" w:hAnsiTheme="majorHAnsi" w:cstheme="majorHAnsi"/>
          <w:color w:val="202124"/>
          <w:sz w:val="24"/>
          <w:szCs w:val="24"/>
        </w:rPr>
        <w:t xml:space="preserve">then </w:t>
      </w:r>
      <w:r w:rsidRPr="003F00DA">
        <w:rPr>
          <w:rFonts w:asciiTheme="majorHAnsi" w:eastAsia="Times New Roman" w:hAnsiTheme="majorHAnsi" w:cstheme="majorHAnsi"/>
          <w:color w:val="202124"/>
          <w:sz w:val="24"/>
          <w:szCs w:val="24"/>
        </w:rPr>
        <w:t xml:space="preserve">the stability clause </w:t>
      </w:r>
      <w:r w:rsidR="002923F7">
        <w:rPr>
          <w:rFonts w:asciiTheme="majorHAnsi" w:eastAsia="Times New Roman" w:hAnsiTheme="majorHAnsi" w:cstheme="majorHAnsi"/>
          <w:color w:val="202124"/>
          <w:sz w:val="24"/>
          <w:szCs w:val="24"/>
        </w:rPr>
        <w:t xml:space="preserve">kicks in and </w:t>
      </w:r>
      <w:r w:rsidRPr="003F00DA">
        <w:rPr>
          <w:rFonts w:asciiTheme="majorHAnsi" w:eastAsia="Times New Roman" w:hAnsiTheme="majorHAnsi" w:cstheme="majorHAnsi"/>
          <w:color w:val="202124"/>
          <w:sz w:val="24"/>
          <w:szCs w:val="24"/>
        </w:rPr>
        <w:t>could slow increases to catch limits.</w:t>
      </w:r>
      <w:r w:rsidR="002923F7">
        <w:rPr>
          <w:rFonts w:asciiTheme="majorHAnsi" w:eastAsia="Times New Roman" w:hAnsiTheme="majorHAnsi" w:cstheme="majorHAnsi"/>
          <w:color w:val="202124"/>
          <w:sz w:val="24"/>
          <w:szCs w:val="24"/>
        </w:rPr>
        <w:t xml:space="preserve"> He also emphasized that LRP can be set independent of the shape of HCRs.</w:t>
      </w:r>
    </w:p>
    <w:p w14:paraId="1E9AB7C3"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Japan stated that they did not feel the second control point is needed as some HCRs that are under discussion in the IATTC for bigeye tuna do not contain a second control point. They felt that evaluating performance was most important, and asked the IATTC Secretariat if they had any advice on including a second control point.</w:t>
      </w:r>
    </w:p>
    <w:p w14:paraId="1E9AB7C4" w14:textId="7A9B8F66"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IATTC </w:t>
      </w:r>
      <w:r w:rsidR="002923F7">
        <w:rPr>
          <w:rFonts w:asciiTheme="majorHAnsi" w:eastAsia="Times New Roman" w:hAnsiTheme="majorHAnsi" w:cstheme="majorHAnsi"/>
          <w:color w:val="202124"/>
          <w:sz w:val="24"/>
          <w:szCs w:val="24"/>
        </w:rPr>
        <w:t xml:space="preserve">scientific staff </w:t>
      </w:r>
      <w:r w:rsidRPr="003F00DA">
        <w:rPr>
          <w:rFonts w:asciiTheme="majorHAnsi" w:eastAsia="Times New Roman" w:hAnsiTheme="majorHAnsi" w:cstheme="majorHAnsi"/>
          <w:color w:val="202124"/>
          <w:sz w:val="24"/>
          <w:szCs w:val="24"/>
        </w:rPr>
        <w:t xml:space="preserve">stated that it is currently conducting an MSE for bigeye tuna, and investigating different HCRs. They noted that an HCR was developed last year with only one control point of </w:t>
      </w:r>
      <w:r w:rsidRPr="003F00DA">
        <w:rPr>
          <w:rFonts w:asciiTheme="majorHAnsi" w:eastAsia="Times New Roman" w:hAnsiTheme="majorHAnsi" w:cstheme="majorHAnsi"/>
          <w:sz w:val="24"/>
          <w:szCs w:val="24"/>
        </w:rPr>
        <w:t>20</w:t>
      </w:r>
      <w:r w:rsidRPr="003F00DA">
        <w:rPr>
          <w:rFonts w:asciiTheme="majorHAnsi" w:eastAsia="Times New Roman" w:hAnsiTheme="majorHAnsi" w:cstheme="majorHAnsi"/>
          <w:color w:val="202124"/>
          <w:sz w:val="24"/>
          <w:szCs w:val="24"/>
        </w:rPr>
        <w:t xml:space="preserve">% and agreed with the ISC Chair that the main impact is the slope of the HCR. The IATTC </w:t>
      </w:r>
      <w:r w:rsidR="002923F7">
        <w:rPr>
          <w:rFonts w:asciiTheme="majorHAnsi" w:eastAsia="Times New Roman" w:hAnsiTheme="majorHAnsi" w:cstheme="majorHAnsi"/>
          <w:color w:val="202124"/>
          <w:sz w:val="24"/>
          <w:szCs w:val="24"/>
        </w:rPr>
        <w:t xml:space="preserve">scientific staff explained his view that the </w:t>
      </w:r>
      <w:r w:rsidRPr="003F00DA">
        <w:rPr>
          <w:rFonts w:asciiTheme="majorHAnsi" w:eastAsia="Times New Roman" w:hAnsiTheme="majorHAnsi" w:cstheme="majorHAnsi"/>
          <w:color w:val="202124"/>
          <w:sz w:val="24"/>
          <w:szCs w:val="24"/>
        </w:rPr>
        <w:t>primary argument for not including the bigeye tuna LRP within the HCR as a control point is due to how the LRP is defined, and suggested that it might be better to use the LRP as an exceptional circumstance where if stock biomass drops below the LRP, a rebuilding plan should be implemented.</w:t>
      </w:r>
    </w:p>
    <w:p w14:paraId="1E9AB7C5" w14:textId="3CD93F2E"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The United States asked for clarification on the timeline for exceptional circumstances, and the IATTC</w:t>
      </w:r>
      <w:r w:rsidR="002923F7">
        <w:rPr>
          <w:rFonts w:asciiTheme="majorHAnsi" w:eastAsia="Times New Roman" w:hAnsiTheme="majorHAnsi" w:cstheme="majorHAnsi"/>
          <w:color w:val="202124"/>
          <w:sz w:val="24"/>
          <w:szCs w:val="24"/>
        </w:rPr>
        <w:t xml:space="preserve"> scientific staff</w:t>
      </w:r>
      <w:r w:rsidRPr="003F00DA">
        <w:rPr>
          <w:rFonts w:asciiTheme="majorHAnsi" w:eastAsia="Times New Roman" w:hAnsiTheme="majorHAnsi" w:cstheme="majorHAnsi"/>
          <w:color w:val="202124"/>
          <w:sz w:val="24"/>
          <w:szCs w:val="24"/>
        </w:rPr>
        <w:t xml:space="preserve"> explained that the timeline would be based on how often stock </w:t>
      </w:r>
      <w:r w:rsidRPr="003F00DA">
        <w:rPr>
          <w:rFonts w:asciiTheme="majorHAnsi" w:eastAsia="Times New Roman" w:hAnsiTheme="majorHAnsi" w:cstheme="majorHAnsi"/>
          <w:sz w:val="24"/>
          <w:szCs w:val="24"/>
        </w:rPr>
        <w:t>assessments</w:t>
      </w:r>
      <w:r w:rsidRPr="003F00DA">
        <w:rPr>
          <w:rFonts w:asciiTheme="majorHAnsi" w:eastAsia="Times New Roman" w:hAnsiTheme="majorHAnsi" w:cstheme="majorHAnsi"/>
          <w:color w:val="202124"/>
          <w:sz w:val="24"/>
          <w:szCs w:val="24"/>
        </w:rPr>
        <w:t xml:space="preserve"> are completed. IATTC</w:t>
      </w:r>
      <w:r w:rsidR="002923F7">
        <w:rPr>
          <w:rFonts w:asciiTheme="majorHAnsi" w:eastAsia="Times New Roman" w:hAnsiTheme="majorHAnsi" w:cstheme="majorHAnsi"/>
          <w:color w:val="202124"/>
          <w:sz w:val="24"/>
          <w:szCs w:val="24"/>
        </w:rPr>
        <w:t xml:space="preserve"> scientific staff</w:t>
      </w:r>
      <w:r w:rsidRPr="003F00DA">
        <w:rPr>
          <w:rFonts w:asciiTheme="majorHAnsi" w:eastAsia="Times New Roman" w:hAnsiTheme="majorHAnsi" w:cstheme="majorHAnsi"/>
          <w:color w:val="202124"/>
          <w:sz w:val="24"/>
          <w:szCs w:val="24"/>
        </w:rPr>
        <w:t xml:space="preserve"> also noted that the MSE is designed to avoid the LRP, and if stock biomass were to drop below the LRP that suggests that the system had changed drastically from the parameters used in the MSE.</w:t>
      </w:r>
    </w:p>
    <w:p w14:paraId="1E9AB7C6" w14:textId="75599CC0"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Following a </w:t>
      </w:r>
      <w:r w:rsidRPr="003F00DA">
        <w:rPr>
          <w:rFonts w:asciiTheme="majorHAnsi" w:eastAsia="Times New Roman" w:hAnsiTheme="majorHAnsi" w:cstheme="majorHAnsi"/>
          <w:sz w:val="24"/>
          <w:szCs w:val="24"/>
        </w:rPr>
        <w:t>request</w:t>
      </w:r>
      <w:r w:rsidRPr="003F00DA">
        <w:rPr>
          <w:rFonts w:asciiTheme="majorHAnsi" w:eastAsia="Times New Roman" w:hAnsiTheme="majorHAnsi" w:cstheme="majorHAnsi"/>
          <w:color w:val="202124"/>
          <w:sz w:val="24"/>
          <w:szCs w:val="24"/>
        </w:rPr>
        <w:t xml:space="preserve"> from the Co-Chairs, the ISC </w:t>
      </w:r>
      <w:r w:rsidR="00753128">
        <w:rPr>
          <w:rFonts w:asciiTheme="majorHAnsi" w:eastAsia="Times New Roman" w:hAnsiTheme="majorHAnsi" w:cstheme="majorHAnsi"/>
          <w:color w:val="202124"/>
          <w:sz w:val="24"/>
          <w:szCs w:val="24"/>
        </w:rPr>
        <w:t xml:space="preserve">PBFWG </w:t>
      </w:r>
      <w:r w:rsidRPr="003F00DA">
        <w:rPr>
          <w:rFonts w:asciiTheme="majorHAnsi" w:eastAsia="Times New Roman" w:hAnsiTheme="majorHAnsi" w:cstheme="majorHAnsi"/>
          <w:color w:val="202124"/>
          <w:sz w:val="24"/>
          <w:szCs w:val="24"/>
        </w:rPr>
        <w:t>Chair reviewed figures from the MSE report and explained the pros and cons of different HCR shapes and control points.</w:t>
      </w:r>
    </w:p>
    <w:p w14:paraId="1E9AB7C7"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The </w:t>
      </w:r>
      <w:r w:rsidRPr="003F00DA">
        <w:rPr>
          <w:rFonts w:asciiTheme="majorHAnsi" w:eastAsia="Times New Roman" w:hAnsiTheme="majorHAnsi" w:cstheme="majorHAnsi"/>
          <w:sz w:val="24"/>
          <w:szCs w:val="24"/>
        </w:rPr>
        <w:t>United</w:t>
      </w:r>
      <w:r w:rsidRPr="003F00DA">
        <w:rPr>
          <w:rFonts w:asciiTheme="majorHAnsi" w:eastAsia="Times New Roman" w:hAnsiTheme="majorHAnsi" w:cstheme="majorHAnsi"/>
          <w:color w:val="202124"/>
          <w:sz w:val="24"/>
          <w:szCs w:val="24"/>
        </w:rPr>
        <w:t xml:space="preserve"> States asked about the figure that showed the risk of breaching the second rebuilding target, and noted a robustness figure shown earlier in the day that might have evaluated performance under scenarios with low recruitment.</w:t>
      </w:r>
    </w:p>
    <w:p w14:paraId="1E9AB7C8" w14:textId="5D1204BA"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The ISC </w:t>
      </w:r>
      <w:r w:rsidR="00753128">
        <w:rPr>
          <w:rFonts w:asciiTheme="majorHAnsi" w:eastAsia="Times New Roman" w:hAnsiTheme="majorHAnsi" w:cstheme="majorHAnsi"/>
          <w:color w:val="202124"/>
          <w:sz w:val="24"/>
          <w:szCs w:val="24"/>
        </w:rPr>
        <w:t xml:space="preserve">PBFWG </w:t>
      </w:r>
      <w:r w:rsidRPr="003F00DA">
        <w:rPr>
          <w:rFonts w:asciiTheme="majorHAnsi" w:eastAsia="Times New Roman" w:hAnsiTheme="majorHAnsi" w:cstheme="majorHAnsi"/>
          <w:color w:val="202124"/>
          <w:sz w:val="24"/>
          <w:szCs w:val="24"/>
        </w:rPr>
        <w:t xml:space="preserve">Chair responded that the </w:t>
      </w:r>
      <w:r w:rsidR="00753128">
        <w:rPr>
          <w:rFonts w:asciiTheme="majorHAnsi" w:eastAsia="Times New Roman" w:hAnsiTheme="majorHAnsi" w:cstheme="majorHAnsi"/>
          <w:color w:val="202124"/>
          <w:sz w:val="24"/>
          <w:szCs w:val="24"/>
        </w:rPr>
        <w:t xml:space="preserve">presented </w:t>
      </w:r>
      <w:r w:rsidRPr="003F00DA">
        <w:rPr>
          <w:rFonts w:asciiTheme="majorHAnsi" w:eastAsia="Times New Roman" w:hAnsiTheme="majorHAnsi" w:cstheme="majorHAnsi"/>
          <w:color w:val="202124"/>
          <w:sz w:val="24"/>
          <w:szCs w:val="24"/>
        </w:rPr>
        <w:t>results were</w:t>
      </w:r>
      <w:r w:rsidR="00753128">
        <w:rPr>
          <w:rFonts w:asciiTheme="majorHAnsi" w:eastAsia="Times New Roman" w:hAnsiTheme="majorHAnsi" w:cstheme="majorHAnsi"/>
          <w:color w:val="202124"/>
          <w:sz w:val="24"/>
          <w:szCs w:val="24"/>
        </w:rPr>
        <w:t xml:space="preserve"> from reference OMs, which were</w:t>
      </w:r>
      <w:r w:rsidRPr="003F00DA">
        <w:rPr>
          <w:rFonts w:asciiTheme="majorHAnsi" w:eastAsia="Times New Roman" w:hAnsiTheme="majorHAnsi" w:cstheme="majorHAnsi"/>
          <w:color w:val="202124"/>
          <w:sz w:val="24"/>
          <w:szCs w:val="24"/>
        </w:rPr>
        <w:t xml:space="preserve"> the most likely scenarios, and the </w:t>
      </w:r>
      <w:r w:rsidRPr="003F00DA">
        <w:rPr>
          <w:rFonts w:asciiTheme="majorHAnsi" w:eastAsia="Times New Roman" w:hAnsiTheme="majorHAnsi" w:cstheme="majorHAnsi"/>
          <w:sz w:val="24"/>
          <w:szCs w:val="24"/>
        </w:rPr>
        <w:t>robustness</w:t>
      </w:r>
      <w:r w:rsidRPr="003F00DA">
        <w:rPr>
          <w:rFonts w:asciiTheme="majorHAnsi" w:eastAsia="Times New Roman" w:hAnsiTheme="majorHAnsi" w:cstheme="majorHAnsi"/>
          <w:color w:val="202124"/>
          <w:sz w:val="24"/>
          <w:szCs w:val="24"/>
        </w:rPr>
        <w:t xml:space="preserve"> tests are additional considerations in less likely scenarios (but are still possible).</w:t>
      </w:r>
    </w:p>
    <w:p w14:paraId="1E9AB7C9" w14:textId="174C3E1F"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The United States reiterated their points about concerns with HCRs without a second control point, which would be less protective under a scenario of low recruitment. The United </w:t>
      </w:r>
      <w:r w:rsidRPr="003F00DA">
        <w:rPr>
          <w:rFonts w:asciiTheme="majorHAnsi" w:eastAsia="Times New Roman" w:hAnsiTheme="majorHAnsi" w:cstheme="majorHAnsi"/>
          <w:color w:val="202124"/>
          <w:sz w:val="24"/>
          <w:szCs w:val="24"/>
        </w:rPr>
        <w:lastRenderedPageBreak/>
        <w:t>States also brought up small fish catch in the WCPO, noting that it was the increase in this catch that contributed to the stock crash. The U.S. emphasized the importance of discussing protections for small fish, and age-0 fish in particular.</w:t>
      </w:r>
    </w:p>
    <w:p w14:paraId="1E9AB7CA" w14:textId="62F7E9FA"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The ISC </w:t>
      </w:r>
      <w:r w:rsidR="00753128">
        <w:rPr>
          <w:rFonts w:asciiTheme="majorHAnsi" w:eastAsia="Times New Roman" w:hAnsiTheme="majorHAnsi" w:cstheme="majorHAnsi"/>
          <w:color w:val="202124"/>
          <w:sz w:val="24"/>
          <w:szCs w:val="24"/>
        </w:rPr>
        <w:t xml:space="preserve">PBFWG </w:t>
      </w:r>
      <w:r w:rsidRPr="003F00DA">
        <w:rPr>
          <w:rFonts w:asciiTheme="majorHAnsi" w:eastAsia="Times New Roman" w:hAnsiTheme="majorHAnsi" w:cstheme="majorHAnsi"/>
          <w:color w:val="202124"/>
          <w:sz w:val="24"/>
          <w:szCs w:val="24"/>
        </w:rPr>
        <w:t xml:space="preserve">Chair agreed that protecting small fish will benefit PBF but that not increasing impacts to small fish cannot be incorporated into the </w:t>
      </w:r>
      <w:r w:rsidR="00753128">
        <w:rPr>
          <w:rFonts w:asciiTheme="majorHAnsi" w:eastAsia="Times New Roman" w:hAnsiTheme="majorHAnsi" w:cstheme="majorHAnsi"/>
          <w:color w:val="202124"/>
          <w:sz w:val="24"/>
          <w:szCs w:val="24"/>
        </w:rPr>
        <w:t xml:space="preserve">current </w:t>
      </w:r>
      <w:r w:rsidRPr="003F00DA">
        <w:rPr>
          <w:rFonts w:asciiTheme="majorHAnsi" w:eastAsia="Times New Roman" w:hAnsiTheme="majorHAnsi" w:cstheme="majorHAnsi"/>
          <w:color w:val="202124"/>
          <w:sz w:val="24"/>
          <w:szCs w:val="24"/>
        </w:rPr>
        <w:t xml:space="preserve">MSE evaluation. The U.S. clarified they were not asking to incorporate consideration of age-0 fish in the MSE but simply noting this is an </w:t>
      </w:r>
      <w:r w:rsidRPr="003F00DA">
        <w:rPr>
          <w:rFonts w:asciiTheme="majorHAnsi" w:eastAsia="Times New Roman" w:hAnsiTheme="majorHAnsi" w:cstheme="majorHAnsi"/>
          <w:sz w:val="24"/>
          <w:szCs w:val="24"/>
        </w:rPr>
        <w:t>important</w:t>
      </w:r>
      <w:r w:rsidRPr="003F00DA">
        <w:rPr>
          <w:rFonts w:asciiTheme="majorHAnsi" w:eastAsia="Times New Roman" w:hAnsiTheme="majorHAnsi" w:cstheme="majorHAnsi"/>
          <w:color w:val="202124"/>
          <w:sz w:val="24"/>
          <w:szCs w:val="24"/>
        </w:rPr>
        <w:t xml:space="preserve"> issue to be considered in the CMM. Co-Chair Miyahara agreed that not increasing Age-0 fish catch was part of the package agreed to in 2024 and that commitment should be reviewed at JWG-11in July.</w:t>
      </w:r>
    </w:p>
    <w:p w14:paraId="1E9AB7CB" w14:textId="5BD7F6EF"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Japan echoed their commitment not to increase Age-0 fish catch </w:t>
      </w:r>
      <w:r w:rsidR="00753128">
        <w:rPr>
          <w:rFonts w:asciiTheme="majorHAnsi" w:eastAsia="Times New Roman" w:hAnsiTheme="majorHAnsi" w:cstheme="majorHAnsi"/>
          <w:color w:val="202124"/>
          <w:sz w:val="24"/>
          <w:szCs w:val="24"/>
        </w:rPr>
        <w:t xml:space="preserve">from 50% of 2002-2004 levels as provided in paragraph 10 of CMM 2024-01 </w:t>
      </w:r>
      <w:r w:rsidRPr="003F00DA">
        <w:rPr>
          <w:rFonts w:asciiTheme="majorHAnsi" w:eastAsia="Times New Roman" w:hAnsiTheme="majorHAnsi" w:cstheme="majorHAnsi"/>
          <w:color w:val="202124"/>
          <w:sz w:val="24"/>
          <w:szCs w:val="24"/>
        </w:rPr>
        <w:t>and noted they have been making that effort. They requested that ISC present the figure on age-specific fishing mortality. Co-chairs Madeira and Miyahara requested that this figure and the review of robustness test results as requested by the U.S. be presented the following day.</w:t>
      </w:r>
    </w:p>
    <w:p w14:paraId="1E9AB7CC" w14:textId="3074C325"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The U.S. asked Japan about the methodology their fleets use to reduce their small fish catch. Japan responded that they </w:t>
      </w:r>
      <w:r w:rsidR="00753128">
        <w:rPr>
          <w:rFonts w:asciiTheme="majorHAnsi" w:eastAsia="Times New Roman" w:hAnsiTheme="majorHAnsi" w:cstheme="majorHAnsi"/>
          <w:color w:val="202124"/>
          <w:sz w:val="24"/>
          <w:szCs w:val="24"/>
        </w:rPr>
        <w:t xml:space="preserve">have </w:t>
      </w:r>
      <w:r w:rsidRPr="003F00DA">
        <w:rPr>
          <w:rFonts w:asciiTheme="majorHAnsi" w:eastAsia="Times New Roman" w:hAnsiTheme="majorHAnsi" w:cstheme="majorHAnsi"/>
          <w:color w:val="202124"/>
          <w:sz w:val="24"/>
          <w:szCs w:val="24"/>
        </w:rPr>
        <w:t>cut the catch limit for small fish</w:t>
      </w:r>
      <w:r w:rsidR="00753128">
        <w:rPr>
          <w:rFonts w:asciiTheme="majorHAnsi" w:eastAsia="Times New Roman" w:hAnsiTheme="majorHAnsi" w:cstheme="majorHAnsi"/>
          <w:color w:val="202124"/>
          <w:sz w:val="24"/>
          <w:szCs w:val="24"/>
        </w:rPr>
        <w:t xml:space="preserve"> in accordance with WCPFC management measures</w:t>
      </w:r>
      <w:r w:rsidRPr="003F00DA">
        <w:rPr>
          <w:rFonts w:asciiTheme="majorHAnsi" w:eastAsia="Times New Roman" w:hAnsiTheme="majorHAnsi" w:cstheme="majorHAnsi"/>
          <w:color w:val="202124"/>
          <w:sz w:val="24"/>
          <w:szCs w:val="24"/>
        </w:rPr>
        <w:t>. Once the fleet uses their limit, they are no longer permitted to catch small fish. They also encourage their fishermen to convert their small fish limit into a large fish limit using the conversion factor.</w:t>
      </w:r>
    </w:p>
    <w:p w14:paraId="1E9AB7CD" w14:textId="77AD6358"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The U.S. asked Japan how they count discards. Japan responded that dead discards are </w:t>
      </w:r>
      <w:r w:rsidRPr="003F00DA">
        <w:rPr>
          <w:rFonts w:asciiTheme="majorHAnsi" w:eastAsia="Times New Roman" w:hAnsiTheme="majorHAnsi" w:cstheme="majorHAnsi"/>
          <w:sz w:val="24"/>
          <w:szCs w:val="24"/>
        </w:rPr>
        <w:t>counted</w:t>
      </w:r>
      <w:r w:rsidRPr="003F00DA">
        <w:rPr>
          <w:rFonts w:asciiTheme="majorHAnsi" w:eastAsia="Times New Roman" w:hAnsiTheme="majorHAnsi" w:cstheme="majorHAnsi"/>
          <w:color w:val="202124"/>
          <w:sz w:val="24"/>
          <w:szCs w:val="24"/>
        </w:rPr>
        <w:t xml:space="preserve"> against their catch limit, so that is why there </w:t>
      </w:r>
      <w:r w:rsidR="00753128">
        <w:rPr>
          <w:rFonts w:asciiTheme="majorHAnsi" w:eastAsia="Times New Roman" w:hAnsiTheme="majorHAnsi" w:cstheme="majorHAnsi"/>
          <w:color w:val="202124"/>
          <w:sz w:val="24"/>
          <w:szCs w:val="24"/>
        </w:rPr>
        <w:t xml:space="preserve">are </w:t>
      </w:r>
      <w:r w:rsidRPr="003F00DA">
        <w:rPr>
          <w:rFonts w:asciiTheme="majorHAnsi" w:eastAsia="Times New Roman" w:hAnsiTheme="majorHAnsi" w:cstheme="majorHAnsi"/>
          <w:color w:val="202124"/>
          <w:sz w:val="24"/>
          <w:szCs w:val="24"/>
        </w:rPr>
        <w:t>overshooting</w:t>
      </w:r>
      <w:r w:rsidR="00753128">
        <w:rPr>
          <w:rFonts w:asciiTheme="majorHAnsi" w:eastAsia="Times New Roman" w:hAnsiTheme="majorHAnsi" w:cstheme="majorHAnsi"/>
          <w:color w:val="202124"/>
          <w:sz w:val="24"/>
          <w:szCs w:val="24"/>
        </w:rPr>
        <w:t>s</w:t>
      </w:r>
      <w:r w:rsidRPr="003F00DA">
        <w:rPr>
          <w:rFonts w:asciiTheme="majorHAnsi" w:eastAsia="Times New Roman" w:hAnsiTheme="majorHAnsi" w:cstheme="majorHAnsi"/>
          <w:color w:val="202124"/>
          <w:sz w:val="24"/>
          <w:szCs w:val="24"/>
        </w:rPr>
        <w:t xml:space="preserve"> of the catch limit </w:t>
      </w:r>
      <w:r w:rsidR="00753128">
        <w:rPr>
          <w:rFonts w:asciiTheme="majorHAnsi" w:eastAsia="Times New Roman" w:hAnsiTheme="majorHAnsi" w:cstheme="majorHAnsi"/>
          <w:color w:val="202124"/>
          <w:sz w:val="24"/>
          <w:szCs w:val="24"/>
        </w:rPr>
        <w:t>in some management sectors</w:t>
      </w:r>
      <w:r w:rsidRPr="003F00DA">
        <w:rPr>
          <w:rFonts w:asciiTheme="majorHAnsi" w:eastAsia="Times New Roman" w:hAnsiTheme="majorHAnsi" w:cstheme="majorHAnsi"/>
          <w:color w:val="202124"/>
          <w:sz w:val="24"/>
          <w:szCs w:val="24"/>
        </w:rPr>
        <w:t>.</w:t>
      </w:r>
    </w:p>
    <w:p w14:paraId="1E9AB7CE" w14:textId="2D5AEFDF"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Co-chair Miyahara noted that Japan made an effort to change purse seine methods so they </w:t>
      </w:r>
      <w:r w:rsidRPr="003F00DA">
        <w:rPr>
          <w:rFonts w:asciiTheme="majorHAnsi" w:eastAsia="Times New Roman" w:hAnsiTheme="majorHAnsi" w:cstheme="majorHAnsi"/>
          <w:sz w:val="24"/>
          <w:szCs w:val="24"/>
        </w:rPr>
        <w:t>would</w:t>
      </w:r>
      <w:r w:rsidRPr="003F00DA">
        <w:rPr>
          <w:rFonts w:asciiTheme="majorHAnsi" w:eastAsia="Times New Roman" w:hAnsiTheme="majorHAnsi" w:cstheme="majorHAnsi"/>
          <w:color w:val="202124"/>
          <w:sz w:val="24"/>
          <w:szCs w:val="24"/>
        </w:rPr>
        <w:t xml:space="preserve"> catch larger fish. Japan responded that large purse seiners </w:t>
      </w:r>
      <w:r w:rsidR="00753128">
        <w:rPr>
          <w:rFonts w:asciiTheme="majorHAnsi" w:eastAsia="Times New Roman" w:hAnsiTheme="majorHAnsi" w:cstheme="majorHAnsi"/>
          <w:color w:val="202124"/>
          <w:sz w:val="24"/>
          <w:szCs w:val="24"/>
        </w:rPr>
        <w:t xml:space="preserve">are prohibited </w:t>
      </w:r>
      <w:r w:rsidRPr="003F00DA">
        <w:rPr>
          <w:rFonts w:asciiTheme="majorHAnsi" w:eastAsia="Times New Roman" w:hAnsiTheme="majorHAnsi" w:cstheme="majorHAnsi"/>
          <w:color w:val="202124"/>
          <w:sz w:val="24"/>
          <w:szCs w:val="24"/>
        </w:rPr>
        <w:t xml:space="preserve">from landing </w:t>
      </w:r>
      <w:r w:rsidR="00753128">
        <w:rPr>
          <w:rFonts w:asciiTheme="majorHAnsi" w:eastAsia="Times New Roman" w:hAnsiTheme="majorHAnsi" w:cstheme="majorHAnsi"/>
          <w:color w:val="202124"/>
          <w:sz w:val="24"/>
          <w:szCs w:val="24"/>
        </w:rPr>
        <w:t>Age-0</w:t>
      </w:r>
      <w:r w:rsidRPr="003F00DA">
        <w:rPr>
          <w:rFonts w:asciiTheme="majorHAnsi" w:eastAsia="Times New Roman" w:hAnsiTheme="majorHAnsi" w:cstheme="majorHAnsi"/>
          <w:color w:val="202124"/>
          <w:sz w:val="24"/>
          <w:szCs w:val="24"/>
        </w:rPr>
        <w:t xml:space="preserve"> fish</w:t>
      </w:r>
      <w:r w:rsidR="00753128">
        <w:rPr>
          <w:rFonts w:asciiTheme="majorHAnsi" w:eastAsia="Times New Roman" w:hAnsiTheme="majorHAnsi" w:cstheme="majorHAnsi"/>
          <w:color w:val="202124"/>
          <w:sz w:val="24"/>
          <w:szCs w:val="24"/>
        </w:rPr>
        <w:t xml:space="preserve"> at port in line with its commitment at JWG09</w:t>
      </w:r>
      <w:r w:rsidRPr="003F00DA">
        <w:rPr>
          <w:rFonts w:asciiTheme="majorHAnsi" w:eastAsia="Times New Roman" w:hAnsiTheme="majorHAnsi" w:cstheme="majorHAnsi"/>
          <w:color w:val="202124"/>
          <w:sz w:val="24"/>
          <w:szCs w:val="24"/>
        </w:rPr>
        <w:t>. Sometimes they catch small PBF</w:t>
      </w:r>
      <w:r w:rsidR="00753128">
        <w:rPr>
          <w:rFonts w:asciiTheme="majorHAnsi" w:eastAsia="Times New Roman" w:hAnsiTheme="majorHAnsi" w:cstheme="majorHAnsi"/>
          <w:color w:val="202124"/>
          <w:sz w:val="24"/>
          <w:szCs w:val="24"/>
        </w:rPr>
        <w:t xml:space="preserve"> for farming operations</w:t>
      </w:r>
      <w:r w:rsidRPr="003F00DA">
        <w:rPr>
          <w:rFonts w:asciiTheme="majorHAnsi" w:eastAsia="Times New Roman" w:hAnsiTheme="majorHAnsi" w:cstheme="majorHAnsi"/>
          <w:color w:val="202124"/>
          <w:sz w:val="24"/>
          <w:szCs w:val="24"/>
        </w:rPr>
        <w:t>, but they are encouraged to catch larger fish for farming operations which has reduced Age-0 catch from purse seine vessels.</w:t>
      </w:r>
    </w:p>
    <w:p w14:paraId="1E9AB7CF" w14:textId="14B11861"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The U.S. asked Japan exactly how much small fish catch</w:t>
      </w:r>
      <w:r w:rsidR="00753128">
        <w:rPr>
          <w:rFonts w:asciiTheme="majorHAnsi" w:eastAsia="Times New Roman" w:hAnsiTheme="majorHAnsi" w:cstheme="majorHAnsi"/>
          <w:color w:val="202124"/>
          <w:sz w:val="24"/>
          <w:szCs w:val="24"/>
        </w:rPr>
        <w:t xml:space="preserve"> limit</w:t>
      </w:r>
      <w:r w:rsidRPr="003F00DA">
        <w:rPr>
          <w:rFonts w:asciiTheme="majorHAnsi" w:eastAsia="Times New Roman" w:hAnsiTheme="majorHAnsi" w:cstheme="majorHAnsi"/>
          <w:color w:val="202124"/>
          <w:sz w:val="24"/>
          <w:szCs w:val="24"/>
        </w:rPr>
        <w:t xml:space="preserve"> was converted to large fish catch. Japan </w:t>
      </w:r>
      <w:r w:rsidRPr="003F00DA">
        <w:rPr>
          <w:rFonts w:asciiTheme="majorHAnsi" w:eastAsia="Times New Roman" w:hAnsiTheme="majorHAnsi" w:cstheme="majorHAnsi"/>
          <w:sz w:val="24"/>
          <w:szCs w:val="24"/>
        </w:rPr>
        <w:t>did</w:t>
      </w:r>
      <w:r w:rsidRPr="003F00DA">
        <w:rPr>
          <w:rFonts w:asciiTheme="majorHAnsi" w:eastAsia="Times New Roman" w:hAnsiTheme="majorHAnsi" w:cstheme="majorHAnsi"/>
          <w:color w:val="202124"/>
          <w:sz w:val="24"/>
          <w:szCs w:val="24"/>
        </w:rPr>
        <w:t xml:space="preserve"> not have the numbers immediately available but stated they would report back the next day.</w:t>
      </w:r>
    </w:p>
    <w:p w14:paraId="1E9AB7D0" w14:textId="6900F6F6"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The U.S. requested to see the figure in the 2024 stock assessment showing percentage of PBF </w:t>
      </w:r>
      <w:r w:rsidRPr="003F00DA">
        <w:rPr>
          <w:rFonts w:asciiTheme="majorHAnsi" w:eastAsia="Times New Roman" w:hAnsiTheme="majorHAnsi" w:cstheme="majorHAnsi"/>
          <w:sz w:val="24"/>
          <w:szCs w:val="24"/>
        </w:rPr>
        <w:t>catch</w:t>
      </w:r>
      <w:r w:rsidRPr="003F00DA">
        <w:rPr>
          <w:rFonts w:asciiTheme="majorHAnsi" w:eastAsia="Times New Roman" w:hAnsiTheme="majorHAnsi" w:cstheme="majorHAnsi"/>
          <w:color w:val="202124"/>
          <w:sz w:val="24"/>
          <w:szCs w:val="24"/>
        </w:rPr>
        <w:t xml:space="preserve"> by age. The co-chairs assured the U.S. this would be provided along with the other figures in the morning.</w:t>
      </w:r>
    </w:p>
    <w:p w14:paraId="1E9AB7D1"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lastRenderedPageBreak/>
        <w:t xml:space="preserve">The first day of </w:t>
      </w:r>
      <w:r w:rsidRPr="003F00DA">
        <w:rPr>
          <w:rFonts w:asciiTheme="majorHAnsi" w:eastAsia="Times New Roman" w:hAnsiTheme="majorHAnsi" w:cstheme="majorHAnsi"/>
          <w:sz w:val="24"/>
          <w:szCs w:val="24"/>
        </w:rPr>
        <w:t>the</w:t>
      </w:r>
      <w:r w:rsidRPr="003F00DA">
        <w:rPr>
          <w:rFonts w:asciiTheme="majorHAnsi" w:eastAsia="Times New Roman" w:hAnsiTheme="majorHAnsi" w:cstheme="majorHAnsi"/>
          <w:color w:val="202124"/>
          <w:sz w:val="24"/>
          <w:szCs w:val="24"/>
        </w:rPr>
        <w:t xml:space="preserve"> meeting adjourned at 4:30pm.</w:t>
      </w:r>
    </w:p>
    <w:p w14:paraId="1E9AB7D2" w14:textId="10093448"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The second day of the meeting began with a brief discussion by the co-chairs on logistics followed by a presentation from the ISC </w:t>
      </w:r>
      <w:r w:rsidR="00753128">
        <w:rPr>
          <w:rFonts w:asciiTheme="majorHAnsi" w:eastAsia="Times New Roman" w:hAnsiTheme="majorHAnsi" w:cstheme="majorHAnsi"/>
          <w:color w:val="202124"/>
          <w:sz w:val="24"/>
          <w:szCs w:val="24"/>
        </w:rPr>
        <w:t xml:space="preserve">PBFWG </w:t>
      </w:r>
      <w:r w:rsidRPr="003F00DA">
        <w:rPr>
          <w:rFonts w:asciiTheme="majorHAnsi" w:eastAsia="Times New Roman" w:hAnsiTheme="majorHAnsi" w:cstheme="majorHAnsi"/>
          <w:color w:val="202124"/>
          <w:sz w:val="24"/>
          <w:szCs w:val="24"/>
        </w:rPr>
        <w:t xml:space="preserve">Chair showing the figures requested by the various </w:t>
      </w:r>
      <w:r w:rsidRPr="003F00DA">
        <w:rPr>
          <w:rFonts w:asciiTheme="majorHAnsi" w:eastAsia="Times New Roman" w:hAnsiTheme="majorHAnsi" w:cstheme="majorHAnsi"/>
          <w:sz w:val="24"/>
          <w:szCs w:val="24"/>
        </w:rPr>
        <w:t>delegations</w:t>
      </w:r>
      <w:r w:rsidRPr="003F00DA">
        <w:rPr>
          <w:rFonts w:asciiTheme="majorHAnsi" w:eastAsia="Times New Roman" w:hAnsiTheme="majorHAnsi" w:cstheme="majorHAnsi"/>
          <w:color w:val="202124"/>
          <w:sz w:val="24"/>
          <w:szCs w:val="24"/>
        </w:rPr>
        <w:t xml:space="preserve"> the day prior. Dr. Tommasi also presented more details on the robustness tests, explaining that HCRs with higher TRPs perform better in terms of risk in scenarios with low recruitment.</w:t>
      </w:r>
    </w:p>
    <w:p w14:paraId="1E9AB7D3" w14:textId="1DCAF62C"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The ISC </w:t>
      </w:r>
      <w:r w:rsidR="00753128">
        <w:rPr>
          <w:rFonts w:asciiTheme="majorHAnsi" w:eastAsia="Times New Roman" w:hAnsiTheme="majorHAnsi" w:cstheme="majorHAnsi"/>
          <w:color w:val="202124"/>
          <w:sz w:val="24"/>
          <w:szCs w:val="24"/>
        </w:rPr>
        <w:t xml:space="preserve">PBFWG </w:t>
      </w:r>
      <w:r w:rsidRPr="003F00DA">
        <w:rPr>
          <w:rFonts w:asciiTheme="majorHAnsi" w:eastAsia="Times New Roman" w:hAnsiTheme="majorHAnsi" w:cstheme="majorHAnsi"/>
          <w:color w:val="202124"/>
          <w:sz w:val="24"/>
          <w:szCs w:val="24"/>
        </w:rPr>
        <w:t xml:space="preserve">Chair noted that a low recruitment scenario is unlikely </w:t>
      </w:r>
      <w:r w:rsidR="00753128">
        <w:rPr>
          <w:rFonts w:asciiTheme="majorHAnsi" w:eastAsia="Times New Roman" w:hAnsiTheme="majorHAnsi" w:cstheme="majorHAnsi"/>
          <w:color w:val="202124"/>
          <w:sz w:val="24"/>
          <w:szCs w:val="24"/>
        </w:rPr>
        <w:t xml:space="preserve">to not be detected in reality </w:t>
      </w:r>
      <w:r w:rsidRPr="003F00DA">
        <w:rPr>
          <w:rFonts w:asciiTheme="majorHAnsi" w:eastAsia="Times New Roman" w:hAnsiTheme="majorHAnsi" w:cstheme="majorHAnsi"/>
          <w:color w:val="202124"/>
          <w:sz w:val="24"/>
          <w:szCs w:val="24"/>
        </w:rPr>
        <w:t xml:space="preserve">because Japan is conducting recruitment monitoring and it is unlikely we would not notice a drop in recruitment when it happens. Co-Chair Madeira emphasized the importance of exceptional </w:t>
      </w:r>
      <w:r w:rsidRPr="003F00DA">
        <w:rPr>
          <w:rFonts w:asciiTheme="majorHAnsi" w:eastAsia="Times New Roman" w:hAnsiTheme="majorHAnsi" w:cstheme="majorHAnsi"/>
          <w:sz w:val="24"/>
          <w:szCs w:val="24"/>
        </w:rPr>
        <w:t>circumstances</w:t>
      </w:r>
      <w:r w:rsidRPr="003F00DA">
        <w:rPr>
          <w:rFonts w:asciiTheme="majorHAnsi" w:eastAsia="Times New Roman" w:hAnsiTheme="majorHAnsi" w:cstheme="majorHAnsi"/>
          <w:color w:val="202124"/>
          <w:sz w:val="24"/>
          <w:szCs w:val="24"/>
        </w:rPr>
        <w:t>, and asked the ISC</w:t>
      </w:r>
      <w:r w:rsidR="00753128">
        <w:rPr>
          <w:rFonts w:asciiTheme="majorHAnsi" w:eastAsia="Times New Roman" w:hAnsiTheme="majorHAnsi" w:cstheme="majorHAnsi"/>
          <w:color w:val="202124"/>
          <w:sz w:val="24"/>
          <w:szCs w:val="24"/>
        </w:rPr>
        <w:t xml:space="preserve"> PBFWG Chair</w:t>
      </w:r>
      <w:r w:rsidRPr="003F00DA">
        <w:rPr>
          <w:rFonts w:asciiTheme="majorHAnsi" w:eastAsia="Times New Roman" w:hAnsiTheme="majorHAnsi" w:cstheme="majorHAnsi"/>
          <w:color w:val="202124"/>
          <w:sz w:val="24"/>
          <w:szCs w:val="24"/>
        </w:rPr>
        <w:t xml:space="preserve"> if the members will have more information on those in July. The ISC </w:t>
      </w:r>
      <w:r w:rsidR="00753128">
        <w:rPr>
          <w:rFonts w:asciiTheme="majorHAnsi" w:eastAsia="Times New Roman" w:hAnsiTheme="majorHAnsi" w:cstheme="majorHAnsi"/>
          <w:color w:val="202124"/>
          <w:sz w:val="24"/>
          <w:szCs w:val="24"/>
        </w:rPr>
        <w:t xml:space="preserve">PBFWG Chair </w:t>
      </w:r>
      <w:r w:rsidRPr="003F00DA">
        <w:rPr>
          <w:rFonts w:asciiTheme="majorHAnsi" w:eastAsia="Times New Roman" w:hAnsiTheme="majorHAnsi" w:cstheme="majorHAnsi"/>
          <w:color w:val="202124"/>
          <w:sz w:val="24"/>
          <w:szCs w:val="24"/>
        </w:rPr>
        <w:t xml:space="preserve">confirmed they will be presenting information on exceptional circumstances at the July meeting. The </w:t>
      </w:r>
      <w:r w:rsidR="00753128">
        <w:rPr>
          <w:rFonts w:asciiTheme="majorHAnsi" w:eastAsia="Times New Roman" w:hAnsiTheme="majorHAnsi" w:cstheme="majorHAnsi"/>
          <w:color w:val="202124"/>
          <w:sz w:val="24"/>
          <w:szCs w:val="24"/>
        </w:rPr>
        <w:t xml:space="preserve">ISC </w:t>
      </w:r>
      <w:r w:rsidRPr="003F00DA">
        <w:rPr>
          <w:rFonts w:asciiTheme="majorHAnsi" w:eastAsia="Times New Roman" w:hAnsiTheme="majorHAnsi" w:cstheme="majorHAnsi"/>
          <w:color w:val="202124"/>
          <w:sz w:val="24"/>
          <w:szCs w:val="24"/>
        </w:rPr>
        <w:t>PBFWG will be meeting soon to discuss exceptional circumstances, and intends to start with the exceptional circumstances developed for North Pacific albacore as a template.</w:t>
      </w:r>
    </w:p>
    <w:p w14:paraId="1E9AB7D4"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Co-chair Madeira requested that members focus on reducing the number of HCRs during discussions, and noted that the issues regarding Age-0 fish and recruitment will need to be discussed in </w:t>
      </w:r>
      <w:r w:rsidRPr="003F00DA">
        <w:rPr>
          <w:rFonts w:asciiTheme="majorHAnsi" w:eastAsia="Times New Roman" w:hAnsiTheme="majorHAnsi" w:cstheme="majorHAnsi"/>
          <w:sz w:val="24"/>
          <w:szCs w:val="24"/>
        </w:rPr>
        <w:t>July</w:t>
      </w:r>
      <w:r w:rsidRPr="003F00DA">
        <w:rPr>
          <w:rFonts w:asciiTheme="majorHAnsi" w:eastAsia="Times New Roman" w:hAnsiTheme="majorHAnsi" w:cstheme="majorHAnsi"/>
          <w:color w:val="202124"/>
          <w:sz w:val="24"/>
          <w:szCs w:val="24"/>
        </w:rPr>
        <w:t>. He stated the focus of discussions should be narrowing candidate targets, acceptable control points and stability considerations.</w:t>
      </w:r>
    </w:p>
    <w:p w14:paraId="1E9AB7D5" w14:textId="0E52BD9F"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Japan responded to the United States’ question from the previous day, stating that out of 4,007 metric tons of small fish</w:t>
      </w:r>
      <w:r w:rsidR="00443035">
        <w:rPr>
          <w:rFonts w:asciiTheme="majorHAnsi" w:eastAsia="Times New Roman" w:hAnsiTheme="majorHAnsi" w:cstheme="majorHAnsi"/>
          <w:color w:val="202124"/>
          <w:sz w:val="24"/>
          <w:szCs w:val="24"/>
        </w:rPr>
        <w:t xml:space="preserve"> catch limit</w:t>
      </w:r>
      <w:r w:rsidRPr="003F00DA">
        <w:rPr>
          <w:rFonts w:asciiTheme="majorHAnsi" w:eastAsia="Times New Roman" w:hAnsiTheme="majorHAnsi" w:cstheme="majorHAnsi"/>
          <w:color w:val="202124"/>
          <w:sz w:val="24"/>
          <w:szCs w:val="24"/>
        </w:rPr>
        <w:t xml:space="preserve">, 931 metric tons were converted to large fish catch. They also asked the ISC to confirm that all MSE calculations include all fisheries. The ISC </w:t>
      </w:r>
      <w:r w:rsidR="00443035">
        <w:rPr>
          <w:rFonts w:asciiTheme="majorHAnsi" w:eastAsia="Times New Roman" w:hAnsiTheme="majorHAnsi" w:cstheme="majorHAnsi"/>
          <w:color w:val="202124"/>
          <w:sz w:val="24"/>
          <w:szCs w:val="24"/>
        </w:rPr>
        <w:t xml:space="preserve">PBFWG Chair </w:t>
      </w:r>
      <w:r w:rsidRPr="003F00DA">
        <w:rPr>
          <w:rFonts w:asciiTheme="majorHAnsi" w:eastAsia="Times New Roman" w:hAnsiTheme="majorHAnsi" w:cstheme="majorHAnsi"/>
          <w:color w:val="202124"/>
          <w:sz w:val="24"/>
          <w:szCs w:val="24"/>
        </w:rPr>
        <w:t xml:space="preserve">stated that the TAC is </w:t>
      </w:r>
      <w:r w:rsidRPr="003F00DA">
        <w:rPr>
          <w:rFonts w:asciiTheme="majorHAnsi" w:eastAsia="Times New Roman" w:hAnsiTheme="majorHAnsi" w:cstheme="majorHAnsi"/>
          <w:sz w:val="24"/>
          <w:szCs w:val="24"/>
        </w:rPr>
        <w:t>provided</w:t>
      </w:r>
      <w:r w:rsidRPr="003F00DA">
        <w:rPr>
          <w:rFonts w:asciiTheme="majorHAnsi" w:eastAsia="Times New Roman" w:hAnsiTheme="majorHAnsi" w:cstheme="majorHAnsi"/>
          <w:color w:val="202124"/>
          <w:sz w:val="24"/>
          <w:szCs w:val="24"/>
        </w:rPr>
        <w:t xml:space="preserve"> for the WCPO and EPO, and is assumed to be total mortality including sport catch and discards, but later issued a correction to this statement. The ISC </w:t>
      </w:r>
      <w:r w:rsidR="00443035">
        <w:rPr>
          <w:rFonts w:asciiTheme="majorHAnsi" w:eastAsia="Times New Roman" w:hAnsiTheme="majorHAnsi" w:cstheme="majorHAnsi"/>
          <w:color w:val="202124"/>
          <w:sz w:val="24"/>
          <w:szCs w:val="24"/>
        </w:rPr>
        <w:t xml:space="preserve">PBFWG </w:t>
      </w:r>
      <w:r w:rsidRPr="003F00DA">
        <w:rPr>
          <w:rFonts w:asciiTheme="majorHAnsi" w:eastAsia="Times New Roman" w:hAnsiTheme="majorHAnsi" w:cstheme="majorHAnsi"/>
          <w:color w:val="202124"/>
          <w:sz w:val="24"/>
          <w:szCs w:val="24"/>
        </w:rPr>
        <w:t>Chair clarified that they do not know the precise number for discards but include an assumption on discard numbers that is not part of the TAC. The TAC only includes removals by the fleets.</w:t>
      </w:r>
    </w:p>
    <w:p w14:paraId="1E9AB7D6"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The United States proposed that discussions continue on narrowing the scope of potential HCRs, </w:t>
      </w:r>
      <w:r w:rsidRPr="003F00DA">
        <w:rPr>
          <w:rFonts w:asciiTheme="majorHAnsi" w:eastAsia="Times New Roman" w:hAnsiTheme="majorHAnsi" w:cstheme="majorHAnsi"/>
          <w:sz w:val="24"/>
          <w:szCs w:val="24"/>
        </w:rPr>
        <w:t>reiterating</w:t>
      </w:r>
      <w:r w:rsidRPr="003F00DA">
        <w:rPr>
          <w:rFonts w:asciiTheme="majorHAnsi" w:eastAsia="Times New Roman" w:hAnsiTheme="majorHAnsi" w:cstheme="majorHAnsi"/>
          <w:color w:val="202124"/>
          <w:sz w:val="24"/>
          <w:szCs w:val="24"/>
        </w:rPr>
        <w:t xml:space="preserve"> their preference for a TRP of 30% and two control points. They also brought up the fishery impact ratio, expressing that a way forward might be to try and reach agreement on target, threshold, and limit reference points before discussing impact ratio in July.</w:t>
      </w:r>
    </w:p>
    <w:p w14:paraId="1E9AB7D7" w14:textId="174122C1"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Mexico agreed with the United States proposal on focusing discussions around the three reference points. They also emphasized their preference for moving from the 80:20 WCPO:EPO impact ratio to another value, but that could be discussed in July. Mexico predicted that the HCR agreed to in the end would likely be a hybrid of the HCRs currently under </w:t>
      </w:r>
      <w:r w:rsidRPr="003F00DA">
        <w:rPr>
          <w:rFonts w:asciiTheme="majorHAnsi" w:eastAsia="Times New Roman" w:hAnsiTheme="majorHAnsi" w:cstheme="majorHAnsi"/>
          <w:sz w:val="24"/>
          <w:szCs w:val="24"/>
        </w:rPr>
        <w:t>consideration</w:t>
      </w:r>
      <w:r w:rsidRPr="003F00DA">
        <w:rPr>
          <w:rFonts w:asciiTheme="majorHAnsi" w:eastAsia="Times New Roman" w:hAnsiTheme="majorHAnsi" w:cstheme="majorHAnsi"/>
          <w:color w:val="202124"/>
          <w:sz w:val="24"/>
          <w:szCs w:val="24"/>
        </w:rPr>
        <w:t xml:space="preserve">. They suggested that members could go around the room and state their preferences for the different reference points, and Mexico stated they preferred a TRP of between 25 and 30%. They also </w:t>
      </w:r>
      <w:r w:rsidRPr="003F00DA">
        <w:rPr>
          <w:rFonts w:asciiTheme="majorHAnsi" w:eastAsia="Times New Roman" w:hAnsiTheme="majorHAnsi" w:cstheme="majorHAnsi"/>
          <w:color w:val="202124"/>
          <w:sz w:val="24"/>
          <w:szCs w:val="24"/>
        </w:rPr>
        <w:lastRenderedPageBreak/>
        <w:t>acknowledged concerns about slow increases in catch in HCRs with LRPs and catch stability clauses, and expressed there may be a way to allow for greater increases in catch if the stock were to recover after a period of low SSB.</w:t>
      </w:r>
    </w:p>
    <w:p w14:paraId="1E9AB7D8" w14:textId="38DEFD1D"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Japan agreed with the idea to discuss the HCR structure first, and that discussion on the impact ratio would not be constructive at this stage. They reiterated their preference for HCR 5, but agreed on the possibility of a hybrid HCR.</w:t>
      </w:r>
    </w:p>
    <w:p w14:paraId="1E9AB7D9" w14:textId="5DA10173"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Korea stated a preference for HCRs 4, 5, 7, and 8, but expressed reservations about HCRs 4 and 8 because they would result in a reduction of WCPO small fish catch. They expressed they may have flexibility on those HCRs if the conversion factor for small to large fish could be adjusted to reflect the most recent paper from ISC.</w:t>
      </w:r>
    </w:p>
    <w:p w14:paraId="1E9AB7DA" w14:textId="67DA9E8C"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Co-Chair Madeira asked for clarification on the conversion factor from the ISC. The ISC </w:t>
      </w:r>
      <w:r w:rsidR="00443035">
        <w:rPr>
          <w:rFonts w:asciiTheme="majorHAnsi" w:eastAsia="Times New Roman" w:hAnsiTheme="majorHAnsi" w:cstheme="majorHAnsi"/>
          <w:color w:val="202124"/>
          <w:sz w:val="24"/>
          <w:szCs w:val="24"/>
        </w:rPr>
        <w:t xml:space="preserve">PBFWG </w:t>
      </w:r>
      <w:r w:rsidRPr="003F00DA">
        <w:rPr>
          <w:rFonts w:asciiTheme="majorHAnsi" w:eastAsia="Times New Roman" w:hAnsiTheme="majorHAnsi" w:cstheme="majorHAnsi"/>
          <w:color w:val="202124"/>
          <w:sz w:val="24"/>
          <w:szCs w:val="24"/>
        </w:rPr>
        <w:t xml:space="preserve">Chair confirmed that the ISC provided a different conversion factor last year. The first version of </w:t>
      </w:r>
      <w:r w:rsidRPr="003F00DA">
        <w:rPr>
          <w:rFonts w:asciiTheme="majorHAnsi" w:eastAsia="Times New Roman" w:hAnsiTheme="majorHAnsi" w:cstheme="majorHAnsi"/>
          <w:sz w:val="24"/>
          <w:szCs w:val="24"/>
        </w:rPr>
        <w:t>the</w:t>
      </w:r>
      <w:r w:rsidRPr="003F00DA">
        <w:rPr>
          <w:rFonts w:asciiTheme="majorHAnsi" w:eastAsia="Times New Roman" w:hAnsiTheme="majorHAnsi" w:cstheme="majorHAnsi"/>
          <w:color w:val="202124"/>
          <w:sz w:val="24"/>
          <w:szCs w:val="24"/>
        </w:rPr>
        <w:t xml:space="preserve"> conversion factor was very conservative, but the second one calculated a general average weight of small fish converted to the general average weight of large fish to maintain equal impact so that they could be interchangeable. The co-chair responded that there will be time in July to discuss this in more detail.</w:t>
      </w:r>
    </w:p>
    <w:p w14:paraId="1E9AB7DB"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Chinese Taipei </w:t>
      </w:r>
      <w:r w:rsidRPr="003F00DA">
        <w:rPr>
          <w:rFonts w:asciiTheme="majorHAnsi" w:eastAsia="Times New Roman" w:hAnsiTheme="majorHAnsi" w:cstheme="majorHAnsi"/>
          <w:sz w:val="24"/>
          <w:szCs w:val="24"/>
        </w:rPr>
        <w:t>expressed</w:t>
      </w:r>
      <w:r w:rsidRPr="003F00DA">
        <w:rPr>
          <w:rFonts w:asciiTheme="majorHAnsi" w:eastAsia="Times New Roman" w:hAnsiTheme="majorHAnsi" w:cstheme="majorHAnsi"/>
          <w:color w:val="202124"/>
          <w:sz w:val="24"/>
          <w:szCs w:val="24"/>
        </w:rPr>
        <w:t xml:space="preserve"> a preference for HCR 5. They indicated a preference for a TRP of 25-30% and were open to considering an HCR with one or two control points.</w:t>
      </w:r>
    </w:p>
    <w:p w14:paraId="1E9AB7DC"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The Co-</w:t>
      </w:r>
      <w:r w:rsidRPr="003F00DA">
        <w:rPr>
          <w:rFonts w:asciiTheme="majorHAnsi" w:eastAsia="Times New Roman" w:hAnsiTheme="majorHAnsi" w:cstheme="majorHAnsi"/>
          <w:sz w:val="24"/>
          <w:szCs w:val="24"/>
        </w:rPr>
        <w:t>Chairs</w:t>
      </w:r>
      <w:r w:rsidRPr="003F00DA">
        <w:rPr>
          <w:rFonts w:asciiTheme="majorHAnsi" w:eastAsia="Times New Roman" w:hAnsiTheme="majorHAnsi" w:cstheme="majorHAnsi"/>
          <w:color w:val="202124"/>
          <w:sz w:val="24"/>
          <w:szCs w:val="24"/>
        </w:rPr>
        <w:t xml:space="preserve"> convened a small group closed session to discuss targets and reference/control points.</w:t>
      </w:r>
    </w:p>
    <w:p w14:paraId="1E9AB7DD" w14:textId="0BFDCD15" w:rsidR="00626B79" w:rsidRPr="00443035" w:rsidRDefault="008F10E2" w:rsidP="00443035">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Co-chair </w:t>
      </w:r>
      <w:r w:rsidRPr="003F00DA">
        <w:rPr>
          <w:rFonts w:asciiTheme="majorHAnsi" w:eastAsia="Times New Roman" w:hAnsiTheme="majorHAnsi" w:cstheme="majorHAnsi"/>
          <w:sz w:val="24"/>
          <w:szCs w:val="24"/>
        </w:rPr>
        <w:t>Madeira</w:t>
      </w:r>
      <w:r w:rsidRPr="003F00DA">
        <w:rPr>
          <w:rFonts w:asciiTheme="majorHAnsi" w:eastAsia="Times New Roman" w:hAnsiTheme="majorHAnsi" w:cstheme="majorHAnsi"/>
          <w:color w:val="202124"/>
          <w:sz w:val="24"/>
          <w:szCs w:val="24"/>
        </w:rPr>
        <w:t xml:space="preserve"> presented the compromise proposal as </w:t>
      </w:r>
      <w:r w:rsidR="00E27279" w:rsidRPr="003F00DA">
        <w:rPr>
          <w:rFonts w:asciiTheme="majorHAnsi" w:eastAsia="Times New Roman" w:hAnsiTheme="majorHAnsi" w:cstheme="majorHAnsi"/>
          <w:b/>
          <w:bCs/>
          <w:color w:val="202124"/>
          <w:sz w:val="24"/>
          <w:szCs w:val="24"/>
        </w:rPr>
        <w:t>A</w:t>
      </w:r>
      <w:r w:rsidR="00C70404">
        <w:rPr>
          <w:rFonts w:asciiTheme="majorHAnsi" w:eastAsia="Times New Roman" w:hAnsiTheme="majorHAnsi" w:cstheme="majorHAnsi"/>
          <w:b/>
          <w:bCs/>
          <w:color w:val="202124"/>
          <w:sz w:val="24"/>
          <w:szCs w:val="24"/>
        </w:rPr>
        <w:t>ttachment</w:t>
      </w:r>
      <w:r w:rsidR="00E27279" w:rsidRPr="003F00DA">
        <w:rPr>
          <w:rFonts w:asciiTheme="majorHAnsi" w:eastAsia="Times New Roman" w:hAnsiTheme="majorHAnsi" w:cstheme="majorHAnsi"/>
          <w:b/>
          <w:bCs/>
          <w:color w:val="202124"/>
          <w:sz w:val="24"/>
          <w:szCs w:val="24"/>
        </w:rPr>
        <w:t xml:space="preserve"> </w:t>
      </w:r>
      <w:r w:rsidRPr="003F00DA">
        <w:rPr>
          <w:rFonts w:asciiTheme="majorHAnsi" w:eastAsia="Times New Roman" w:hAnsiTheme="majorHAnsi" w:cstheme="majorHAnsi"/>
          <w:b/>
          <w:bCs/>
          <w:color w:val="202124"/>
          <w:sz w:val="24"/>
          <w:szCs w:val="24"/>
        </w:rPr>
        <w:t>C</w:t>
      </w:r>
      <w:r w:rsidR="00E27279" w:rsidRPr="003F00DA">
        <w:rPr>
          <w:rFonts w:asciiTheme="majorHAnsi" w:eastAsia="Times New Roman" w:hAnsiTheme="majorHAnsi" w:cstheme="majorHAnsi"/>
          <w:color w:val="202124"/>
          <w:sz w:val="24"/>
          <w:szCs w:val="24"/>
        </w:rPr>
        <w:t>.</w:t>
      </w:r>
    </w:p>
    <w:p w14:paraId="1E9AB7DE" w14:textId="7CA65F3F" w:rsidR="00626B79"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 xml:space="preserve">The ISC </w:t>
      </w:r>
      <w:r w:rsidR="00443035">
        <w:rPr>
          <w:rFonts w:asciiTheme="majorHAnsi" w:eastAsia="Times New Roman" w:hAnsiTheme="majorHAnsi" w:cstheme="majorHAnsi"/>
          <w:color w:val="202124"/>
          <w:sz w:val="24"/>
          <w:szCs w:val="24"/>
        </w:rPr>
        <w:t xml:space="preserve">PBFWG </w:t>
      </w:r>
      <w:r w:rsidRPr="003F00DA">
        <w:rPr>
          <w:rFonts w:asciiTheme="majorHAnsi" w:eastAsia="Times New Roman" w:hAnsiTheme="majorHAnsi" w:cstheme="majorHAnsi"/>
          <w:color w:val="202124"/>
          <w:sz w:val="24"/>
          <w:szCs w:val="24"/>
        </w:rPr>
        <w:t xml:space="preserve">Chair </w:t>
      </w:r>
      <w:r w:rsidR="00443035">
        <w:rPr>
          <w:rFonts w:asciiTheme="majorHAnsi" w:eastAsia="Times New Roman" w:hAnsiTheme="majorHAnsi" w:cstheme="majorHAnsi"/>
          <w:color w:val="202124"/>
          <w:sz w:val="24"/>
          <w:szCs w:val="24"/>
        </w:rPr>
        <w:t xml:space="preserve">suggested not to label </w:t>
      </w:r>
      <w:r w:rsidRPr="003F00DA">
        <w:rPr>
          <w:rFonts w:asciiTheme="majorHAnsi" w:eastAsia="Times New Roman" w:hAnsiTheme="majorHAnsi" w:cstheme="majorHAnsi"/>
          <w:color w:val="202124"/>
          <w:sz w:val="24"/>
          <w:szCs w:val="24"/>
        </w:rPr>
        <w:t xml:space="preserve"> the second control point a</w:t>
      </w:r>
      <w:r w:rsidR="00443035">
        <w:rPr>
          <w:rFonts w:asciiTheme="majorHAnsi" w:eastAsia="Times New Roman" w:hAnsiTheme="majorHAnsi" w:cstheme="majorHAnsi"/>
          <w:color w:val="202124"/>
          <w:sz w:val="24"/>
          <w:szCs w:val="24"/>
        </w:rPr>
        <w:t>s</w:t>
      </w:r>
      <w:r w:rsidRPr="003F00DA">
        <w:rPr>
          <w:rFonts w:asciiTheme="majorHAnsi" w:eastAsia="Times New Roman" w:hAnsiTheme="majorHAnsi" w:cstheme="majorHAnsi"/>
          <w:color w:val="202124"/>
          <w:sz w:val="24"/>
          <w:szCs w:val="24"/>
        </w:rPr>
        <w:t xml:space="preserve"> LRP. J</w:t>
      </w:r>
      <w:r w:rsidR="00443035">
        <w:rPr>
          <w:rFonts w:asciiTheme="majorHAnsi" w:eastAsia="Times New Roman" w:hAnsiTheme="majorHAnsi" w:cstheme="majorHAnsi"/>
          <w:color w:val="202124"/>
          <w:sz w:val="24"/>
          <w:szCs w:val="24"/>
        </w:rPr>
        <w:t>WG</w:t>
      </w:r>
      <w:r w:rsidRPr="003F00DA">
        <w:rPr>
          <w:rFonts w:asciiTheme="majorHAnsi" w:eastAsia="Times New Roman" w:hAnsiTheme="majorHAnsi" w:cstheme="majorHAnsi"/>
          <w:color w:val="202124"/>
          <w:sz w:val="24"/>
          <w:szCs w:val="24"/>
        </w:rPr>
        <w:t xml:space="preserve"> agreed that deleting the word “LRP” would be better at this point.</w:t>
      </w:r>
    </w:p>
    <w:p w14:paraId="0817252C" w14:textId="29EC1C6E" w:rsidR="00443035" w:rsidRPr="003F00DA" w:rsidRDefault="00443035" w:rsidP="00AF789B">
      <w:pPr>
        <w:numPr>
          <w:ilvl w:val="0"/>
          <w:numId w:val="1"/>
        </w:numPr>
        <w:spacing w:after="200"/>
        <w:ind w:left="0" w:firstLine="0"/>
        <w:jc w:val="both"/>
        <w:rPr>
          <w:rFonts w:asciiTheme="majorHAnsi" w:eastAsia="Times New Roman" w:hAnsiTheme="majorHAnsi" w:cstheme="majorHAnsi"/>
          <w:color w:val="202124"/>
          <w:sz w:val="24"/>
          <w:szCs w:val="24"/>
        </w:rPr>
      </w:pPr>
      <w:r>
        <w:rPr>
          <w:rFonts w:asciiTheme="majorHAnsi" w:eastAsia="Times New Roman" w:hAnsiTheme="majorHAnsi" w:cstheme="majorHAnsi"/>
          <w:color w:val="202124"/>
          <w:sz w:val="24"/>
          <w:szCs w:val="24"/>
        </w:rPr>
        <w:t xml:space="preserve">JWG agreed to use Attachment C for further </w:t>
      </w:r>
      <w:r w:rsidR="000A5763">
        <w:rPr>
          <w:rFonts w:asciiTheme="majorHAnsi" w:eastAsia="Times New Roman" w:hAnsiTheme="majorHAnsi" w:cstheme="majorHAnsi"/>
          <w:color w:val="202124"/>
          <w:sz w:val="24"/>
          <w:szCs w:val="24"/>
        </w:rPr>
        <w:t xml:space="preserve">internal </w:t>
      </w:r>
      <w:r>
        <w:rPr>
          <w:rFonts w:asciiTheme="majorHAnsi" w:eastAsia="Times New Roman" w:hAnsiTheme="majorHAnsi" w:cstheme="majorHAnsi"/>
          <w:color w:val="202124"/>
          <w:sz w:val="24"/>
          <w:szCs w:val="24"/>
        </w:rPr>
        <w:t xml:space="preserve">consideration </w:t>
      </w:r>
      <w:r w:rsidR="000A5763">
        <w:rPr>
          <w:rFonts w:asciiTheme="majorHAnsi" w:eastAsia="Times New Roman" w:hAnsiTheme="majorHAnsi" w:cstheme="majorHAnsi"/>
          <w:color w:val="202124"/>
          <w:sz w:val="24"/>
          <w:szCs w:val="24"/>
        </w:rPr>
        <w:t xml:space="preserve">with their stakeholders </w:t>
      </w:r>
      <w:r>
        <w:rPr>
          <w:rFonts w:asciiTheme="majorHAnsi" w:eastAsia="Times New Roman" w:hAnsiTheme="majorHAnsi" w:cstheme="majorHAnsi"/>
          <w:color w:val="202124"/>
          <w:sz w:val="24"/>
          <w:szCs w:val="24"/>
        </w:rPr>
        <w:t>and discussion at JWG11.</w:t>
      </w:r>
    </w:p>
    <w:p w14:paraId="1E9AB7DF" w14:textId="15A0FF2E" w:rsidR="00626B79" w:rsidRPr="003F00DA" w:rsidRDefault="008F10E2" w:rsidP="00AF789B">
      <w:pPr>
        <w:numPr>
          <w:ilvl w:val="0"/>
          <w:numId w:val="1"/>
        </w:numPr>
        <w:spacing w:after="200"/>
        <w:ind w:left="0" w:firstLine="0"/>
        <w:jc w:val="both"/>
        <w:rPr>
          <w:rFonts w:asciiTheme="majorHAnsi" w:eastAsia="Times New Roman" w:hAnsiTheme="majorHAnsi" w:cstheme="majorHAnsi"/>
          <w:color w:val="202124"/>
          <w:sz w:val="24"/>
          <w:szCs w:val="24"/>
        </w:rPr>
      </w:pPr>
      <w:r w:rsidRPr="003F00DA">
        <w:rPr>
          <w:rFonts w:asciiTheme="majorHAnsi" w:eastAsia="Times New Roman" w:hAnsiTheme="majorHAnsi" w:cstheme="majorHAnsi"/>
          <w:color w:val="202124"/>
          <w:sz w:val="24"/>
          <w:szCs w:val="24"/>
        </w:rPr>
        <w:t>Korea asked for clarification on the process in the July meeting. Co-chair Miyahara stated that if a harvest strategy can be agreed to, a TAC can be generated, and that the Co-Chairs could prepare draft measures for both commissions to consider. Co-chair Madeira noted that other issues for consideration are still on the table and that they will bring a proposal with bracketed text to advance discussion.</w:t>
      </w:r>
    </w:p>
    <w:p w14:paraId="6F0CD88B" w14:textId="77777777" w:rsidR="008D7B14" w:rsidRDefault="008D7B14" w:rsidP="00EE1ECD">
      <w:pPr>
        <w:spacing w:before="200" w:after="200"/>
        <w:jc w:val="both"/>
        <w:rPr>
          <w:rFonts w:asciiTheme="majorHAnsi" w:eastAsia="Times New Roman" w:hAnsiTheme="majorHAnsi" w:cstheme="majorHAnsi"/>
          <w:b/>
          <w:bCs/>
          <w:sz w:val="24"/>
          <w:szCs w:val="24"/>
        </w:rPr>
      </w:pPr>
    </w:p>
    <w:p w14:paraId="4D1047E2" w14:textId="77777777" w:rsidR="008D7B14" w:rsidRDefault="008D7B14" w:rsidP="00EE1ECD">
      <w:pPr>
        <w:spacing w:before="200" w:after="200"/>
        <w:jc w:val="both"/>
        <w:rPr>
          <w:rFonts w:asciiTheme="majorHAnsi" w:eastAsia="Times New Roman" w:hAnsiTheme="majorHAnsi" w:cstheme="majorHAnsi"/>
          <w:b/>
          <w:bCs/>
          <w:sz w:val="24"/>
          <w:szCs w:val="24"/>
        </w:rPr>
      </w:pPr>
    </w:p>
    <w:p w14:paraId="1E9AB7E0" w14:textId="5ADC35FE" w:rsidR="00626B79" w:rsidRPr="003F00DA" w:rsidRDefault="008F10E2" w:rsidP="00EE1ECD">
      <w:pPr>
        <w:spacing w:before="200" w:after="200"/>
        <w:jc w:val="both"/>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lastRenderedPageBreak/>
        <w:t>AGENDA ITEM 4 CATCH DOCUMENTATION SCHEME</w:t>
      </w:r>
    </w:p>
    <w:p w14:paraId="1E9AB7E1" w14:textId="77777777"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 xml:space="preserve">Co-chair Miyahara read a report from the Chair of the CDS Technical Meeting, Mr. Shingo Ota, describing the progress of the 6th CDS meeting which was held on July 9, 2025. </w:t>
      </w:r>
      <w:r w:rsidRPr="003F00DA">
        <w:rPr>
          <w:rFonts w:asciiTheme="majorHAnsi" w:eastAsia="Times New Roman" w:hAnsiTheme="majorHAnsi" w:cstheme="majorHAnsi"/>
          <w:color w:val="222222"/>
          <w:sz w:val="24"/>
          <w:szCs w:val="24"/>
          <w:highlight w:val="white"/>
        </w:rPr>
        <w:t>The meeting discussed options for budgetary and administrative consideration, and generally agreed to support one system for both IATTC and WCPFC. A final decision will be made after evaluating the technical and financial implications and the feasibility of developing an ePBCD (electronic Pacific bluefin CDS) based on the CCSBT's e-CDS system. The meeting also discussed the draft CMM on the ePBCD. The meeting agreed that given the difference in the conservation measures for PBF between the IATTC and WCPFC, certain flexibility should be considered when formulating actual measures for the CDS in each commission. It was agreed that the small working group will work intersessionally to refine the draft CMM. The next CDS Technical WG will be held in Nagasaki, Japan on July 8 this year.</w:t>
      </w:r>
      <w:r w:rsidRPr="003F00DA">
        <w:rPr>
          <w:rFonts w:asciiTheme="majorHAnsi" w:eastAsia="Times New Roman" w:hAnsiTheme="majorHAnsi" w:cstheme="majorHAnsi"/>
          <w:sz w:val="24"/>
          <w:szCs w:val="24"/>
        </w:rPr>
        <w:t xml:space="preserve"> There were no questions or comments.</w:t>
      </w:r>
    </w:p>
    <w:p w14:paraId="1E9AB7E2" w14:textId="77777777" w:rsidR="00626B79" w:rsidRPr="003F00DA" w:rsidRDefault="008F10E2" w:rsidP="00EE1ECD">
      <w:pPr>
        <w:spacing w:after="200"/>
        <w:jc w:val="both"/>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t>AGENDA ITEM 5</w:t>
      </w:r>
      <w:r w:rsidRPr="003F00DA">
        <w:rPr>
          <w:rFonts w:asciiTheme="majorHAnsi" w:eastAsia="Times New Roman" w:hAnsiTheme="majorHAnsi" w:cstheme="majorHAnsi"/>
          <w:b/>
          <w:bCs/>
          <w:sz w:val="24"/>
          <w:szCs w:val="24"/>
        </w:rPr>
        <w:tab/>
        <w:t>MONITORING, CONTROL AND SURVEILLANCE (MCS)</w:t>
      </w:r>
    </w:p>
    <w:p w14:paraId="1E9AB7E3" w14:textId="764A459E"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Japan introduced their working document compiling the MCS measure implemented by each member based on information provided to JWG</w:t>
      </w:r>
      <w:r w:rsidR="00443035">
        <w:rPr>
          <w:rFonts w:asciiTheme="majorHAnsi" w:eastAsia="Times New Roman" w:hAnsiTheme="majorHAnsi" w:cstheme="majorHAnsi"/>
          <w:sz w:val="24"/>
          <w:szCs w:val="24"/>
        </w:rPr>
        <w:t>1</w:t>
      </w:r>
      <w:r w:rsidR="000A5763">
        <w:rPr>
          <w:rFonts w:asciiTheme="majorHAnsi" w:eastAsia="Times New Roman" w:hAnsiTheme="majorHAnsi" w:cstheme="majorHAnsi"/>
          <w:sz w:val="24"/>
          <w:szCs w:val="24"/>
        </w:rPr>
        <w:t>0</w:t>
      </w:r>
      <w:r w:rsidRPr="003F00DA">
        <w:rPr>
          <w:rFonts w:asciiTheme="majorHAnsi" w:eastAsia="Times New Roman" w:hAnsiTheme="majorHAnsi" w:cstheme="majorHAnsi"/>
          <w:sz w:val="24"/>
          <w:szCs w:val="24"/>
        </w:rPr>
        <w:t xml:space="preserve"> in July</w:t>
      </w:r>
      <w:r w:rsidR="00443035">
        <w:rPr>
          <w:rFonts w:asciiTheme="majorHAnsi" w:eastAsia="Times New Roman" w:hAnsiTheme="majorHAnsi" w:cstheme="majorHAnsi"/>
          <w:sz w:val="24"/>
          <w:szCs w:val="24"/>
        </w:rPr>
        <w:t xml:space="preserve"> and IATTC</w:t>
      </w:r>
      <w:r w:rsidRPr="003F00DA">
        <w:rPr>
          <w:rFonts w:asciiTheme="majorHAnsi" w:eastAsia="Times New Roman" w:hAnsiTheme="majorHAnsi" w:cstheme="majorHAnsi"/>
          <w:sz w:val="24"/>
          <w:szCs w:val="24"/>
        </w:rPr>
        <w:t>. The Co-Chair asked Japan to prepare a revised measure for July. There were no questions or comments.</w:t>
      </w:r>
    </w:p>
    <w:p w14:paraId="1E9AB7E4" w14:textId="77777777" w:rsidR="00626B79" w:rsidRPr="003F00DA" w:rsidRDefault="008F10E2" w:rsidP="00EE1ECD">
      <w:pPr>
        <w:spacing w:after="200"/>
        <w:jc w:val="both"/>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t>AGENDA ITEM 6</w:t>
      </w:r>
      <w:r w:rsidRPr="003F00DA">
        <w:rPr>
          <w:rFonts w:asciiTheme="majorHAnsi" w:eastAsia="Times New Roman" w:hAnsiTheme="majorHAnsi" w:cstheme="majorHAnsi"/>
          <w:b/>
          <w:bCs/>
          <w:sz w:val="24"/>
          <w:szCs w:val="24"/>
        </w:rPr>
        <w:tab/>
        <w:t>OTHER BUSINESS</w:t>
      </w:r>
    </w:p>
    <w:p w14:paraId="1E9AB7E5" w14:textId="7E03ED76"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 xml:space="preserve">The ISC </w:t>
      </w:r>
      <w:r w:rsidR="000A5763">
        <w:rPr>
          <w:rFonts w:asciiTheme="majorHAnsi" w:eastAsia="Times New Roman" w:hAnsiTheme="majorHAnsi" w:cstheme="majorHAnsi"/>
          <w:sz w:val="24"/>
          <w:szCs w:val="24"/>
        </w:rPr>
        <w:t xml:space="preserve">PBFWG </w:t>
      </w:r>
      <w:r w:rsidRPr="003F00DA">
        <w:rPr>
          <w:rFonts w:asciiTheme="majorHAnsi" w:eastAsia="Times New Roman" w:hAnsiTheme="majorHAnsi" w:cstheme="majorHAnsi"/>
          <w:sz w:val="24"/>
          <w:szCs w:val="24"/>
        </w:rPr>
        <w:t>Chair emphasized the importance of exceptional circumstances and encouraged members to start thinking about them, noting that the ISC intends to use the exceptional circumstances developed for North Pacific albacore as a template (Attachment C of the NC21 report).</w:t>
      </w:r>
      <w:r w:rsidR="000A5763">
        <w:rPr>
          <w:rFonts w:asciiTheme="majorHAnsi" w:eastAsia="Times New Roman" w:hAnsiTheme="majorHAnsi" w:cstheme="majorHAnsi"/>
          <w:sz w:val="24"/>
          <w:szCs w:val="24"/>
        </w:rPr>
        <w:t xml:space="preserve"> He also noted that the agreement of the exceptional circumstances provision can wait another year after the adoption of the management procedure if there is insufficient time available.</w:t>
      </w:r>
    </w:p>
    <w:p w14:paraId="1E9AB7E6" w14:textId="117C5227"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 xml:space="preserve">Korea commented that they believe there are some discrepancies between the management systems in place in IATTC and WCPFC. For example, the IATTC does not manage small fish </w:t>
      </w:r>
      <w:r w:rsidR="000A5763">
        <w:rPr>
          <w:rFonts w:asciiTheme="majorHAnsi" w:eastAsia="Times New Roman" w:hAnsiTheme="majorHAnsi" w:cstheme="majorHAnsi"/>
          <w:sz w:val="24"/>
          <w:szCs w:val="24"/>
        </w:rPr>
        <w:t xml:space="preserve">and large fish separately </w:t>
      </w:r>
      <w:r w:rsidRPr="003F00DA">
        <w:rPr>
          <w:rFonts w:asciiTheme="majorHAnsi" w:eastAsia="Times New Roman" w:hAnsiTheme="majorHAnsi" w:cstheme="majorHAnsi"/>
          <w:sz w:val="24"/>
          <w:szCs w:val="24"/>
        </w:rPr>
        <w:t xml:space="preserve">and has a </w:t>
      </w:r>
      <w:r w:rsidR="000A5763">
        <w:rPr>
          <w:rFonts w:asciiTheme="majorHAnsi" w:eastAsia="Times New Roman" w:hAnsiTheme="majorHAnsi" w:cstheme="majorHAnsi"/>
          <w:sz w:val="24"/>
          <w:szCs w:val="24"/>
        </w:rPr>
        <w:t xml:space="preserve">bienniel catch limit </w:t>
      </w:r>
      <w:r w:rsidRPr="003F00DA">
        <w:rPr>
          <w:rFonts w:asciiTheme="majorHAnsi" w:eastAsia="Times New Roman" w:hAnsiTheme="majorHAnsi" w:cstheme="majorHAnsi"/>
          <w:sz w:val="24"/>
          <w:szCs w:val="24"/>
        </w:rPr>
        <w:t xml:space="preserve">management </w:t>
      </w:r>
      <w:r w:rsidR="000A5763">
        <w:rPr>
          <w:rFonts w:asciiTheme="majorHAnsi" w:eastAsia="Times New Roman" w:hAnsiTheme="majorHAnsi" w:cstheme="majorHAnsi"/>
          <w:sz w:val="24"/>
          <w:szCs w:val="24"/>
        </w:rPr>
        <w:t>system</w:t>
      </w:r>
      <w:r w:rsidRPr="003F00DA">
        <w:rPr>
          <w:rFonts w:asciiTheme="majorHAnsi" w:eastAsia="Times New Roman" w:hAnsiTheme="majorHAnsi" w:cstheme="majorHAnsi"/>
          <w:sz w:val="24"/>
          <w:szCs w:val="24"/>
        </w:rPr>
        <w:t xml:space="preserve">. They asked if there is a possibility of consistency between the two organizations. The </w:t>
      </w:r>
      <w:r w:rsidR="000A5763">
        <w:rPr>
          <w:rFonts w:asciiTheme="majorHAnsi" w:eastAsia="Times New Roman" w:hAnsiTheme="majorHAnsi" w:cstheme="majorHAnsi"/>
          <w:sz w:val="24"/>
          <w:szCs w:val="24"/>
        </w:rPr>
        <w:t xml:space="preserve">JWG </w:t>
      </w:r>
      <w:r w:rsidRPr="003F00DA">
        <w:rPr>
          <w:rFonts w:asciiTheme="majorHAnsi" w:eastAsia="Times New Roman" w:hAnsiTheme="majorHAnsi" w:cstheme="majorHAnsi"/>
          <w:sz w:val="24"/>
          <w:szCs w:val="24"/>
        </w:rPr>
        <w:t>took note of this.</w:t>
      </w:r>
    </w:p>
    <w:p w14:paraId="1E9AB7E7" w14:textId="69685544"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Japan asked if Korea’s intention was for the WCPFC to adopt a catch limit without consideration of size, and expressed that may be difficult.</w:t>
      </w:r>
    </w:p>
    <w:p w14:paraId="1E9AB7E8" w14:textId="17B58AF9"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 xml:space="preserve">Korea clarified that they are not suggesting WCPO manage the stock without separating the sizes, but that there should be some kind of consistency between the two RFMOs and perhaps in the future they could task ISC with this kind of work. They expressed an interest in a </w:t>
      </w:r>
      <w:r w:rsidR="000A5763">
        <w:rPr>
          <w:rFonts w:asciiTheme="majorHAnsi" w:eastAsia="Times New Roman" w:hAnsiTheme="majorHAnsi" w:cstheme="majorHAnsi"/>
          <w:sz w:val="24"/>
          <w:szCs w:val="24"/>
        </w:rPr>
        <w:t>biennial catch limit management system</w:t>
      </w:r>
      <w:r w:rsidRPr="003F00DA">
        <w:rPr>
          <w:rFonts w:asciiTheme="majorHAnsi" w:eastAsia="Times New Roman" w:hAnsiTheme="majorHAnsi" w:cstheme="majorHAnsi"/>
          <w:sz w:val="24"/>
          <w:szCs w:val="24"/>
        </w:rPr>
        <w:t xml:space="preserve"> for WCPFC</w:t>
      </w:r>
      <w:r w:rsidR="000A5763">
        <w:rPr>
          <w:rFonts w:asciiTheme="majorHAnsi" w:eastAsia="Times New Roman" w:hAnsiTheme="majorHAnsi" w:cstheme="majorHAnsi"/>
          <w:sz w:val="24"/>
          <w:szCs w:val="24"/>
        </w:rPr>
        <w:t xml:space="preserve"> for consistency</w:t>
      </w:r>
      <w:r w:rsidRPr="003F00DA">
        <w:rPr>
          <w:rFonts w:asciiTheme="majorHAnsi" w:eastAsia="Times New Roman" w:hAnsiTheme="majorHAnsi" w:cstheme="majorHAnsi"/>
          <w:sz w:val="24"/>
          <w:szCs w:val="24"/>
        </w:rPr>
        <w:t>.</w:t>
      </w:r>
    </w:p>
    <w:p w14:paraId="1E9AB7E9" w14:textId="2AA13ED0" w:rsidR="00626B79" w:rsidRPr="003F00DA"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lastRenderedPageBreak/>
        <w:t>The co-chairs reminded Korea that the members will discuss management periods in July. They noted that different approaches are taken in different RFMOs because there are differing implications for conservation. Co-chair Miyahara reminded the room of the history behind these measures.</w:t>
      </w:r>
    </w:p>
    <w:p w14:paraId="07E98B00" w14:textId="06F36890" w:rsidR="000A5763" w:rsidRDefault="008F10E2" w:rsidP="00AF789B">
      <w:pPr>
        <w:numPr>
          <w:ilvl w:val="0"/>
          <w:numId w:val="1"/>
        </w:numPr>
        <w:spacing w:after="200"/>
        <w:ind w:left="0" w:firstLine="0"/>
        <w:jc w:val="both"/>
        <w:rPr>
          <w:rFonts w:asciiTheme="majorHAnsi" w:eastAsia="Times New Roman" w:hAnsiTheme="majorHAnsi" w:cstheme="majorHAnsi"/>
          <w:sz w:val="24"/>
          <w:szCs w:val="24"/>
        </w:rPr>
      </w:pPr>
      <w:r w:rsidRPr="003F00DA">
        <w:rPr>
          <w:rFonts w:asciiTheme="majorHAnsi" w:eastAsia="Times New Roman" w:hAnsiTheme="majorHAnsi" w:cstheme="majorHAnsi"/>
          <w:sz w:val="24"/>
          <w:szCs w:val="24"/>
        </w:rPr>
        <w:t>Mexico echoed their willingness to discuss Korea’s suggestion in July, but emphasized that the separation between large and small fish is very important because small fish catch has the biggest impact on the stock. The United States echoed Mexico’s comments on the importance of small fish, emphasizing that the fisheries in the EPO do not catch many small fish. On the management period, United States noted that the WCPFC measure does not expire so that is an alternative duration to consider. The United States stated that the July meeting is an opportunity to imagine how future cycles will move from stock assessment to producing the TAC through an MP and setting any changes to management measures for both sides.</w:t>
      </w:r>
    </w:p>
    <w:p w14:paraId="1E9AB7EA" w14:textId="42FF1C3A" w:rsidR="00626B79" w:rsidRPr="003F00DA" w:rsidRDefault="000A5763" w:rsidP="00AF789B">
      <w:pPr>
        <w:numPr>
          <w:ilvl w:val="0"/>
          <w:numId w:val="1"/>
        </w:numPr>
        <w:spacing w:after="200"/>
        <w:ind w:left="0" w:firstLine="0"/>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JWG requested that the ISC provide an update on the PBF recruitment index at JWG11.</w:t>
      </w:r>
    </w:p>
    <w:p w14:paraId="1E9AB7EB" w14:textId="77777777" w:rsidR="00626B79" w:rsidRPr="003F00DA" w:rsidRDefault="008F10E2" w:rsidP="00EE1ECD">
      <w:pPr>
        <w:spacing w:after="200"/>
        <w:jc w:val="both"/>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t>AGENDA ITEM 7</w:t>
      </w:r>
      <w:r w:rsidRPr="003F00DA">
        <w:rPr>
          <w:rFonts w:asciiTheme="majorHAnsi" w:eastAsia="Times New Roman" w:hAnsiTheme="majorHAnsi" w:cstheme="majorHAnsi"/>
          <w:b/>
          <w:bCs/>
          <w:sz w:val="24"/>
          <w:szCs w:val="24"/>
        </w:rPr>
        <w:tab/>
        <w:t>ADOPTION OF REPORT</w:t>
      </w:r>
    </w:p>
    <w:p w14:paraId="1E9AB7EC" w14:textId="760BB5AB" w:rsidR="00626B79" w:rsidRPr="008D7B14" w:rsidRDefault="00EF700F" w:rsidP="008D7B14">
      <w:pPr>
        <w:numPr>
          <w:ilvl w:val="0"/>
          <w:numId w:val="1"/>
        </w:numPr>
        <w:spacing w:after="200"/>
        <w:ind w:left="0" w:firstLine="0"/>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JWG adopted the summary report.</w:t>
      </w:r>
    </w:p>
    <w:p w14:paraId="1E9AB7ED" w14:textId="134626D4" w:rsidR="00303615" w:rsidRDefault="008F10E2" w:rsidP="00EE1ECD">
      <w:pPr>
        <w:spacing w:after="200"/>
        <w:jc w:val="both"/>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t>AGENDA ITEM 8</w:t>
      </w:r>
      <w:r w:rsidRPr="003F00DA">
        <w:rPr>
          <w:rFonts w:asciiTheme="majorHAnsi" w:eastAsia="Times New Roman" w:hAnsiTheme="majorHAnsi" w:cstheme="majorHAnsi"/>
          <w:b/>
          <w:bCs/>
          <w:sz w:val="24"/>
          <w:szCs w:val="24"/>
        </w:rPr>
        <w:tab/>
        <w:t>CLOSE OF MEETING</w:t>
      </w:r>
    </w:p>
    <w:p w14:paraId="00EA0024" w14:textId="702AE538" w:rsidR="00EF700F" w:rsidRPr="003F00DA" w:rsidRDefault="00EF700F" w:rsidP="00EF700F">
      <w:pPr>
        <w:numPr>
          <w:ilvl w:val="0"/>
          <w:numId w:val="1"/>
        </w:numPr>
        <w:spacing w:after="200"/>
        <w:ind w:left="0" w:firstLine="0"/>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The meeting closed at 11:05 am on 13 March 2026.</w:t>
      </w:r>
    </w:p>
    <w:p w14:paraId="7057591A" w14:textId="77777777" w:rsidR="00EF700F" w:rsidRPr="003F00DA" w:rsidRDefault="00EF700F" w:rsidP="00EE1ECD">
      <w:pPr>
        <w:spacing w:after="200"/>
        <w:jc w:val="both"/>
        <w:rPr>
          <w:rFonts w:asciiTheme="majorHAnsi" w:eastAsia="Times New Roman" w:hAnsiTheme="majorHAnsi" w:cstheme="majorHAnsi"/>
          <w:b/>
          <w:bCs/>
          <w:sz w:val="24"/>
          <w:szCs w:val="24"/>
        </w:rPr>
      </w:pPr>
    </w:p>
    <w:p w14:paraId="054C613F" w14:textId="77777777" w:rsidR="00303615" w:rsidRPr="003F00DA" w:rsidRDefault="00303615">
      <w:pPr>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br w:type="page"/>
      </w:r>
    </w:p>
    <w:p w14:paraId="1F83E186" w14:textId="77777777" w:rsidR="00C424A2" w:rsidRPr="003F00DA" w:rsidRDefault="00C424A2" w:rsidP="00C424A2">
      <w:pPr>
        <w:spacing w:line="240" w:lineRule="auto"/>
        <w:jc w:val="right"/>
        <w:rPr>
          <w:rFonts w:asciiTheme="majorHAnsi" w:hAnsiTheme="majorHAnsi" w:cstheme="majorHAnsi"/>
          <w:sz w:val="24"/>
          <w:szCs w:val="24"/>
        </w:rPr>
      </w:pPr>
      <w:r w:rsidRPr="003F00DA">
        <w:rPr>
          <w:rFonts w:asciiTheme="majorHAnsi" w:eastAsia="Times New Roman" w:hAnsiTheme="majorHAnsi" w:cstheme="majorHAnsi"/>
          <w:b/>
          <w:bCs/>
          <w:sz w:val="24"/>
          <w:szCs w:val="24"/>
        </w:rPr>
        <w:lastRenderedPageBreak/>
        <w:t>Attachment A</w:t>
      </w:r>
    </w:p>
    <w:p w14:paraId="216F8A54" w14:textId="77777777" w:rsidR="00C424A2" w:rsidRPr="003F00DA" w:rsidRDefault="00C424A2" w:rsidP="00C424A2">
      <w:pPr>
        <w:spacing w:line="240" w:lineRule="auto"/>
        <w:rPr>
          <w:rFonts w:asciiTheme="majorHAnsi" w:hAnsiTheme="majorHAnsi" w:cstheme="majorHAnsi"/>
          <w:sz w:val="24"/>
          <w:szCs w:val="24"/>
        </w:rPr>
      </w:pPr>
    </w:p>
    <w:p w14:paraId="4F1A7847" w14:textId="77777777" w:rsidR="00C424A2" w:rsidRPr="003F00DA" w:rsidRDefault="00C424A2" w:rsidP="00C424A2">
      <w:pPr>
        <w:pStyle w:val="Default"/>
        <w:snapToGrid w:val="0"/>
        <w:jc w:val="center"/>
        <w:rPr>
          <w:rFonts w:asciiTheme="majorHAnsi" w:hAnsiTheme="majorHAnsi" w:cstheme="majorHAnsi"/>
        </w:rPr>
      </w:pPr>
      <w:r w:rsidRPr="003F00DA">
        <w:rPr>
          <w:rFonts w:asciiTheme="majorHAnsi" w:hAnsiTheme="majorHAnsi" w:cstheme="majorHAnsi"/>
          <w:b/>
          <w:bCs/>
          <w:color w:val="1F1F1F"/>
        </w:rPr>
        <w:t>JOINT IATTC AND WCPFC-NC WORKING GROUP INTERSESSIONAL MEETING ON THE</w:t>
      </w:r>
    </w:p>
    <w:p w14:paraId="45852BBC" w14:textId="77777777" w:rsidR="00C424A2" w:rsidRPr="003F00DA" w:rsidRDefault="00C424A2" w:rsidP="00C424A2">
      <w:pPr>
        <w:pStyle w:val="Default"/>
        <w:snapToGrid w:val="0"/>
        <w:jc w:val="center"/>
        <w:rPr>
          <w:rFonts w:asciiTheme="majorHAnsi" w:hAnsiTheme="majorHAnsi" w:cstheme="majorHAnsi"/>
          <w:color w:val="1F1F1F"/>
        </w:rPr>
      </w:pPr>
      <w:r w:rsidRPr="003F00DA">
        <w:rPr>
          <w:rFonts w:asciiTheme="majorHAnsi" w:hAnsiTheme="majorHAnsi" w:cstheme="majorHAnsi"/>
          <w:b/>
          <w:bCs/>
          <w:color w:val="1F1F1F"/>
        </w:rPr>
        <w:t>MANAGEMENT OF PACIFIC BLUEFIN TUNA</w:t>
      </w:r>
    </w:p>
    <w:p w14:paraId="20EBB360" w14:textId="77777777" w:rsidR="00C424A2" w:rsidRPr="003F00DA" w:rsidRDefault="00C424A2" w:rsidP="00C424A2">
      <w:pPr>
        <w:pStyle w:val="Default"/>
        <w:snapToGrid w:val="0"/>
        <w:jc w:val="center"/>
        <w:rPr>
          <w:rFonts w:asciiTheme="majorHAnsi" w:hAnsiTheme="majorHAnsi" w:cstheme="majorHAnsi"/>
          <w:b/>
          <w:bCs/>
        </w:rPr>
      </w:pPr>
      <w:r w:rsidRPr="003F00DA">
        <w:rPr>
          <w:rFonts w:asciiTheme="majorHAnsi" w:hAnsiTheme="majorHAnsi" w:cstheme="majorHAnsi"/>
          <w:b/>
          <w:bCs/>
        </w:rPr>
        <w:t>THIRD SESSION (JWGI03)</w:t>
      </w:r>
    </w:p>
    <w:p w14:paraId="0D4D28D1" w14:textId="77777777" w:rsidR="00C424A2" w:rsidRPr="003F00DA" w:rsidRDefault="00C424A2" w:rsidP="00C424A2">
      <w:pPr>
        <w:pStyle w:val="Default"/>
        <w:snapToGrid w:val="0"/>
        <w:spacing w:before="120"/>
        <w:jc w:val="center"/>
        <w:rPr>
          <w:rFonts w:asciiTheme="majorHAnsi" w:hAnsiTheme="majorHAnsi" w:cstheme="majorHAnsi"/>
        </w:rPr>
      </w:pPr>
      <w:r w:rsidRPr="003F00DA">
        <w:rPr>
          <w:rFonts w:asciiTheme="majorHAnsi" w:hAnsiTheme="majorHAnsi" w:cstheme="majorHAnsi"/>
        </w:rPr>
        <w:t>11 – 13 March 2026</w:t>
      </w:r>
    </w:p>
    <w:p w14:paraId="6423A394" w14:textId="77777777" w:rsidR="00C424A2" w:rsidRPr="003F00DA" w:rsidRDefault="00C424A2" w:rsidP="00C424A2">
      <w:pPr>
        <w:pStyle w:val="Default"/>
        <w:snapToGrid w:val="0"/>
        <w:jc w:val="center"/>
        <w:rPr>
          <w:rFonts w:asciiTheme="majorHAnsi" w:hAnsiTheme="majorHAnsi" w:cstheme="majorHAnsi"/>
        </w:rPr>
      </w:pPr>
      <w:r w:rsidRPr="003F00DA">
        <w:rPr>
          <w:rFonts w:asciiTheme="majorHAnsi" w:eastAsia="Times New Roman" w:hAnsiTheme="majorHAnsi" w:cstheme="majorHAnsi"/>
        </w:rPr>
        <w:t>Newport Beach, California (Hybrid)</w:t>
      </w:r>
    </w:p>
    <w:p w14:paraId="464753CF" w14:textId="77777777" w:rsidR="00C424A2" w:rsidRPr="003F00DA" w:rsidRDefault="00C424A2" w:rsidP="00C424A2">
      <w:pPr>
        <w:pBdr>
          <w:top w:val="single" w:sz="18" w:space="1" w:color="auto"/>
          <w:bottom w:val="single" w:sz="18" w:space="0" w:color="auto"/>
        </w:pBdr>
        <w:adjustRightInd w:val="0"/>
        <w:snapToGrid w:val="0"/>
        <w:jc w:val="center"/>
        <w:rPr>
          <w:rFonts w:asciiTheme="majorHAnsi" w:eastAsiaTheme="minorEastAsia" w:hAnsiTheme="majorHAnsi" w:cstheme="majorHAnsi"/>
          <w:b/>
          <w:sz w:val="24"/>
          <w:szCs w:val="24"/>
          <w:lang w:bidi="th-TH"/>
        </w:rPr>
      </w:pPr>
      <w:r w:rsidRPr="003F00DA">
        <w:rPr>
          <w:rFonts w:asciiTheme="majorHAnsi" w:eastAsiaTheme="minorEastAsia" w:hAnsiTheme="majorHAnsi" w:cstheme="majorHAnsi"/>
          <w:b/>
          <w:sz w:val="24"/>
          <w:szCs w:val="24"/>
          <w:lang w:bidi="th-TH"/>
        </w:rPr>
        <w:t xml:space="preserve">List of Participants </w:t>
      </w:r>
    </w:p>
    <w:p w14:paraId="39670D62" w14:textId="77777777" w:rsidR="00C424A2" w:rsidRPr="003F00DA" w:rsidRDefault="00C424A2" w:rsidP="00C424A2">
      <w:pPr>
        <w:spacing w:line="240" w:lineRule="auto"/>
        <w:rPr>
          <w:rFonts w:asciiTheme="majorHAnsi" w:hAnsiTheme="majorHAnsi" w:cstheme="majorHAnsi"/>
          <w:sz w:val="24"/>
          <w:szCs w:val="24"/>
        </w:rPr>
      </w:pPr>
    </w:p>
    <w:p w14:paraId="2F00B938" w14:textId="77777777" w:rsidR="00C424A2" w:rsidRPr="003F00DA" w:rsidRDefault="00C424A2" w:rsidP="00C424A2">
      <w:pPr>
        <w:spacing w:line="240" w:lineRule="auto"/>
        <w:rPr>
          <w:rFonts w:asciiTheme="majorHAnsi" w:eastAsia="Times New Roman" w:hAnsiTheme="majorHAnsi" w:cstheme="majorHAnsi"/>
          <w:b/>
          <w:bCs/>
          <w:sz w:val="24"/>
          <w:szCs w:val="24"/>
        </w:rPr>
      </w:pPr>
    </w:p>
    <w:p w14:paraId="584DA182" w14:textId="77777777" w:rsidR="0095343A" w:rsidRDefault="0095343A" w:rsidP="00C424A2">
      <w:pPr>
        <w:spacing w:line="240" w:lineRule="auto"/>
        <w:rPr>
          <w:rFonts w:asciiTheme="majorHAnsi" w:eastAsia="Times New Roman" w:hAnsiTheme="majorHAnsi" w:cstheme="majorHAnsi"/>
          <w:b/>
          <w:bCs/>
          <w:sz w:val="24"/>
          <w:szCs w:val="24"/>
        </w:rPr>
        <w:sectPr w:rsidR="0095343A" w:rsidSect="008D7B14">
          <w:footerReference w:type="default" r:id="rId8"/>
          <w:pgSz w:w="12240" w:h="15840" w:code="1"/>
          <w:pgMar w:top="1440" w:right="1440" w:bottom="1440" w:left="1440" w:header="720" w:footer="720" w:gutter="0"/>
          <w:pgNumType w:start="1"/>
          <w:cols w:space="720"/>
          <w:titlePg/>
        </w:sectPr>
      </w:pPr>
    </w:p>
    <w:p w14:paraId="275CDDAB" w14:textId="3BBBCEFE"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CO-CHAIR(S)</w:t>
      </w:r>
    </w:p>
    <w:p w14:paraId="30B0B506" w14:textId="77777777" w:rsidR="00C424A2" w:rsidRPr="003F00DA" w:rsidRDefault="00C424A2" w:rsidP="00C424A2">
      <w:pPr>
        <w:spacing w:line="240" w:lineRule="auto"/>
        <w:rPr>
          <w:rFonts w:asciiTheme="majorHAnsi" w:hAnsiTheme="majorHAnsi" w:cstheme="majorHAnsi"/>
          <w:sz w:val="24"/>
          <w:szCs w:val="24"/>
        </w:rPr>
      </w:pPr>
    </w:p>
    <w:p w14:paraId="061D811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Josh Madeira</w:t>
      </w:r>
    </w:p>
    <w:p w14:paraId="34EE4E5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Monterey Bay Aquarium</w:t>
      </w:r>
    </w:p>
    <w:p w14:paraId="3540F4B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Director of Policy &amp; Stakeholder Engagement</w:t>
      </w:r>
    </w:p>
    <w:p w14:paraId="17F7F8E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jmadeira@mbayaq.org</w:t>
      </w:r>
    </w:p>
    <w:p w14:paraId="1F147E27" w14:textId="77777777" w:rsidR="00C424A2" w:rsidRPr="003F00DA" w:rsidRDefault="00C424A2" w:rsidP="00C424A2">
      <w:pPr>
        <w:spacing w:line="240" w:lineRule="auto"/>
        <w:rPr>
          <w:rFonts w:asciiTheme="majorHAnsi" w:hAnsiTheme="majorHAnsi" w:cstheme="majorHAnsi"/>
          <w:sz w:val="24"/>
          <w:szCs w:val="24"/>
        </w:rPr>
      </w:pPr>
    </w:p>
    <w:p w14:paraId="7038558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Masanori Miyahara</w:t>
      </w:r>
    </w:p>
    <w:p w14:paraId="3C3671E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Agency of Japan</w:t>
      </w:r>
    </w:p>
    <w:p w14:paraId="0FBBFAE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 xml:space="preserve">Advisor to the Minister of Agriculture, Forestry and Fisheries </w:t>
      </w:r>
    </w:p>
    <w:p w14:paraId="3994C61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masamiyafaj1@gmail.com</w:t>
      </w:r>
    </w:p>
    <w:p w14:paraId="1B80EC60" w14:textId="77777777" w:rsidR="00C424A2" w:rsidRPr="003F00DA" w:rsidRDefault="00C424A2" w:rsidP="00C424A2">
      <w:pPr>
        <w:spacing w:line="240" w:lineRule="auto"/>
        <w:rPr>
          <w:rFonts w:asciiTheme="majorHAnsi" w:hAnsiTheme="majorHAnsi" w:cstheme="majorHAnsi"/>
          <w:sz w:val="24"/>
          <w:szCs w:val="24"/>
        </w:rPr>
      </w:pPr>
    </w:p>
    <w:p w14:paraId="3BF8EE4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CANADA</w:t>
      </w:r>
    </w:p>
    <w:p w14:paraId="57DAC821" w14:textId="77777777" w:rsidR="00C424A2" w:rsidRPr="003F00DA" w:rsidRDefault="00C424A2" w:rsidP="00C424A2">
      <w:pPr>
        <w:spacing w:line="240" w:lineRule="auto"/>
        <w:rPr>
          <w:rFonts w:asciiTheme="majorHAnsi" w:hAnsiTheme="majorHAnsi" w:cstheme="majorHAnsi"/>
          <w:sz w:val="24"/>
          <w:szCs w:val="24"/>
        </w:rPr>
      </w:pPr>
    </w:p>
    <w:p w14:paraId="7F3C70C0"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Sarah Hawkshaw</w:t>
      </w:r>
    </w:p>
    <w:p w14:paraId="4CBE82F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and Oceans Canada</w:t>
      </w:r>
    </w:p>
    <w:p w14:paraId="43B40CE3"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Biologist</w:t>
      </w:r>
    </w:p>
    <w:p w14:paraId="6D5F264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sarah.hawkshaw@dfo-mpo.gc.ca</w:t>
      </w:r>
    </w:p>
    <w:p w14:paraId="764D1689" w14:textId="77777777" w:rsidR="00C424A2" w:rsidRPr="003F00DA" w:rsidRDefault="00C424A2" w:rsidP="00C424A2">
      <w:pPr>
        <w:spacing w:line="240" w:lineRule="auto"/>
        <w:rPr>
          <w:rFonts w:asciiTheme="majorHAnsi" w:hAnsiTheme="majorHAnsi" w:cstheme="majorHAnsi"/>
          <w:sz w:val="24"/>
          <w:szCs w:val="24"/>
        </w:rPr>
      </w:pPr>
    </w:p>
    <w:p w14:paraId="06667963"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JAPAN</w:t>
      </w:r>
    </w:p>
    <w:p w14:paraId="244B88EF" w14:textId="77777777" w:rsidR="00C424A2" w:rsidRPr="003F00DA" w:rsidRDefault="00C424A2" w:rsidP="00C424A2">
      <w:pPr>
        <w:spacing w:line="240" w:lineRule="auto"/>
        <w:rPr>
          <w:rFonts w:asciiTheme="majorHAnsi" w:hAnsiTheme="majorHAnsi" w:cstheme="majorHAnsi"/>
          <w:sz w:val="24"/>
          <w:szCs w:val="24"/>
        </w:rPr>
      </w:pPr>
    </w:p>
    <w:p w14:paraId="00D0F49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 xml:space="preserve"> Masahide Kannou</w:t>
      </w:r>
    </w:p>
    <w:p w14:paraId="6B45294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Agency of Japan</w:t>
      </w:r>
    </w:p>
    <w:p w14:paraId="574DD83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Staff, International Affairs Division</w:t>
      </w:r>
    </w:p>
    <w:p w14:paraId="606BD32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masahide_kanno210@maff.go.jp</w:t>
      </w:r>
    </w:p>
    <w:p w14:paraId="2390429B" w14:textId="77777777" w:rsidR="00C424A2" w:rsidRPr="003F00DA" w:rsidRDefault="00C424A2" w:rsidP="00C424A2">
      <w:pPr>
        <w:spacing w:line="240" w:lineRule="auto"/>
        <w:rPr>
          <w:rFonts w:asciiTheme="majorHAnsi" w:hAnsiTheme="majorHAnsi" w:cstheme="majorHAnsi"/>
          <w:sz w:val="24"/>
          <w:szCs w:val="24"/>
        </w:rPr>
      </w:pPr>
    </w:p>
    <w:p w14:paraId="7057FA10"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Hiroki Ihara</w:t>
      </w:r>
    </w:p>
    <w:p w14:paraId="7A213C2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Federation Of North Pacific District Purse Seine Fisheries Cooperative associations of Japan</w:t>
      </w:r>
    </w:p>
    <w:p w14:paraId="680CDC2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Assistant Manager</w:t>
      </w:r>
    </w:p>
    <w:p w14:paraId="5066FBD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hiroki_ihara540@kitamaki.jp</w:t>
      </w:r>
    </w:p>
    <w:p w14:paraId="19D7627C" w14:textId="77777777" w:rsidR="00C424A2" w:rsidRPr="003F00DA" w:rsidRDefault="00C424A2" w:rsidP="00C424A2">
      <w:pPr>
        <w:spacing w:line="240" w:lineRule="auto"/>
        <w:rPr>
          <w:rFonts w:asciiTheme="majorHAnsi" w:hAnsiTheme="majorHAnsi" w:cstheme="majorHAnsi"/>
          <w:sz w:val="24"/>
          <w:szCs w:val="24"/>
        </w:rPr>
      </w:pPr>
    </w:p>
    <w:p w14:paraId="76E9F58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Hiromu Fukuda</w:t>
      </w:r>
    </w:p>
    <w:p w14:paraId="087E1F8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Research and Education Agency of Japan, Fisheries Resources Institute</w:t>
      </w:r>
    </w:p>
    <w:p w14:paraId="698B6650"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Head, Bluefin Tunas Group,  Highly Migrately Resources Division</w:t>
      </w:r>
    </w:p>
    <w:p w14:paraId="23E0EBB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fukuda_hiromu57@fra.go.jp</w:t>
      </w:r>
    </w:p>
    <w:p w14:paraId="06BFD7D3" w14:textId="77777777" w:rsidR="00C424A2" w:rsidRPr="003F00DA" w:rsidRDefault="00C424A2" w:rsidP="00C424A2">
      <w:pPr>
        <w:spacing w:line="240" w:lineRule="auto"/>
        <w:rPr>
          <w:rFonts w:asciiTheme="majorHAnsi" w:hAnsiTheme="majorHAnsi" w:cstheme="majorHAnsi"/>
          <w:sz w:val="24"/>
          <w:szCs w:val="24"/>
        </w:rPr>
      </w:pPr>
    </w:p>
    <w:p w14:paraId="08C7754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Katsuya Sato</w:t>
      </w:r>
    </w:p>
    <w:p w14:paraId="66EBAE90"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Agency of Japan</w:t>
      </w:r>
    </w:p>
    <w:p w14:paraId="7A94AED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staff</w:t>
      </w:r>
    </w:p>
    <w:p w14:paraId="35054B5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katsuya_sato770@maff.go.jp</w:t>
      </w:r>
    </w:p>
    <w:p w14:paraId="272860F0" w14:textId="77777777" w:rsidR="00C424A2" w:rsidRPr="003F00DA" w:rsidRDefault="00C424A2" w:rsidP="00C424A2">
      <w:pPr>
        <w:spacing w:line="240" w:lineRule="auto"/>
        <w:rPr>
          <w:rFonts w:asciiTheme="majorHAnsi" w:hAnsiTheme="majorHAnsi" w:cstheme="majorHAnsi"/>
          <w:sz w:val="24"/>
          <w:szCs w:val="24"/>
        </w:rPr>
      </w:pPr>
    </w:p>
    <w:p w14:paraId="531B953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Kazushige Hazama</w:t>
      </w:r>
    </w:p>
    <w:p w14:paraId="6438BB3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National Offshore Tuna Fisheries Association of Japan</w:t>
      </w:r>
    </w:p>
    <w:p w14:paraId="6F7240EE"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Manager</w:t>
      </w:r>
    </w:p>
    <w:p w14:paraId="0D31ED8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hazama@kinkatsukyo.or.jp</w:t>
      </w:r>
    </w:p>
    <w:p w14:paraId="4F718897" w14:textId="77777777" w:rsidR="00C424A2" w:rsidRPr="003F00DA" w:rsidRDefault="00C424A2" w:rsidP="00C424A2">
      <w:pPr>
        <w:spacing w:line="240" w:lineRule="auto"/>
        <w:rPr>
          <w:rFonts w:asciiTheme="majorHAnsi" w:hAnsiTheme="majorHAnsi" w:cstheme="majorHAnsi"/>
          <w:sz w:val="24"/>
          <w:szCs w:val="24"/>
        </w:rPr>
      </w:pPr>
    </w:p>
    <w:p w14:paraId="5191E61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Kenji Aoki</w:t>
      </w:r>
    </w:p>
    <w:p w14:paraId="6533F28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Nitto Suisan</w:t>
      </w:r>
    </w:p>
    <w:p w14:paraId="14EB91B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Managing Director</w:t>
      </w:r>
    </w:p>
    <w:p w14:paraId="2C41D23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kenji.aoki@nittosuisan.com</w:t>
      </w:r>
    </w:p>
    <w:p w14:paraId="7429DB9F" w14:textId="77777777" w:rsidR="00C424A2" w:rsidRPr="003F00DA" w:rsidRDefault="00C424A2" w:rsidP="00C424A2">
      <w:pPr>
        <w:spacing w:line="240" w:lineRule="auto"/>
        <w:rPr>
          <w:rFonts w:asciiTheme="majorHAnsi" w:hAnsiTheme="majorHAnsi" w:cstheme="majorHAnsi"/>
          <w:sz w:val="24"/>
          <w:szCs w:val="24"/>
        </w:rPr>
      </w:pPr>
    </w:p>
    <w:p w14:paraId="04DB4E9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Nobushige Shimizu</w:t>
      </w:r>
    </w:p>
    <w:p w14:paraId="6C6292A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Agency of Japany</w:t>
      </w:r>
    </w:p>
    <w:p w14:paraId="1CA0F96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Staff</w:t>
      </w:r>
    </w:p>
    <w:p w14:paraId="668D554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nobushige_shimizu640@maff.go.jp</w:t>
      </w:r>
    </w:p>
    <w:p w14:paraId="570EB6ED" w14:textId="77777777" w:rsidR="00C424A2" w:rsidRPr="003F00DA" w:rsidRDefault="00C424A2" w:rsidP="00C424A2">
      <w:pPr>
        <w:spacing w:line="240" w:lineRule="auto"/>
        <w:rPr>
          <w:rFonts w:asciiTheme="majorHAnsi" w:hAnsiTheme="majorHAnsi" w:cstheme="majorHAnsi"/>
          <w:sz w:val="24"/>
          <w:szCs w:val="24"/>
        </w:rPr>
      </w:pPr>
    </w:p>
    <w:p w14:paraId="6A8C8C4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Shuya Nakatsuka</w:t>
      </w:r>
    </w:p>
    <w:p w14:paraId="2CEE1BA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Resources Institute</w:t>
      </w:r>
    </w:p>
    <w:p w14:paraId="45A8387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lastRenderedPageBreak/>
        <w:t>Deputy Director, Highly Migratory Resources Division</w:t>
      </w:r>
    </w:p>
    <w:p w14:paraId="618B737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nakatsuka_shuya49@fra.go.jp</w:t>
      </w:r>
    </w:p>
    <w:p w14:paraId="3DDA7414" w14:textId="77777777" w:rsidR="00C424A2" w:rsidRPr="003F00DA" w:rsidRDefault="00C424A2" w:rsidP="00C424A2">
      <w:pPr>
        <w:spacing w:line="240" w:lineRule="auto"/>
        <w:rPr>
          <w:rFonts w:asciiTheme="majorHAnsi" w:hAnsiTheme="majorHAnsi" w:cstheme="majorHAnsi"/>
          <w:sz w:val="24"/>
          <w:szCs w:val="24"/>
        </w:rPr>
      </w:pPr>
    </w:p>
    <w:p w14:paraId="00A3EBC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Takumi Fukuda</w:t>
      </w:r>
    </w:p>
    <w:p w14:paraId="2B99C45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Agency of Japan</w:t>
      </w:r>
    </w:p>
    <w:p w14:paraId="450EA95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 xml:space="preserve">Resource Management Department </w:t>
      </w:r>
    </w:p>
    <w:p w14:paraId="5E82F1C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takumi_fukuda720@maff.go.jp</w:t>
      </w:r>
    </w:p>
    <w:p w14:paraId="6082B4B0" w14:textId="77777777" w:rsidR="00C424A2" w:rsidRPr="003F00DA" w:rsidRDefault="00C424A2" w:rsidP="00C424A2">
      <w:pPr>
        <w:spacing w:line="240" w:lineRule="auto"/>
        <w:rPr>
          <w:rFonts w:asciiTheme="majorHAnsi" w:hAnsiTheme="majorHAnsi" w:cstheme="majorHAnsi"/>
          <w:sz w:val="24"/>
          <w:szCs w:val="24"/>
        </w:rPr>
      </w:pPr>
    </w:p>
    <w:p w14:paraId="115AA9C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Yayoi Otani</w:t>
      </w:r>
    </w:p>
    <w:p w14:paraId="5E2F984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Agency of Japan</w:t>
      </w:r>
    </w:p>
    <w:p w14:paraId="62F187A0"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Staff</w:t>
      </w:r>
    </w:p>
    <w:p w14:paraId="66ECE8E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yayoi_otani420@maff.go.jp</w:t>
      </w:r>
    </w:p>
    <w:p w14:paraId="29B0CA34" w14:textId="77777777" w:rsidR="00C424A2" w:rsidRPr="003F00DA" w:rsidRDefault="00C424A2" w:rsidP="00C424A2">
      <w:pPr>
        <w:spacing w:line="240" w:lineRule="auto"/>
        <w:rPr>
          <w:rFonts w:asciiTheme="majorHAnsi" w:hAnsiTheme="majorHAnsi" w:cstheme="majorHAnsi"/>
          <w:sz w:val="24"/>
          <w:szCs w:val="24"/>
        </w:rPr>
      </w:pPr>
    </w:p>
    <w:p w14:paraId="7E49FB43"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Yoshihiro Notomi</w:t>
      </w:r>
    </w:p>
    <w:p w14:paraId="7739396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National Offshore Tuna Fisheries Association of Japan</w:t>
      </w:r>
    </w:p>
    <w:p w14:paraId="695B9B80"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Managing Director</w:t>
      </w:r>
    </w:p>
    <w:p w14:paraId="7A69662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notomi@kinkatsukyo.or.jp</w:t>
      </w:r>
    </w:p>
    <w:p w14:paraId="38819CAC" w14:textId="77777777" w:rsidR="00C424A2" w:rsidRPr="003F00DA" w:rsidRDefault="00C424A2" w:rsidP="00C424A2">
      <w:pPr>
        <w:spacing w:line="240" w:lineRule="auto"/>
        <w:rPr>
          <w:rFonts w:asciiTheme="majorHAnsi" w:hAnsiTheme="majorHAnsi" w:cstheme="majorHAnsi"/>
          <w:sz w:val="24"/>
          <w:szCs w:val="24"/>
        </w:rPr>
      </w:pPr>
    </w:p>
    <w:p w14:paraId="5F64418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Yuji Uozumi</w:t>
      </w:r>
    </w:p>
    <w:p w14:paraId="2432F073"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Japan Tuna Fisheries Co-operative Association</w:t>
      </w:r>
    </w:p>
    <w:p w14:paraId="513F30C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Adviser</w:t>
      </w:r>
    </w:p>
    <w:p w14:paraId="003F740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uozumi@japantuna.or.jp</w:t>
      </w:r>
    </w:p>
    <w:p w14:paraId="1D52DE54" w14:textId="77777777" w:rsidR="00C424A2" w:rsidRPr="003F00DA" w:rsidRDefault="00C424A2" w:rsidP="00C424A2">
      <w:pPr>
        <w:spacing w:line="240" w:lineRule="auto"/>
        <w:rPr>
          <w:rFonts w:asciiTheme="majorHAnsi" w:hAnsiTheme="majorHAnsi" w:cstheme="majorHAnsi"/>
          <w:sz w:val="24"/>
          <w:szCs w:val="24"/>
        </w:rPr>
      </w:pPr>
    </w:p>
    <w:p w14:paraId="0F27EF5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MEXICO</w:t>
      </w:r>
    </w:p>
    <w:p w14:paraId="0A14E480" w14:textId="77777777" w:rsidR="00C424A2" w:rsidRPr="003F00DA" w:rsidRDefault="00C424A2" w:rsidP="00C424A2">
      <w:pPr>
        <w:spacing w:line="240" w:lineRule="auto"/>
        <w:rPr>
          <w:rFonts w:asciiTheme="majorHAnsi" w:hAnsiTheme="majorHAnsi" w:cstheme="majorHAnsi"/>
          <w:sz w:val="24"/>
          <w:szCs w:val="24"/>
        </w:rPr>
      </w:pPr>
    </w:p>
    <w:p w14:paraId="5E8EAF7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Alexis Gutierrez</w:t>
      </w:r>
    </w:p>
    <w:p w14:paraId="22EDF4B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K&amp;L Gates/Baja Aqua Farms</w:t>
      </w:r>
    </w:p>
    <w:p w14:paraId="1DD303A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Government Affairs Advisor</w:t>
      </w:r>
    </w:p>
    <w:p w14:paraId="4340D7D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alexis.gutierrez@klgates.com</w:t>
      </w:r>
    </w:p>
    <w:p w14:paraId="29A544B3" w14:textId="77777777" w:rsidR="00C424A2" w:rsidRPr="003F00DA" w:rsidRDefault="00C424A2" w:rsidP="00C424A2">
      <w:pPr>
        <w:spacing w:line="240" w:lineRule="auto"/>
        <w:rPr>
          <w:rFonts w:asciiTheme="majorHAnsi" w:hAnsiTheme="majorHAnsi" w:cstheme="majorHAnsi"/>
          <w:sz w:val="24"/>
          <w:szCs w:val="24"/>
        </w:rPr>
      </w:pPr>
    </w:p>
    <w:p w14:paraId="4449489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Manuel Heriberto Vazquez Escudero</w:t>
      </w:r>
    </w:p>
    <w:p w14:paraId="4A72A03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Baja Aqua-Farms</w:t>
      </w:r>
    </w:p>
    <w:p w14:paraId="2A797C9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CEO</w:t>
      </w:r>
    </w:p>
    <w:p w14:paraId="11AE0E3E"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manuel.vazquez@bajaaquafarms.mx</w:t>
      </w:r>
    </w:p>
    <w:p w14:paraId="5D652262" w14:textId="77777777" w:rsidR="00C424A2" w:rsidRPr="003F00DA" w:rsidRDefault="00C424A2" w:rsidP="00C424A2">
      <w:pPr>
        <w:spacing w:line="240" w:lineRule="auto"/>
        <w:rPr>
          <w:rFonts w:asciiTheme="majorHAnsi" w:hAnsiTheme="majorHAnsi" w:cstheme="majorHAnsi"/>
          <w:sz w:val="24"/>
          <w:szCs w:val="24"/>
        </w:rPr>
      </w:pPr>
    </w:p>
    <w:p w14:paraId="304A7646" w14:textId="77777777" w:rsidR="00FA4C04" w:rsidRPr="00D80452" w:rsidRDefault="00FA4C04" w:rsidP="00FA4C04">
      <w:pPr>
        <w:rPr>
          <w:rFonts w:asciiTheme="majorHAnsi" w:hAnsiTheme="majorHAnsi" w:cstheme="majorHAnsi"/>
          <w:sz w:val="24"/>
          <w:szCs w:val="24"/>
        </w:rPr>
      </w:pPr>
      <w:r w:rsidRPr="00D80452">
        <w:rPr>
          <w:rFonts w:asciiTheme="majorHAnsi" w:hAnsiTheme="majorHAnsi" w:cstheme="majorHAnsi"/>
          <w:sz w:val="24"/>
          <w:szCs w:val="24"/>
        </w:rPr>
        <w:t>Martha Elena Betancourt</w:t>
      </w:r>
    </w:p>
    <w:p w14:paraId="33A8193F" w14:textId="77777777" w:rsidR="00FA4C04" w:rsidRPr="00D80452" w:rsidRDefault="00FA4C04" w:rsidP="00FA4C04">
      <w:pPr>
        <w:rPr>
          <w:rFonts w:asciiTheme="majorHAnsi" w:hAnsiTheme="majorHAnsi" w:cstheme="majorHAnsi"/>
          <w:sz w:val="24"/>
          <w:szCs w:val="24"/>
        </w:rPr>
      </w:pPr>
      <w:r w:rsidRPr="00D80452">
        <w:rPr>
          <w:rFonts w:asciiTheme="majorHAnsi" w:hAnsiTheme="majorHAnsi" w:cstheme="majorHAnsi"/>
          <w:sz w:val="24"/>
          <w:szCs w:val="24"/>
        </w:rPr>
        <w:t>FIDEMAR</w:t>
      </w:r>
    </w:p>
    <w:p w14:paraId="52DD5A1B" w14:textId="77777777" w:rsidR="00FA4C04" w:rsidRPr="00D80452" w:rsidRDefault="00FA4C04" w:rsidP="00FA4C04">
      <w:pPr>
        <w:rPr>
          <w:rFonts w:asciiTheme="majorHAnsi" w:hAnsiTheme="majorHAnsi" w:cstheme="majorHAnsi"/>
          <w:sz w:val="24"/>
          <w:szCs w:val="24"/>
        </w:rPr>
      </w:pPr>
      <w:r w:rsidRPr="00D80452">
        <w:rPr>
          <w:rFonts w:asciiTheme="majorHAnsi" w:hAnsiTheme="majorHAnsi" w:cstheme="majorHAnsi"/>
          <w:sz w:val="24"/>
          <w:szCs w:val="24"/>
        </w:rPr>
        <w:t>Research </w:t>
      </w:r>
    </w:p>
    <w:p w14:paraId="10D69DF2" w14:textId="77777777" w:rsidR="00FA4C04" w:rsidRPr="00D80452" w:rsidRDefault="00FA4C04" w:rsidP="00FA4C04">
      <w:pPr>
        <w:rPr>
          <w:rFonts w:asciiTheme="majorHAnsi" w:hAnsiTheme="majorHAnsi" w:cstheme="majorHAnsi"/>
          <w:sz w:val="24"/>
          <w:szCs w:val="24"/>
        </w:rPr>
      </w:pPr>
      <w:hyperlink r:id="rId9" w:history="1">
        <w:r w:rsidRPr="00D80452">
          <w:rPr>
            <w:rStyle w:val="Hyperlink"/>
            <w:rFonts w:asciiTheme="majorHAnsi" w:hAnsiTheme="majorHAnsi" w:cstheme="majorHAnsi"/>
            <w:sz w:val="24"/>
            <w:szCs w:val="24"/>
          </w:rPr>
          <w:t>martha.betancourt@uabc.edu.mx</w:t>
        </w:r>
      </w:hyperlink>
    </w:p>
    <w:p w14:paraId="3F648426" w14:textId="77777777" w:rsidR="00FA4C04" w:rsidRDefault="00FA4C04" w:rsidP="00C424A2">
      <w:pPr>
        <w:spacing w:line="240" w:lineRule="auto"/>
        <w:rPr>
          <w:rFonts w:asciiTheme="majorHAnsi" w:eastAsia="Times New Roman" w:hAnsiTheme="majorHAnsi" w:cstheme="majorHAnsi"/>
          <w:b/>
          <w:bCs/>
          <w:sz w:val="24"/>
          <w:szCs w:val="24"/>
        </w:rPr>
      </w:pPr>
    </w:p>
    <w:p w14:paraId="0BE4FCD8" w14:textId="7D79A965"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Michel Dreyfus</w:t>
      </w:r>
    </w:p>
    <w:p w14:paraId="6AC4ABE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FIDEMAR</w:t>
      </w:r>
    </w:p>
    <w:p w14:paraId="1602C68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In charge of research</w:t>
      </w:r>
    </w:p>
    <w:p w14:paraId="0387298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mchldryfs@gmail.com</w:t>
      </w:r>
    </w:p>
    <w:p w14:paraId="7351A70A" w14:textId="77777777" w:rsidR="00C424A2" w:rsidRPr="003F00DA" w:rsidRDefault="00C424A2" w:rsidP="00C424A2">
      <w:pPr>
        <w:spacing w:line="240" w:lineRule="auto"/>
        <w:rPr>
          <w:rFonts w:asciiTheme="majorHAnsi" w:hAnsiTheme="majorHAnsi" w:cstheme="majorHAnsi"/>
          <w:sz w:val="24"/>
          <w:szCs w:val="24"/>
        </w:rPr>
      </w:pPr>
    </w:p>
    <w:p w14:paraId="1E8219E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Rodrigo Armada Tapia</w:t>
      </w:r>
    </w:p>
    <w:p w14:paraId="002882B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Baja Aqua Farms</w:t>
      </w:r>
    </w:p>
    <w:p w14:paraId="2D2B917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Chief Sustainability Officer</w:t>
      </w:r>
    </w:p>
    <w:p w14:paraId="7B78DDD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rodrigo.armada@bajaaquafarms.mx</w:t>
      </w:r>
    </w:p>
    <w:p w14:paraId="66E39E9A" w14:textId="77777777" w:rsidR="00C424A2" w:rsidRPr="003F00DA" w:rsidRDefault="00C424A2" w:rsidP="00C424A2">
      <w:pPr>
        <w:spacing w:line="240" w:lineRule="auto"/>
        <w:rPr>
          <w:rFonts w:asciiTheme="majorHAnsi" w:hAnsiTheme="majorHAnsi" w:cstheme="majorHAnsi"/>
          <w:sz w:val="24"/>
          <w:szCs w:val="24"/>
        </w:rPr>
      </w:pPr>
    </w:p>
    <w:p w14:paraId="454872F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NEW ZEALAND</w:t>
      </w:r>
    </w:p>
    <w:p w14:paraId="076EE1E5" w14:textId="77777777" w:rsidR="00C424A2" w:rsidRPr="003F00DA" w:rsidRDefault="00C424A2" w:rsidP="00C424A2">
      <w:pPr>
        <w:spacing w:line="240" w:lineRule="auto"/>
        <w:rPr>
          <w:rFonts w:asciiTheme="majorHAnsi" w:hAnsiTheme="majorHAnsi" w:cstheme="majorHAnsi"/>
          <w:sz w:val="24"/>
          <w:szCs w:val="24"/>
        </w:rPr>
      </w:pPr>
    </w:p>
    <w:p w14:paraId="43DCCD3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Robert Gear</w:t>
      </w:r>
    </w:p>
    <w:p w14:paraId="08B93AE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Ministry for Primary Industries</w:t>
      </w:r>
    </w:p>
    <w:p w14:paraId="45148E4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Manager, Highly Migratory Species and Pacific Fisheries Team</w:t>
      </w:r>
    </w:p>
    <w:p w14:paraId="40A3DB2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robert.gear@mpi.govt.nz</w:t>
      </w:r>
    </w:p>
    <w:p w14:paraId="691BC720" w14:textId="77777777" w:rsidR="00C424A2" w:rsidRPr="003F00DA" w:rsidRDefault="00C424A2" w:rsidP="00C424A2">
      <w:pPr>
        <w:spacing w:line="240" w:lineRule="auto"/>
        <w:rPr>
          <w:rFonts w:asciiTheme="majorHAnsi" w:hAnsiTheme="majorHAnsi" w:cstheme="majorHAnsi"/>
          <w:sz w:val="24"/>
          <w:szCs w:val="24"/>
        </w:rPr>
      </w:pPr>
    </w:p>
    <w:p w14:paraId="69B313E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Vivita Matanimeke</w:t>
      </w:r>
    </w:p>
    <w:p w14:paraId="160F79B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MPI</w:t>
      </w:r>
    </w:p>
    <w:p w14:paraId="6ABDDB9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 xml:space="preserve">Senior Policy Analyst </w:t>
      </w:r>
    </w:p>
    <w:p w14:paraId="109E15D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vivita.matanimeke@mpi.govt.nz</w:t>
      </w:r>
    </w:p>
    <w:p w14:paraId="1BB86E63" w14:textId="77777777" w:rsidR="00C424A2" w:rsidRPr="003F00DA" w:rsidRDefault="00C424A2" w:rsidP="00C424A2">
      <w:pPr>
        <w:spacing w:line="240" w:lineRule="auto"/>
        <w:rPr>
          <w:rFonts w:asciiTheme="majorHAnsi" w:hAnsiTheme="majorHAnsi" w:cstheme="majorHAnsi"/>
          <w:sz w:val="24"/>
          <w:szCs w:val="24"/>
        </w:rPr>
      </w:pPr>
    </w:p>
    <w:p w14:paraId="0D6F95E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REPUBLIC OF KOREA</w:t>
      </w:r>
    </w:p>
    <w:p w14:paraId="0CD73CEE" w14:textId="77777777" w:rsidR="00C424A2" w:rsidRPr="003F00DA" w:rsidRDefault="00C424A2" w:rsidP="00C424A2">
      <w:pPr>
        <w:spacing w:line="240" w:lineRule="auto"/>
        <w:rPr>
          <w:rFonts w:asciiTheme="majorHAnsi" w:hAnsiTheme="majorHAnsi" w:cstheme="majorHAnsi"/>
          <w:sz w:val="24"/>
          <w:szCs w:val="24"/>
        </w:rPr>
      </w:pPr>
    </w:p>
    <w:p w14:paraId="384920C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Ilkang Na</w:t>
      </w:r>
    </w:p>
    <w:p w14:paraId="687BFDA3"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Ministry of Oceans and Fisheries</w:t>
      </w:r>
    </w:p>
    <w:p w14:paraId="77BE33A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Multilateral Fisheries Negotiator</w:t>
      </w:r>
    </w:p>
    <w:p w14:paraId="56D0548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ikna@korea.kr</w:t>
      </w:r>
    </w:p>
    <w:p w14:paraId="114878C5" w14:textId="77777777" w:rsidR="00C424A2" w:rsidRPr="003F00DA" w:rsidRDefault="00C424A2" w:rsidP="00C424A2">
      <w:pPr>
        <w:spacing w:line="240" w:lineRule="auto"/>
        <w:rPr>
          <w:rFonts w:asciiTheme="majorHAnsi" w:hAnsiTheme="majorHAnsi" w:cstheme="majorHAnsi"/>
          <w:sz w:val="24"/>
          <w:szCs w:val="24"/>
        </w:rPr>
      </w:pPr>
    </w:p>
    <w:p w14:paraId="244DE55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Mr Jae-geol Yang</w:t>
      </w:r>
    </w:p>
    <w:p w14:paraId="5B64619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Korea Overseas Fisheries Cooperation Center</w:t>
      </w:r>
    </w:p>
    <w:p w14:paraId="3501E5E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Policy Analyst</w:t>
      </w:r>
    </w:p>
    <w:p w14:paraId="24DCCFC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jg718@kofci.org</w:t>
      </w:r>
    </w:p>
    <w:p w14:paraId="461B62AD" w14:textId="77777777" w:rsidR="00C424A2" w:rsidRPr="003F00DA" w:rsidRDefault="00C424A2" w:rsidP="00C424A2">
      <w:pPr>
        <w:spacing w:line="240" w:lineRule="auto"/>
        <w:rPr>
          <w:rFonts w:asciiTheme="majorHAnsi" w:hAnsiTheme="majorHAnsi" w:cstheme="majorHAnsi"/>
          <w:sz w:val="24"/>
          <w:szCs w:val="24"/>
        </w:rPr>
      </w:pPr>
    </w:p>
    <w:p w14:paraId="23A563D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CHINESE TAIPEI</w:t>
      </w:r>
    </w:p>
    <w:p w14:paraId="1AF3CC2E" w14:textId="77777777" w:rsidR="00C424A2" w:rsidRPr="003F00DA" w:rsidRDefault="00C424A2" w:rsidP="00C424A2">
      <w:pPr>
        <w:spacing w:line="240" w:lineRule="auto"/>
        <w:rPr>
          <w:rFonts w:asciiTheme="majorHAnsi" w:hAnsiTheme="majorHAnsi" w:cstheme="majorHAnsi"/>
          <w:sz w:val="24"/>
          <w:szCs w:val="24"/>
        </w:rPr>
      </w:pPr>
    </w:p>
    <w:p w14:paraId="15ECC67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Fanchiang Woh-jou</w:t>
      </w:r>
    </w:p>
    <w:p w14:paraId="3786C78E"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Pacific Ocean Fisheries Management Section, Distant Water Fisheries Division, Fisheries Agency, Ministry of Agriculture</w:t>
      </w:r>
    </w:p>
    <w:p w14:paraId="48A263E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Associate Technical Specialist</w:t>
      </w:r>
    </w:p>
    <w:p w14:paraId="18DEB20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wohjou0327@ms1.fa.gov.tw</w:t>
      </w:r>
    </w:p>
    <w:p w14:paraId="325FFFEC" w14:textId="77777777" w:rsidR="00C424A2" w:rsidRPr="003F00DA" w:rsidRDefault="00C424A2" w:rsidP="00C424A2">
      <w:pPr>
        <w:spacing w:line="240" w:lineRule="auto"/>
        <w:rPr>
          <w:rFonts w:asciiTheme="majorHAnsi" w:hAnsiTheme="majorHAnsi" w:cstheme="majorHAnsi"/>
          <w:sz w:val="24"/>
          <w:szCs w:val="24"/>
        </w:rPr>
      </w:pPr>
    </w:p>
    <w:p w14:paraId="27E9CA9E"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Joy Hsiangyi Yu</w:t>
      </w:r>
    </w:p>
    <w:p w14:paraId="4F0EC69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Agency, Ministry of Agriculture</w:t>
      </w:r>
    </w:p>
    <w:p w14:paraId="04E6969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Section Chief, Pacific Ocean Fisheries Management Section, Distant Water Fisheries Division</w:t>
      </w:r>
    </w:p>
    <w:p w14:paraId="1D2B9D4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hsiangyi@ms1.fa.gov.tw</w:t>
      </w:r>
    </w:p>
    <w:p w14:paraId="2D3DB41D" w14:textId="77777777" w:rsidR="00C424A2" w:rsidRPr="003F00DA" w:rsidRDefault="00C424A2" w:rsidP="00C424A2">
      <w:pPr>
        <w:spacing w:line="240" w:lineRule="auto"/>
        <w:rPr>
          <w:rFonts w:asciiTheme="majorHAnsi" w:hAnsiTheme="majorHAnsi" w:cstheme="majorHAnsi"/>
          <w:sz w:val="24"/>
          <w:szCs w:val="24"/>
        </w:rPr>
      </w:pPr>
    </w:p>
    <w:p w14:paraId="3333980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Shui-Kai Chang</w:t>
      </w:r>
    </w:p>
    <w:p w14:paraId="5D5BEFB3"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National Sun Yat-sen University</w:t>
      </w:r>
    </w:p>
    <w:p w14:paraId="2B0797D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Professor</w:t>
      </w:r>
    </w:p>
    <w:p w14:paraId="5D590FE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skchang@faculty.nsysu.edu.tw</w:t>
      </w:r>
    </w:p>
    <w:p w14:paraId="3CC53531" w14:textId="77777777" w:rsidR="00C424A2" w:rsidRPr="003F00DA" w:rsidRDefault="00C424A2" w:rsidP="00C424A2">
      <w:pPr>
        <w:spacing w:line="240" w:lineRule="auto"/>
        <w:rPr>
          <w:rFonts w:asciiTheme="majorHAnsi" w:hAnsiTheme="majorHAnsi" w:cstheme="majorHAnsi"/>
          <w:sz w:val="24"/>
          <w:szCs w:val="24"/>
        </w:rPr>
      </w:pPr>
    </w:p>
    <w:p w14:paraId="74966BD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Tzu-Ching Yu</w:t>
      </w:r>
    </w:p>
    <w:p w14:paraId="49B33B0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Overseas Fisheries Development Council</w:t>
      </w:r>
    </w:p>
    <w:p w14:paraId="7BEBFFA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Secretary</w:t>
      </w:r>
    </w:p>
    <w:p w14:paraId="27BBF63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evan@ofdc.org.tw</w:t>
      </w:r>
    </w:p>
    <w:p w14:paraId="70E1BE0C" w14:textId="77777777" w:rsidR="00C424A2" w:rsidRPr="003F00DA" w:rsidRDefault="00C424A2" w:rsidP="00C424A2">
      <w:pPr>
        <w:spacing w:line="240" w:lineRule="auto"/>
        <w:rPr>
          <w:rFonts w:asciiTheme="majorHAnsi" w:hAnsiTheme="majorHAnsi" w:cstheme="majorHAnsi"/>
          <w:sz w:val="24"/>
          <w:szCs w:val="24"/>
        </w:rPr>
      </w:pPr>
    </w:p>
    <w:p w14:paraId="1F44CE4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UNITED STATES OF AMERICA</w:t>
      </w:r>
    </w:p>
    <w:p w14:paraId="2DAAD782" w14:textId="77777777" w:rsidR="00C424A2" w:rsidRPr="003F00DA" w:rsidRDefault="00C424A2" w:rsidP="00C424A2">
      <w:pPr>
        <w:spacing w:line="240" w:lineRule="auto"/>
        <w:rPr>
          <w:rFonts w:asciiTheme="majorHAnsi" w:hAnsiTheme="majorHAnsi" w:cstheme="majorHAnsi"/>
          <w:sz w:val="24"/>
          <w:szCs w:val="24"/>
        </w:rPr>
      </w:pPr>
    </w:p>
    <w:p w14:paraId="0E1A5BE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Andrew Lawler</w:t>
      </w:r>
    </w:p>
    <w:p w14:paraId="2444D0A3"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NOAA</w:t>
      </w:r>
    </w:p>
    <w:p w14:paraId="7F04D2A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Principal Deputy Assistant Secretary for International Fisheries</w:t>
      </w:r>
    </w:p>
    <w:p w14:paraId="77116D63"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andrew.lawler@noaa.gov</w:t>
      </w:r>
    </w:p>
    <w:p w14:paraId="729E5564" w14:textId="77777777" w:rsidR="00C424A2" w:rsidRPr="003F00DA" w:rsidRDefault="00C424A2" w:rsidP="00C424A2">
      <w:pPr>
        <w:spacing w:line="240" w:lineRule="auto"/>
        <w:rPr>
          <w:rFonts w:asciiTheme="majorHAnsi" w:hAnsiTheme="majorHAnsi" w:cstheme="majorHAnsi"/>
          <w:sz w:val="24"/>
          <w:szCs w:val="24"/>
        </w:rPr>
      </w:pPr>
    </w:p>
    <w:p w14:paraId="3F3EC2D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Amanda Munro</w:t>
      </w:r>
    </w:p>
    <w:p w14:paraId="65C62A3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NOAA Fisheries</w:t>
      </w:r>
    </w:p>
    <w:p w14:paraId="7E4D837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West Coast Regional Office</w:t>
      </w:r>
    </w:p>
    <w:p w14:paraId="7EB8B0F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amanda.munro@noaa.gov</w:t>
      </w:r>
    </w:p>
    <w:p w14:paraId="0E69B3A6" w14:textId="77777777" w:rsidR="00C424A2" w:rsidRPr="003F00DA" w:rsidRDefault="00C424A2" w:rsidP="00C424A2">
      <w:pPr>
        <w:spacing w:line="240" w:lineRule="auto"/>
        <w:rPr>
          <w:rFonts w:asciiTheme="majorHAnsi" w:hAnsiTheme="majorHAnsi" w:cstheme="majorHAnsi"/>
          <w:sz w:val="24"/>
          <w:szCs w:val="24"/>
        </w:rPr>
      </w:pPr>
    </w:p>
    <w:p w14:paraId="081D988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Colin Brinkman</w:t>
      </w:r>
    </w:p>
    <w:p w14:paraId="7271803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U.S. Department of State</w:t>
      </w:r>
    </w:p>
    <w:p w14:paraId="07505330"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Foreign Affairs Officer</w:t>
      </w:r>
    </w:p>
    <w:p w14:paraId="2F941B80" w14:textId="77777777" w:rsidR="00C424A2" w:rsidRPr="003F00DA" w:rsidRDefault="00C424A2" w:rsidP="00C424A2">
      <w:pPr>
        <w:spacing w:line="240" w:lineRule="auto"/>
        <w:rPr>
          <w:rFonts w:asciiTheme="majorHAnsi" w:hAnsiTheme="majorHAnsi" w:cstheme="majorHAnsi"/>
          <w:sz w:val="24"/>
          <w:szCs w:val="24"/>
        </w:rPr>
      </w:pPr>
    </w:p>
    <w:p w14:paraId="5FEFC6C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Daniel Studt</w:t>
      </w:r>
    </w:p>
    <w:p w14:paraId="0CA9B2D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U.S. Department of Commerce - NOAA Fisheries</w:t>
      </w:r>
    </w:p>
    <w:p w14:paraId="653F715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Senior Policy Advisor</w:t>
      </w:r>
    </w:p>
    <w:p w14:paraId="4DEC2B7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daniel.studt@noaa.gov</w:t>
      </w:r>
    </w:p>
    <w:p w14:paraId="784D312D" w14:textId="77777777" w:rsidR="00C424A2" w:rsidRPr="003F00DA" w:rsidRDefault="00C424A2" w:rsidP="00C424A2">
      <w:pPr>
        <w:spacing w:line="240" w:lineRule="auto"/>
        <w:rPr>
          <w:rFonts w:asciiTheme="majorHAnsi" w:hAnsiTheme="majorHAnsi" w:cstheme="majorHAnsi"/>
          <w:sz w:val="24"/>
          <w:szCs w:val="24"/>
        </w:rPr>
      </w:pPr>
    </w:p>
    <w:p w14:paraId="4464723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Desiree Tommasi</w:t>
      </w:r>
    </w:p>
    <w:p w14:paraId="5C7EDDAE"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Collaborative Program, University of California Santa Cruz</w:t>
      </w:r>
    </w:p>
    <w:p w14:paraId="0A0B486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Project Scientist</w:t>
      </w:r>
    </w:p>
    <w:p w14:paraId="6DE5A2B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detommas@ucsc.edu</w:t>
      </w:r>
    </w:p>
    <w:p w14:paraId="1D9FED4C" w14:textId="77777777" w:rsidR="00C424A2" w:rsidRPr="003F00DA" w:rsidRDefault="00C424A2" w:rsidP="00C424A2">
      <w:pPr>
        <w:spacing w:line="240" w:lineRule="auto"/>
        <w:rPr>
          <w:rFonts w:asciiTheme="majorHAnsi" w:hAnsiTheme="majorHAnsi" w:cstheme="majorHAnsi"/>
          <w:sz w:val="24"/>
          <w:szCs w:val="24"/>
        </w:rPr>
      </w:pPr>
    </w:p>
    <w:p w14:paraId="1B5F33A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Elizabeth Hellmers</w:t>
      </w:r>
    </w:p>
    <w:p w14:paraId="2E4E877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Pacific Fishery Management Council/California Dept Fish &amp; Wildlife</w:t>
      </w:r>
    </w:p>
    <w:p w14:paraId="15AF66E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HMSMT Co-chair/Environmental Scientist</w:t>
      </w:r>
    </w:p>
    <w:p w14:paraId="050B65C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elizabeth.hellmers@wildlife.ca.gov</w:t>
      </w:r>
    </w:p>
    <w:p w14:paraId="214BCC5F" w14:textId="77777777" w:rsidR="00C424A2" w:rsidRPr="003F00DA" w:rsidRDefault="00C424A2" w:rsidP="00C424A2">
      <w:pPr>
        <w:spacing w:line="240" w:lineRule="auto"/>
        <w:rPr>
          <w:rFonts w:asciiTheme="majorHAnsi" w:hAnsiTheme="majorHAnsi" w:cstheme="majorHAnsi"/>
          <w:sz w:val="24"/>
          <w:szCs w:val="24"/>
        </w:rPr>
      </w:pPr>
    </w:p>
    <w:p w14:paraId="73EC2CE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Huihua Lee</w:t>
      </w:r>
    </w:p>
    <w:p w14:paraId="4682A1C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Southwest Fisheries Science Center, NMFS</w:t>
      </w:r>
    </w:p>
    <w:p w14:paraId="1C86559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Research Mathematical Statistician</w:t>
      </w:r>
    </w:p>
    <w:p w14:paraId="688E886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huihua.lee@noaa.gov</w:t>
      </w:r>
    </w:p>
    <w:p w14:paraId="3F14A021" w14:textId="77777777" w:rsidR="00C424A2" w:rsidRPr="003F00DA" w:rsidRDefault="00C424A2" w:rsidP="00C424A2">
      <w:pPr>
        <w:spacing w:line="240" w:lineRule="auto"/>
        <w:rPr>
          <w:rFonts w:asciiTheme="majorHAnsi" w:hAnsiTheme="majorHAnsi" w:cstheme="majorHAnsi"/>
          <w:sz w:val="24"/>
          <w:szCs w:val="24"/>
        </w:rPr>
      </w:pPr>
    </w:p>
    <w:p w14:paraId="154FE65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Jaime Diamond</w:t>
      </w:r>
    </w:p>
    <w:p w14:paraId="35451F2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Pacific Fishery Management Council</w:t>
      </w:r>
    </w:p>
    <w:p w14:paraId="37C8084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California At-Large Representative</w:t>
      </w:r>
    </w:p>
    <w:p w14:paraId="0FF397F1" w14:textId="77777777" w:rsidR="00C424A2" w:rsidRPr="003F00DA" w:rsidRDefault="00C424A2" w:rsidP="00C424A2">
      <w:pPr>
        <w:spacing w:line="240" w:lineRule="auto"/>
        <w:rPr>
          <w:rFonts w:asciiTheme="majorHAnsi" w:hAnsiTheme="majorHAnsi" w:cstheme="majorHAnsi"/>
          <w:sz w:val="24"/>
          <w:szCs w:val="24"/>
        </w:rPr>
      </w:pPr>
    </w:p>
    <w:p w14:paraId="0F18B8D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Joe Hamby</w:t>
      </w:r>
    </w:p>
    <w:p w14:paraId="4277E41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Cape Fisheries</w:t>
      </w:r>
    </w:p>
    <w:p w14:paraId="0C7684A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CEO</w:t>
      </w:r>
    </w:p>
    <w:p w14:paraId="39CCA26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JOE@JMHSERVICES.US</w:t>
      </w:r>
    </w:p>
    <w:p w14:paraId="7A7F6D82" w14:textId="77777777" w:rsidR="00C424A2" w:rsidRPr="003F00DA" w:rsidRDefault="00C424A2" w:rsidP="00C424A2">
      <w:pPr>
        <w:spacing w:line="240" w:lineRule="auto"/>
        <w:rPr>
          <w:rFonts w:asciiTheme="majorHAnsi" w:hAnsiTheme="majorHAnsi" w:cstheme="majorHAnsi"/>
          <w:sz w:val="24"/>
          <w:szCs w:val="24"/>
        </w:rPr>
      </w:pPr>
    </w:p>
    <w:p w14:paraId="05990C7E"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John Zuanich</w:t>
      </w:r>
    </w:p>
    <w:p w14:paraId="5B80DF6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JZ Trading</w:t>
      </w:r>
    </w:p>
    <w:p w14:paraId="7A07D4B3"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United States</w:t>
      </w:r>
    </w:p>
    <w:p w14:paraId="1977C62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jztrading@aol.com</w:t>
      </w:r>
    </w:p>
    <w:p w14:paraId="22F961AB" w14:textId="77777777" w:rsidR="00C424A2" w:rsidRPr="003F00DA" w:rsidRDefault="00C424A2" w:rsidP="00C424A2">
      <w:pPr>
        <w:spacing w:line="240" w:lineRule="auto"/>
        <w:rPr>
          <w:rFonts w:asciiTheme="majorHAnsi" w:hAnsiTheme="majorHAnsi" w:cstheme="majorHAnsi"/>
          <w:sz w:val="24"/>
          <w:szCs w:val="24"/>
        </w:rPr>
      </w:pPr>
    </w:p>
    <w:p w14:paraId="5424A9F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Kerry Griffin</w:t>
      </w:r>
    </w:p>
    <w:p w14:paraId="1D9A836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Pacific Fishery Management Council</w:t>
      </w:r>
    </w:p>
    <w:p w14:paraId="4BB042F0"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Staff Officer - Highly Migratory Species</w:t>
      </w:r>
    </w:p>
    <w:p w14:paraId="4404CB5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kerry.griffin@pcouncil.org</w:t>
      </w:r>
    </w:p>
    <w:p w14:paraId="06F91CB4" w14:textId="77777777" w:rsidR="00C424A2" w:rsidRPr="003F00DA" w:rsidRDefault="00C424A2" w:rsidP="00C424A2">
      <w:pPr>
        <w:spacing w:line="240" w:lineRule="auto"/>
        <w:rPr>
          <w:rFonts w:asciiTheme="majorHAnsi" w:hAnsiTheme="majorHAnsi" w:cstheme="majorHAnsi"/>
          <w:sz w:val="24"/>
          <w:szCs w:val="24"/>
        </w:rPr>
      </w:pPr>
    </w:p>
    <w:p w14:paraId="1DCEC7E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Kosha Arabi</w:t>
      </w:r>
    </w:p>
    <w:p w14:paraId="20D8EB8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MAGUROHANTA,LLC</w:t>
      </w:r>
    </w:p>
    <w:p w14:paraId="3CD13DE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Manager</w:t>
      </w:r>
    </w:p>
    <w:p w14:paraId="42401A1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info@magurohanta.com</w:t>
      </w:r>
    </w:p>
    <w:p w14:paraId="30368C8C" w14:textId="77777777" w:rsidR="00C424A2" w:rsidRPr="003F00DA" w:rsidRDefault="00C424A2" w:rsidP="00C424A2">
      <w:pPr>
        <w:spacing w:line="240" w:lineRule="auto"/>
        <w:rPr>
          <w:rFonts w:asciiTheme="majorHAnsi" w:hAnsiTheme="majorHAnsi" w:cstheme="majorHAnsi"/>
          <w:sz w:val="24"/>
          <w:szCs w:val="24"/>
        </w:rPr>
      </w:pPr>
    </w:p>
    <w:p w14:paraId="37BAB1A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Larry Phillips</w:t>
      </w:r>
    </w:p>
    <w:p w14:paraId="103EF30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American Sportfishing Association</w:t>
      </w:r>
    </w:p>
    <w:p w14:paraId="59FDD0F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Pacific Fisheries Policy Director</w:t>
      </w:r>
    </w:p>
    <w:p w14:paraId="794799B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lphillips@asafishing.org</w:t>
      </w:r>
    </w:p>
    <w:p w14:paraId="4AE185A2" w14:textId="77777777" w:rsidR="00C424A2" w:rsidRPr="003F00DA" w:rsidRDefault="00C424A2" w:rsidP="00C424A2">
      <w:pPr>
        <w:spacing w:line="240" w:lineRule="auto"/>
        <w:rPr>
          <w:rFonts w:asciiTheme="majorHAnsi" w:hAnsiTheme="majorHAnsi" w:cstheme="majorHAnsi"/>
          <w:sz w:val="24"/>
          <w:szCs w:val="24"/>
        </w:rPr>
      </w:pPr>
    </w:p>
    <w:p w14:paraId="48D0648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Lucy Bulkeley</w:t>
      </w:r>
    </w:p>
    <w:p w14:paraId="7DAC7BB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lastRenderedPageBreak/>
        <w:t>NOAA WCR HMS</w:t>
      </w:r>
    </w:p>
    <w:p w14:paraId="5D13B11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IATTC Policy Support</w:t>
      </w:r>
    </w:p>
    <w:p w14:paraId="577D987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lucille.bulkeley@noaa.gov</w:t>
      </w:r>
    </w:p>
    <w:p w14:paraId="084E2622" w14:textId="77777777" w:rsidR="00C424A2" w:rsidRPr="003F00DA" w:rsidRDefault="00C424A2" w:rsidP="00C424A2">
      <w:pPr>
        <w:spacing w:line="240" w:lineRule="auto"/>
        <w:rPr>
          <w:rFonts w:asciiTheme="majorHAnsi" w:hAnsiTheme="majorHAnsi" w:cstheme="majorHAnsi"/>
          <w:sz w:val="24"/>
          <w:szCs w:val="24"/>
        </w:rPr>
      </w:pPr>
    </w:p>
    <w:p w14:paraId="39199C3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Markus Medak</w:t>
      </w:r>
    </w:p>
    <w:p w14:paraId="268B278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U.S. Delegation</w:t>
      </w:r>
    </w:p>
    <w:p w14:paraId="437914D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member</w:t>
      </w:r>
    </w:p>
    <w:p w14:paraId="1720E33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info@newloansportfishing.com</w:t>
      </w:r>
    </w:p>
    <w:p w14:paraId="63BA1C95" w14:textId="77777777" w:rsidR="00C424A2" w:rsidRPr="003F00DA" w:rsidRDefault="00C424A2" w:rsidP="00C424A2">
      <w:pPr>
        <w:spacing w:line="240" w:lineRule="auto"/>
        <w:rPr>
          <w:rFonts w:asciiTheme="majorHAnsi" w:hAnsiTheme="majorHAnsi" w:cstheme="majorHAnsi"/>
          <w:sz w:val="24"/>
          <w:szCs w:val="24"/>
        </w:rPr>
      </w:pPr>
    </w:p>
    <w:p w14:paraId="75E76B4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Michael Thompson</w:t>
      </w:r>
    </w:p>
    <w:p w14:paraId="4A0B52E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US COMMISSIONER / IATTC</w:t>
      </w:r>
    </w:p>
    <w:p w14:paraId="2F77D56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REC fisheries rep</w:t>
      </w:r>
    </w:p>
    <w:p w14:paraId="2342FC2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thompsonmike148@gmail.com</w:t>
      </w:r>
    </w:p>
    <w:p w14:paraId="5BD04A4B" w14:textId="77777777" w:rsidR="00C424A2" w:rsidRPr="003F00DA" w:rsidRDefault="00C424A2" w:rsidP="00C424A2">
      <w:pPr>
        <w:spacing w:line="240" w:lineRule="auto"/>
        <w:rPr>
          <w:rFonts w:asciiTheme="majorHAnsi" w:hAnsiTheme="majorHAnsi" w:cstheme="majorHAnsi"/>
          <w:sz w:val="24"/>
          <w:szCs w:val="24"/>
        </w:rPr>
      </w:pPr>
    </w:p>
    <w:p w14:paraId="60BF0F30"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Mike Conroy</w:t>
      </w:r>
    </w:p>
    <w:p w14:paraId="1CB68C8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West Coast Fisheries Consultants</w:t>
      </w:r>
    </w:p>
    <w:p w14:paraId="223962E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President</w:t>
      </w:r>
    </w:p>
    <w:p w14:paraId="0E93B4D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Mike@wecofm.com</w:t>
      </w:r>
    </w:p>
    <w:p w14:paraId="538DB183" w14:textId="77777777" w:rsidR="00C424A2" w:rsidRPr="003F00DA" w:rsidRDefault="00C424A2" w:rsidP="00C424A2">
      <w:pPr>
        <w:spacing w:line="240" w:lineRule="auto"/>
        <w:rPr>
          <w:rFonts w:asciiTheme="majorHAnsi" w:hAnsiTheme="majorHAnsi" w:cstheme="majorHAnsi"/>
          <w:sz w:val="24"/>
          <w:szCs w:val="24"/>
        </w:rPr>
      </w:pPr>
    </w:p>
    <w:p w14:paraId="7DDFCFC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Phillip Dionne</w:t>
      </w:r>
    </w:p>
    <w:p w14:paraId="0E32A8F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Washington Department of Fish and Wildlife</w:t>
      </w:r>
    </w:p>
    <w:p w14:paraId="4888AA8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Research Scientist</w:t>
      </w:r>
    </w:p>
    <w:p w14:paraId="3E02C99F" w14:textId="77777777" w:rsidR="00C424A2" w:rsidRPr="003F00DA" w:rsidRDefault="00C424A2" w:rsidP="00C424A2">
      <w:pPr>
        <w:spacing w:line="240" w:lineRule="auto"/>
        <w:rPr>
          <w:rFonts w:asciiTheme="majorHAnsi" w:hAnsiTheme="majorHAnsi" w:cstheme="majorHAnsi"/>
          <w:sz w:val="24"/>
          <w:szCs w:val="24"/>
        </w:rPr>
      </w:pPr>
    </w:p>
    <w:p w14:paraId="0BFDA4A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Rachael Wadsworth</w:t>
      </w:r>
    </w:p>
    <w:p w14:paraId="1CA2E7A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NOAA Fisheries</w:t>
      </w:r>
    </w:p>
    <w:p w14:paraId="309E8A20"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Fishery Policy Analyst</w:t>
      </w:r>
    </w:p>
    <w:p w14:paraId="4D25C2E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rachael.wadsworth@noaa.gov</w:t>
      </w:r>
    </w:p>
    <w:p w14:paraId="3CB299CB" w14:textId="77777777" w:rsidR="00C424A2" w:rsidRPr="003F00DA" w:rsidRDefault="00C424A2" w:rsidP="00C424A2">
      <w:pPr>
        <w:spacing w:line="240" w:lineRule="auto"/>
        <w:rPr>
          <w:rFonts w:asciiTheme="majorHAnsi" w:hAnsiTheme="majorHAnsi" w:cstheme="majorHAnsi"/>
          <w:sz w:val="24"/>
          <w:szCs w:val="24"/>
        </w:rPr>
      </w:pPr>
    </w:p>
    <w:p w14:paraId="2AC2C8F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Rebecca Lent</w:t>
      </w:r>
    </w:p>
    <w:p w14:paraId="0DA4FC8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Pacific Fishery Management Council</w:t>
      </w:r>
    </w:p>
    <w:p w14:paraId="0D79B65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Council member</w:t>
      </w:r>
    </w:p>
    <w:p w14:paraId="115510E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rebecca.lent@gmail.com</w:t>
      </w:r>
    </w:p>
    <w:p w14:paraId="07756973" w14:textId="77777777" w:rsidR="00C424A2" w:rsidRPr="003F00DA" w:rsidRDefault="00C424A2" w:rsidP="00C424A2">
      <w:pPr>
        <w:spacing w:line="240" w:lineRule="auto"/>
        <w:rPr>
          <w:rFonts w:asciiTheme="majorHAnsi" w:hAnsiTheme="majorHAnsi" w:cstheme="majorHAnsi"/>
          <w:sz w:val="24"/>
          <w:szCs w:val="24"/>
        </w:rPr>
      </w:pPr>
    </w:p>
    <w:p w14:paraId="3E5B0ED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Roger Dang</w:t>
      </w:r>
    </w:p>
    <w:p w14:paraId="4655DC9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Fresh Island Fish Co.</w:t>
      </w:r>
    </w:p>
    <w:p w14:paraId="66FCA8C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GM</w:t>
      </w:r>
    </w:p>
    <w:p w14:paraId="05E3DA4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rogerdang@gmail.com</w:t>
      </w:r>
    </w:p>
    <w:p w14:paraId="11396C33" w14:textId="77777777" w:rsidR="00C424A2" w:rsidRPr="003F00DA" w:rsidRDefault="00C424A2" w:rsidP="00C424A2">
      <w:pPr>
        <w:spacing w:line="240" w:lineRule="auto"/>
        <w:rPr>
          <w:rFonts w:asciiTheme="majorHAnsi" w:hAnsiTheme="majorHAnsi" w:cstheme="majorHAnsi"/>
          <w:sz w:val="24"/>
          <w:szCs w:val="24"/>
        </w:rPr>
      </w:pPr>
    </w:p>
    <w:p w14:paraId="62F89FE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Ryan Wulff</w:t>
      </w:r>
    </w:p>
    <w:p w14:paraId="771BC77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NOAA</w:t>
      </w:r>
    </w:p>
    <w:p w14:paraId="7FC04345"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ARA for Sustainable Fisheries</w:t>
      </w:r>
    </w:p>
    <w:p w14:paraId="0DE1B7D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ryan.wulff@noaa.gov</w:t>
      </w:r>
    </w:p>
    <w:p w14:paraId="27574E43" w14:textId="77777777" w:rsidR="00C424A2" w:rsidRPr="003F00DA" w:rsidRDefault="00C424A2" w:rsidP="00C424A2">
      <w:pPr>
        <w:spacing w:line="240" w:lineRule="auto"/>
        <w:rPr>
          <w:rFonts w:asciiTheme="majorHAnsi" w:hAnsiTheme="majorHAnsi" w:cstheme="majorHAnsi"/>
          <w:sz w:val="24"/>
          <w:szCs w:val="24"/>
        </w:rPr>
      </w:pPr>
    </w:p>
    <w:p w14:paraId="5B6223E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Shana Miller</w:t>
      </w:r>
    </w:p>
    <w:p w14:paraId="5F090EC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The Ocean Foundation</w:t>
      </w:r>
    </w:p>
    <w:p w14:paraId="7989577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Project Director, International Fisheries Conservation</w:t>
      </w:r>
    </w:p>
    <w:p w14:paraId="24ED424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skmiller76@optonline.net</w:t>
      </w:r>
    </w:p>
    <w:p w14:paraId="3D1473BC" w14:textId="77777777" w:rsidR="00C424A2" w:rsidRPr="003F00DA" w:rsidRDefault="00C424A2" w:rsidP="00C424A2">
      <w:pPr>
        <w:spacing w:line="240" w:lineRule="auto"/>
        <w:rPr>
          <w:rFonts w:asciiTheme="majorHAnsi" w:hAnsiTheme="majorHAnsi" w:cstheme="majorHAnsi"/>
          <w:sz w:val="24"/>
          <w:szCs w:val="24"/>
        </w:rPr>
      </w:pPr>
    </w:p>
    <w:p w14:paraId="54A8DA3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Steve Crooke</w:t>
      </w:r>
    </w:p>
    <w:p w14:paraId="6CC992C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Sportfishing Association of California</w:t>
      </w:r>
    </w:p>
    <w:p w14:paraId="0C0FD73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Science Advisor</w:t>
      </w:r>
    </w:p>
    <w:p w14:paraId="56C068C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SJCrooke97@aol.com</w:t>
      </w:r>
    </w:p>
    <w:p w14:paraId="2E8016D9" w14:textId="77777777" w:rsidR="00C424A2" w:rsidRPr="003F00DA" w:rsidRDefault="00C424A2" w:rsidP="00C424A2">
      <w:pPr>
        <w:spacing w:line="240" w:lineRule="auto"/>
        <w:rPr>
          <w:rFonts w:asciiTheme="majorHAnsi" w:hAnsiTheme="majorHAnsi" w:cstheme="majorHAnsi"/>
          <w:sz w:val="24"/>
          <w:szCs w:val="24"/>
        </w:rPr>
      </w:pPr>
    </w:p>
    <w:p w14:paraId="02F94F0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Steven Teo</w:t>
      </w:r>
    </w:p>
    <w:p w14:paraId="3159DBB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 xml:space="preserve">NOAA Fisheries </w:t>
      </w:r>
    </w:p>
    <w:p w14:paraId="5F4E03D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Research Fisheries Biologist</w:t>
      </w:r>
    </w:p>
    <w:p w14:paraId="4EF57D0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steve.teo@noaa.gov</w:t>
      </w:r>
    </w:p>
    <w:p w14:paraId="3ACB8643" w14:textId="77777777" w:rsidR="00C424A2" w:rsidRPr="003F00DA" w:rsidRDefault="00C424A2" w:rsidP="00C424A2">
      <w:pPr>
        <w:spacing w:line="240" w:lineRule="auto"/>
        <w:rPr>
          <w:rFonts w:asciiTheme="majorHAnsi" w:hAnsiTheme="majorHAnsi" w:cstheme="majorHAnsi"/>
          <w:sz w:val="24"/>
          <w:szCs w:val="24"/>
        </w:rPr>
      </w:pPr>
    </w:p>
    <w:p w14:paraId="2CEA7BB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Theresa Labriola</w:t>
      </w:r>
    </w:p>
    <w:p w14:paraId="3A98672E"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Wild Oceans</w:t>
      </w:r>
    </w:p>
    <w:p w14:paraId="03BB31C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Pacific Program Director</w:t>
      </w:r>
    </w:p>
    <w:p w14:paraId="3F7209A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tlabriola@wildoceans.org</w:t>
      </w:r>
    </w:p>
    <w:p w14:paraId="14E9C58F" w14:textId="77777777" w:rsidR="00C424A2" w:rsidRPr="003F00DA" w:rsidRDefault="00C424A2" w:rsidP="00C424A2">
      <w:pPr>
        <w:spacing w:line="240" w:lineRule="auto"/>
        <w:rPr>
          <w:rFonts w:asciiTheme="majorHAnsi" w:hAnsiTheme="majorHAnsi" w:cstheme="majorHAnsi"/>
          <w:sz w:val="24"/>
          <w:szCs w:val="24"/>
        </w:rPr>
      </w:pPr>
    </w:p>
    <w:p w14:paraId="674CA9A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Tyler Lawson</w:t>
      </w:r>
    </w:p>
    <w:p w14:paraId="0315806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NOAA Fisheries</w:t>
      </w:r>
    </w:p>
    <w:p w14:paraId="6AEBB83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 Biologist</w:t>
      </w:r>
    </w:p>
    <w:p w14:paraId="7008380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tyler.lawson@noaa.gov</w:t>
      </w:r>
    </w:p>
    <w:p w14:paraId="06597D85" w14:textId="77777777" w:rsidR="00C424A2" w:rsidRPr="003F00DA" w:rsidRDefault="00C424A2" w:rsidP="00C424A2">
      <w:pPr>
        <w:spacing w:line="240" w:lineRule="auto"/>
        <w:rPr>
          <w:rFonts w:asciiTheme="majorHAnsi" w:hAnsiTheme="majorHAnsi" w:cstheme="majorHAnsi"/>
          <w:sz w:val="24"/>
          <w:szCs w:val="24"/>
        </w:rPr>
      </w:pPr>
    </w:p>
    <w:p w14:paraId="3231143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Valerie Post</w:t>
      </w:r>
    </w:p>
    <w:p w14:paraId="1FE20F20"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 xml:space="preserve">NOAA Fisheries </w:t>
      </w:r>
    </w:p>
    <w:p w14:paraId="3E6B037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Fishery Policy Analyst</w:t>
      </w:r>
    </w:p>
    <w:p w14:paraId="2A71831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valerie.post@noaa.gov</w:t>
      </w:r>
    </w:p>
    <w:p w14:paraId="5FBFCBEC" w14:textId="77777777" w:rsidR="00C424A2" w:rsidRPr="003F00DA" w:rsidRDefault="00C424A2" w:rsidP="00C424A2">
      <w:pPr>
        <w:spacing w:line="240" w:lineRule="auto"/>
        <w:rPr>
          <w:rFonts w:asciiTheme="majorHAnsi" w:hAnsiTheme="majorHAnsi" w:cstheme="majorHAnsi"/>
          <w:sz w:val="24"/>
          <w:szCs w:val="24"/>
        </w:rPr>
      </w:pPr>
    </w:p>
    <w:p w14:paraId="5BFEF52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Zane Ruzicka</w:t>
      </w:r>
    </w:p>
    <w:p w14:paraId="5F0F998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 xml:space="preserve">Wild Oceans </w:t>
      </w:r>
    </w:p>
    <w:p w14:paraId="7481D15E"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 xml:space="preserve">Atlantic Policy Director </w:t>
      </w:r>
    </w:p>
    <w:p w14:paraId="3349F09F" w14:textId="00966E24" w:rsidR="00C424A2" w:rsidRDefault="008D7B14" w:rsidP="00C424A2">
      <w:pPr>
        <w:spacing w:line="240" w:lineRule="auto"/>
        <w:rPr>
          <w:rFonts w:asciiTheme="majorHAnsi" w:hAnsiTheme="majorHAnsi" w:cstheme="majorHAnsi"/>
          <w:sz w:val="24"/>
          <w:szCs w:val="24"/>
        </w:rPr>
      </w:pPr>
      <w:hyperlink r:id="rId10" w:history="1">
        <w:r w:rsidRPr="00D51A37">
          <w:rPr>
            <w:rStyle w:val="Hyperlink"/>
            <w:rFonts w:asciiTheme="majorHAnsi" w:hAnsiTheme="majorHAnsi" w:cstheme="majorHAnsi"/>
            <w:sz w:val="24"/>
            <w:szCs w:val="24"/>
          </w:rPr>
          <w:t>zruzicka@wildoceans.org</w:t>
        </w:r>
      </w:hyperlink>
    </w:p>
    <w:p w14:paraId="36A0C5C6" w14:textId="77777777" w:rsidR="00C424A2" w:rsidRPr="003F00DA" w:rsidRDefault="00C424A2" w:rsidP="00C424A2">
      <w:pPr>
        <w:spacing w:line="240" w:lineRule="auto"/>
        <w:rPr>
          <w:rFonts w:asciiTheme="majorHAnsi" w:hAnsiTheme="majorHAnsi" w:cstheme="majorHAnsi"/>
          <w:sz w:val="24"/>
          <w:szCs w:val="24"/>
        </w:rPr>
      </w:pPr>
    </w:p>
    <w:p w14:paraId="50D017BE"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INTERNATIONAL GAME FISH ASSOCIATION (IGFA)</w:t>
      </w:r>
    </w:p>
    <w:p w14:paraId="5A2BB38E" w14:textId="77777777" w:rsidR="00C424A2" w:rsidRPr="003F00DA" w:rsidRDefault="00C424A2" w:rsidP="00C424A2">
      <w:pPr>
        <w:spacing w:line="240" w:lineRule="auto"/>
        <w:rPr>
          <w:rFonts w:asciiTheme="majorHAnsi" w:hAnsiTheme="majorHAnsi" w:cstheme="majorHAnsi"/>
          <w:sz w:val="24"/>
          <w:szCs w:val="24"/>
        </w:rPr>
      </w:pPr>
    </w:p>
    <w:p w14:paraId="59943F2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Bruce Pohlot</w:t>
      </w:r>
    </w:p>
    <w:p w14:paraId="2746A81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International Game Fish Association</w:t>
      </w:r>
    </w:p>
    <w:p w14:paraId="5CAB1853"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Conservation Director</w:t>
      </w:r>
    </w:p>
    <w:p w14:paraId="2AD11B2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bpohlot@igfa.org</w:t>
      </w:r>
    </w:p>
    <w:p w14:paraId="330C137E" w14:textId="77777777" w:rsidR="00C424A2" w:rsidRPr="003F00DA" w:rsidRDefault="00C424A2" w:rsidP="00C424A2">
      <w:pPr>
        <w:spacing w:line="240" w:lineRule="auto"/>
        <w:rPr>
          <w:rFonts w:asciiTheme="majorHAnsi" w:hAnsiTheme="majorHAnsi" w:cstheme="majorHAnsi"/>
          <w:sz w:val="24"/>
          <w:szCs w:val="24"/>
        </w:rPr>
      </w:pPr>
    </w:p>
    <w:p w14:paraId="71549E90"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lastRenderedPageBreak/>
        <w:t>Jackson Martinez</w:t>
      </w:r>
    </w:p>
    <w:p w14:paraId="5653F9B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International Game Fish Association</w:t>
      </w:r>
    </w:p>
    <w:p w14:paraId="6E9ECD0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Conservation Programs Manager</w:t>
      </w:r>
    </w:p>
    <w:p w14:paraId="5D2D25B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jmartinez@igfa.org</w:t>
      </w:r>
    </w:p>
    <w:p w14:paraId="280CCE19" w14:textId="77777777" w:rsidR="00C424A2" w:rsidRPr="003F00DA" w:rsidRDefault="00C424A2" w:rsidP="00C424A2">
      <w:pPr>
        <w:spacing w:line="240" w:lineRule="auto"/>
        <w:rPr>
          <w:rFonts w:asciiTheme="majorHAnsi" w:hAnsiTheme="majorHAnsi" w:cstheme="majorHAnsi"/>
          <w:sz w:val="24"/>
          <w:szCs w:val="24"/>
        </w:rPr>
      </w:pPr>
    </w:p>
    <w:p w14:paraId="0E4B6F2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MARINE STEWARDSHIP COUNCIL</w:t>
      </w:r>
    </w:p>
    <w:p w14:paraId="7EF3C504" w14:textId="77777777" w:rsidR="00C424A2" w:rsidRPr="003F00DA" w:rsidRDefault="00C424A2" w:rsidP="00C424A2">
      <w:pPr>
        <w:spacing w:line="240" w:lineRule="auto"/>
        <w:rPr>
          <w:rFonts w:asciiTheme="majorHAnsi" w:hAnsiTheme="majorHAnsi" w:cstheme="majorHAnsi"/>
          <w:sz w:val="24"/>
          <w:szCs w:val="24"/>
        </w:rPr>
      </w:pPr>
    </w:p>
    <w:p w14:paraId="68DA1DD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Stefan Miller</w:t>
      </w:r>
    </w:p>
    <w:p w14:paraId="12B7B6D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Marine Stewardship Council</w:t>
      </w:r>
    </w:p>
    <w:p w14:paraId="2CED577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Standard Manager (Tuna)</w:t>
      </w:r>
    </w:p>
    <w:p w14:paraId="2841BE3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stefan.miller@msc.org</w:t>
      </w:r>
    </w:p>
    <w:p w14:paraId="7D2ADDC1" w14:textId="77777777" w:rsidR="00C424A2" w:rsidRPr="003F00DA" w:rsidRDefault="00C424A2" w:rsidP="00C424A2">
      <w:pPr>
        <w:spacing w:line="240" w:lineRule="auto"/>
        <w:rPr>
          <w:rFonts w:asciiTheme="majorHAnsi" w:hAnsiTheme="majorHAnsi" w:cstheme="majorHAnsi"/>
          <w:sz w:val="24"/>
          <w:szCs w:val="24"/>
        </w:rPr>
      </w:pPr>
    </w:p>
    <w:p w14:paraId="708A218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MONTEREY BAY AQUARIUM</w:t>
      </w:r>
    </w:p>
    <w:p w14:paraId="7E355850" w14:textId="77777777" w:rsidR="00C424A2" w:rsidRPr="003F00DA" w:rsidRDefault="00C424A2" w:rsidP="00C424A2">
      <w:pPr>
        <w:spacing w:line="240" w:lineRule="auto"/>
        <w:rPr>
          <w:rFonts w:asciiTheme="majorHAnsi" w:hAnsiTheme="majorHAnsi" w:cstheme="majorHAnsi"/>
          <w:sz w:val="24"/>
          <w:szCs w:val="24"/>
        </w:rPr>
      </w:pPr>
    </w:p>
    <w:p w14:paraId="5F89E34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Eva May</w:t>
      </w:r>
    </w:p>
    <w:p w14:paraId="47E1227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Seafood Watch</w:t>
      </w:r>
    </w:p>
    <w:p w14:paraId="22F4ED6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Senior Scientist</w:t>
      </w:r>
    </w:p>
    <w:p w14:paraId="29435F2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emay@mbayaq.org</w:t>
      </w:r>
    </w:p>
    <w:p w14:paraId="18A64EDC" w14:textId="77777777" w:rsidR="00C424A2" w:rsidRPr="003F00DA" w:rsidRDefault="00C424A2" w:rsidP="00C424A2">
      <w:pPr>
        <w:spacing w:line="240" w:lineRule="auto"/>
        <w:rPr>
          <w:rFonts w:asciiTheme="majorHAnsi" w:hAnsiTheme="majorHAnsi" w:cstheme="majorHAnsi"/>
          <w:sz w:val="24"/>
          <w:szCs w:val="24"/>
        </w:rPr>
      </w:pPr>
    </w:p>
    <w:p w14:paraId="3F2C12C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Samantha Peabody</w:t>
      </w:r>
    </w:p>
    <w:p w14:paraId="18D959B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Monterey Bay Aquarium</w:t>
      </w:r>
    </w:p>
    <w:p w14:paraId="6553EA9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Policy &amp; Stakeholder Engagement Manager</w:t>
      </w:r>
    </w:p>
    <w:p w14:paraId="5F5BA1A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speabody@mbayaq.org</w:t>
      </w:r>
    </w:p>
    <w:p w14:paraId="5954AA94" w14:textId="77777777" w:rsidR="00C424A2" w:rsidRPr="003F00DA" w:rsidRDefault="00C424A2" w:rsidP="00C424A2">
      <w:pPr>
        <w:spacing w:line="240" w:lineRule="auto"/>
        <w:rPr>
          <w:rFonts w:asciiTheme="majorHAnsi" w:hAnsiTheme="majorHAnsi" w:cstheme="majorHAnsi"/>
          <w:sz w:val="24"/>
          <w:szCs w:val="24"/>
        </w:rPr>
      </w:pPr>
    </w:p>
    <w:p w14:paraId="2020CAB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PACIFIC ISLANDS FORUM FISHERIES AGENCY (FFA)</w:t>
      </w:r>
    </w:p>
    <w:p w14:paraId="250E2F0B" w14:textId="77777777" w:rsidR="00C424A2" w:rsidRPr="003F00DA" w:rsidRDefault="00C424A2" w:rsidP="00C424A2">
      <w:pPr>
        <w:spacing w:line="240" w:lineRule="auto"/>
        <w:rPr>
          <w:rFonts w:asciiTheme="majorHAnsi" w:hAnsiTheme="majorHAnsi" w:cstheme="majorHAnsi"/>
          <w:sz w:val="24"/>
          <w:szCs w:val="24"/>
        </w:rPr>
      </w:pPr>
    </w:p>
    <w:p w14:paraId="2C2F7AE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Marina Abas</w:t>
      </w:r>
    </w:p>
    <w:p w14:paraId="348BF6A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Pacific Islands Forum Fisheries Agency (FFA)</w:t>
      </w:r>
    </w:p>
    <w:p w14:paraId="7882E1C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Management Advisor</w:t>
      </w:r>
    </w:p>
    <w:p w14:paraId="501C591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marina.abas@ffa.int</w:t>
      </w:r>
    </w:p>
    <w:p w14:paraId="6A92EAC6" w14:textId="77777777" w:rsidR="00C424A2" w:rsidRPr="003F00DA" w:rsidRDefault="00C424A2" w:rsidP="00C424A2">
      <w:pPr>
        <w:spacing w:line="240" w:lineRule="auto"/>
        <w:rPr>
          <w:rFonts w:asciiTheme="majorHAnsi" w:hAnsiTheme="majorHAnsi" w:cstheme="majorHAnsi"/>
          <w:sz w:val="24"/>
          <w:szCs w:val="24"/>
        </w:rPr>
      </w:pPr>
    </w:p>
    <w:p w14:paraId="21458DD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PEW CHARITABLE TRUSTS</w:t>
      </w:r>
    </w:p>
    <w:p w14:paraId="045F37C4" w14:textId="77777777" w:rsidR="00C424A2" w:rsidRPr="003F00DA" w:rsidRDefault="00C424A2" w:rsidP="00C424A2">
      <w:pPr>
        <w:spacing w:line="240" w:lineRule="auto"/>
        <w:rPr>
          <w:rFonts w:asciiTheme="majorHAnsi" w:hAnsiTheme="majorHAnsi" w:cstheme="majorHAnsi"/>
          <w:sz w:val="24"/>
          <w:szCs w:val="24"/>
        </w:rPr>
      </w:pPr>
    </w:p>
    <w:p w14:paraId="53EB18B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Jamie Gibbon</w:t>
      </w:r>
    </w:p>
    <w:p w14:paraId="7D1F2ADE"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The Pew Charitable Trusts</w:t>
      </w:r>
    </w:p>
    <w:p w14:paraId="2FBC8E6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Manager</w:t>
      </w:r>
    </w:p>
    <w:p w14:paraId="6FB07DC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JGibbon@pewtrusts.org</w:t>
      </w:r>
    </w:p>
    <w:p w14:paraId="60D726FE" w14:textId="77777777" w:rsidR="00C424A2" w:rsidRPr="003F00DA" w:rsidRDefault="00C424A2" w:rsidP="00C424A2">
      <w:pPr>
        <w:spacing w:line="240" w:lineRule="auto"/>
        <w:rPr>
          <w:rFonts w:asciiTheme="majorHAnsi" w:hAnsiTheme="majorHAnsi" w:cstheme="majorHAnsi"/>
          <w:sz w:val="24"/>
          <w:szCs w:val="24"/>
        </w:rPr>
      </w:pPr>
    </w:p>
    <w:p w14:paraId="38FFD27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WORLD WIDE FUND FOR NATURE (WWF)</w:t>
      </w:r>
    </w:p>
    <w:p w14:paraId="493AD4AF" w14:textId="77777777" w:rsidR="00C424A2" w:rsidRPr="003F00DA" w:rsidRDefault="00C424A2" w:rsidP="00C424A2">
      <w:pPr>
        <w:spacing w:line="240" w:lineRule="auto"/>
        <w:rPr>
          <w:rFonts w:asciiTheme="majorHAnsi" w:hAnsiTheme="majorHAnsi" w:cstheme="majorHAnsi"/>
          <w:sz w:val="24"/>
          <w:szCs w:val="24"/>
        </w:rPr>
      </w:pPr>
    </w:p>
    <w:p w14:paraId="70FE1E2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Shuhei Uematsu</w:t>
      </w:r>
    </w:p>
    <w:p w14:paraId="5FD7C38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WWF Japan</w:t>
      </w:r>
    </w:p>
    <w:p w14:paraId="73756B4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Policy Senior Manager, Oceans and Seafood Group</w:t>
      </w:r>
    </w:p>
    <w:p w14:paraId="7AA0B2E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uematsu@wwf.or.jp</w:t>
      </w:r>
    </w:p>
    <w:p w14:paraId="01FCC99A" w14:textId="77777777" w:rsidR="00C424A2" w:rsidRPr="003F00DA" w:rsidRDefault="00C424A2" w:rsidP="00C424A2">
      <w:pPr>
        <w:spacing w:line="240" w:lineRule="auto"/>
        <w:rPr>
          <w:rFonts w:asciiTheme="majorHAnsi" w:hAnsiTheme="majorHAnsi" w:cstheme="majorHAnsi"/>
          <w:sz w:val="24"/>
          <w:szCs w:val="24"/>
        </w:rPr>
      </w:pPr>
    </w:p>
    <w:p w14:paraId="59CEBF8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IATTC SECRETARIAT</w:t>
      </w:r>
    </w:p>
    <w:p w14:paraId="6B96B326" w14:textId="77777777" w:rsidR="00C424A2" w:rsidRPr="003F00DA" w:rsidRDefault="00C424A2" w:rsidP="00C424A2">
      <w:pPr>
        <w:spacing w:line="240" w:lineRule="auto"/>
        <w:rPr>
          <w:rFonts w:asciiTheme="majorHAnsi" w:hAnsiTheme="majorHAnsi" w:cstheme="majorHAnsi"/>
          <w:sz w:val="24"/>
          <w:szCs w:val="24"/>
        </w:rPr>
      </w:pPr>
    </w:p>
    <w:p w14:paraId="0F63BB7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Brad Wiley</w:t>
      </w:r>
    </w:p>
    <w:p w14:paraId="001C2F23"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IATTC</w:t>
      </w:r>
    </w:p>
    <w:p w14:paraId="5448EFD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Policy Officer</w:t>
      </w:r>
    </w:p>
    <w:p w14:paraId="0D25BF5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bwiley@iattc.org</w:t>
      </w:r>
    </w:p>
    <w:p w14:paraId="7C29F8E4" w14:textId="77777777" w:rsidR="00C424A2" w:rsidRPr="003F00DA" w:rsidRDefault="00C424A2" w:rsidP="00C424A2">
      <w:pPr>
        <w:spacing w:line="240" w:lineRule="auto"/>
        <w:rPr>
          <w:rFonts w:asciiTheme="majorHAnsi" w:hAnsiTheme="majorHAnsi" w:cstheme="majorHAnsi"/>
          <w:sz w:val="24"/>
          <w:szCs w:val="24"/>
        </w:rPr>
      </w:pPr>
    </w:p>
    <w:p w14:paraId="713E3AE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Mark Maunder</w:t>
      </w:r>
    </w:p>
    <w:p w14:paraId="7B67E99E"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Iattc</w:t>
      </w:r>
    </w:p>
    <w:p w14:paraId="5C7A49E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Head of stock assessment program</w:t>
      </w:r>
    </w:p>
    <w:p w14:paraId="5A723EB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Mmaunder@iattc.org</w:t>
      </w:r>
    </w:p>
    <w:p w14:paraId="6BDBFE57" w14:textId="77777777" w:rsidR="00C424A2" w:rsidRPr="003F00DA" w:rsidRDefault="00C424A2" w:rsidP="00C424A2">
      <w:pPr>
        <w:spacing w:line="240" w:lineRule="auto"/>
        <w:rPr>
          <w:rFonts w:asciiTheme="majorHAnsi" w:eastAsia="Times New Roman" w:hAnsiTheme="majorHAnsi" w:cstheme="majorHAnsi"/>
          <w:b/>
          <w:bCs/>
          <w:sz w:val="24"/>
          <w:szCs w:val="24"/>
        </w:rPr>
      </w:pPr>
    </w:p>
    <w:p w14:paraId="71B93AFA"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WCPFC SECRETARIAT</w:t>
      </w:r>
    </w:p>
    <w:p w14:paraId="6A186DE5" w14:textId="77777777" w:rsidR="00C424A2" w:rsidRPr="003F00DA" w:rsidRDefault="00C424A2" w:rsidP="00C424A2">
      <w:pPr>
        <w:spacing w:line="240" w:lineRule="auto"/>
        <w:rPr>
          <w:rFonts w:asciiTheme="majorHAnsi" w:hAnsiTheme="majorHAnsi" w:cstheme="majorHAnsi"/>
          <w:sz w:val="24"/>
          <w:szCs w:val="24"/>
        </w:rPr>
      </w:pPr>
    </w:p>
    <w:p w14:paraId="463CEBBE"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Elaine G. Garvilles</w:t>
      </w:r>
    </w:p>
    <w:p w14:paraId="2A2CB409"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Western and Central Pacific Fisheries Commission (WCPFC)</w:t>
      </w:r>
    </w:p>
    <w:p w14:paraId="1003993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 xml:space="preserve">Assistant Science Manager </w:t>
      </w:r>
    </w:p>
    <w:p w14:paraId="75195B3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Elaine.Garvilles@wcpfc.int</w:t>
      </w:r>
    </w:p>
    <w:p w14:paraId="68CD72CB" w14:textId="77777777" w:rsidR="00C424A2" w:rsidRPr="003F00DA" w:rsidRDefault="00C424A2" w:rsidP="00C424A2">
      <w:pPr>
        <w:spacing w:line="240" w:lineRule="auto"/>
        <w:rPr>
          <w:rFonts w:asciiTheme="majorHAnsi" w:hAnsiTheme="majorHAnsi" w:cstheme="majorHAnsi"/>
          <w:sz w:val="24"/>
          <w:szCs w:val="24"/>
        </w:rPr>
      </w:pPr>
    </w:p>
    <w:p w14:paraId="2CB9D4E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Hilary Ayrton</w:t>
      </w:r>
    </w:p>
    <w:p w14:paraId="70295EC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Western and Central Pacific Fisheries Commission (WCPFC)</w:t>
      </w:r>
    </w:p>
    <w:p w14:paraId="7E25253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Fisheries Management and Compliance Adviser</w:t>
      </w:r>
    </w:p>
    <w:p w14:paraId="7210DE94"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hilary.ayrton@wcpfc.int</w:t>
      </w:r>
    </w:p>
    <w:p w14:paraId="0C37D7DE" w14:textId="77777777" w:rsidR="00C424A2" w:rsidRPr="003F00DA" w:rsidRDefault="00C424A2" w:rsidP="00C424A2">
      <w:pPr>
        <w:spacing w:line="240" w:lineRule="auto"/>
        <w:rPr>
          <w:rFonts w:asciiTheme="majorHAnsi" w:hAnsiTheme="majorHAnsi" w:cstheme="majorHAnsi"/>
          <w:sz w:val="24"/>
          <w:szCs w:val="24"/>
        </w:rPr>
      </w:pPr>
    </w:p>
    <w:p w14:paraId="55611C1D"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Simson Nanpei</w:t>
      </w:r>
    </w:p>
    <w:p w14:paraId="098074C8"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Western and Central Pacific Fisheries Commission (WCPFC)</w:t>
      </w:r>
    </w:p>
    <w:p w14:paraId="200CD3E1"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IT Officer</w:t>
      </w:r>
    </w:p>
    <w:p w14:paraId="2729338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simson.nanpei@wcpfc.int</w:t>
      </w:r>
    </w:p>
    <w:p w14:paraId="72ABC019" w14:textId="77777777" w:rsidR="00C424A2" w:rsidRPr="003F00DA" w:rsidRDefault="00C424A2" w:rsidP="00C424A2">
      <w:pPr>
        <w:spacing w:line="240" w:lineRule="auto"/>
        <w:rPr>
          <w:rFonts w:asciiTheme="majorHAnsi" w:hAnsiTheme="majorHAnsi" w:cstheme="majorHAnsi"/>
          <w:sz w:val="24"/>
          <w:szCs w:val="24"/>
        </w:rPr>
      </w:pPr>
    </w:p>
    <w:p w14:paraId="41F58667"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SungKwon Soh</w:t>
      </w:r>
    </w:p>
    <w:p w14:paraId="0331F90F"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Western and Central Pacific Fisheries Commission (WCPFC)</w:t>
      </w:r>
    </w:p>
    <w:p w14:paraId="2F2C6D8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Science Manager</w:t>
      </w:r>
    </w:p>
    <w:p w14:paraId="5673571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sungkwon.soh@wcpfc.int</w:t>
      </w:r>
    </w:p>
    <w:p w14:paraId="21E03BC3" w14:textId="77777777" w:rsidR="00C424A2" w:rsidRPr="003F00DA" w:rsidRDefault="00C424A2" w:rsidP="00C424A2">
      <w:pPr>
        <w:spacing w:line="240" w:lineRule="auto"/>
        <w:rPr>
          <w:rFonts w:asciiTheme="majorHAnsi" w:hAnsiTheme="majorHAnsi" w:cstheme="majorHAnsi"/>
          <w:sz w:val="24"/>
          <w:szCs w:val="24"/>
        </w:rPr>
      </w:pPr>
    </w:p>
    <w:p w14:paraId="326162BC"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b/>
          <w:bCs/>
          <w:sz w:val="24"/>
          <w:szCs w:val="24"/>
        </w:rPr>
        <w:t>Tim Jones</w:t>
      </w:r>
    </w:p>
    <w:p w14:paraId="5D15974B"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lastRenderedPageBreak/>
        <w:t>Western and Central Pacific Fisheries Commission (WCPFC)</w:t>
      </w:r>
    </w:p>
    <w:p w14:paraId="2059FFA6"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sz w:val="24"/>
          <w:szCs w:val="24"/>
        </w:rPr>
        <w:t>IT Manager</w:t>
      </w:r>
    </w:p>
    <w:p w14:paraId="37B15042" w14:textId="77777777" w:rsidR="00C424A2" w:rsidRPr="003F00DA" w:rsidRDefault="00C424A2" w:rsidP="00C424A2">
      <w:pPr>
        <w:spacing w:line="240" w:lineRule="auto"/>
        <w:rPr>
          <w:rFonts w:asciiTheme="majorHAnsi" w:hAnsiTheme="majorHAnsi" w:cstheme="majorHAnsi"/>
          <w:sz w:val="24"/>
          <w:szCs w:val="24"/>
        </w:rPr>
      </w:pPr>
      <w:r w:rsidRPr="003F00DA">
        <w:rPr>
          <w:rFonts w:asciiTheme="majorHAnsi" w:eastAsia="Times New Roman" w:hAnsiTheme="majorHAnsi" w:cstheme="majorHAnsi"/>
          <w:color w:val="0563C1"/>
          <w:sz w:val="24"/>
          <w:szCs w:val="24"/>
          <w:u w:val="single"/>
        </w:rPr>
        <w:t>tim.jones@wcpfc.int</w:t>
      </w:r>
    </w:p>
    <w:p w14:paraId="3539EFAA" w14:textId="77777777" w:rsidR="0095343A" w:rsidRDefault="0095343A" w:rsidP="00C424A2">
      <w:pPr>
        <w:spacing w:line="240" w:lineRule="auto"/>
        <w:rPr>
          <w:rFonts w:asciiTheme="majorHAnsi" w:hAnsiTheme="majorHAnsi" w:cstheme="majorHAnsi"/>
          <w:sz w:val="24"/>
          <w:szCs w:val="24"/>
        </w:rPr>
        <w:sectPr w:rsidR="0095343A" w:rsidSect="008D7B14">
          <w:type w:val="continuous"/>
          <w:pgSz w:w="12240" w:h="15840"/>
          <w:pgMar w:top="1440" w:right="1440" w:bottom="1440" w:left="1440" w:header="720" w:footer="720" w:gutter="0"/>
          <w:cols w:num="2" w:space="720"/>
        </w:sectPr>
      </w:pPr>
    </w:p>
    <w:p w14:paraId="2860BC5C" w14:textId="77777777" w:rsidR="00C424A2" w:rsidRPr="003F00DA" w:rsidRDefault="00C424A2" w:rsidP="00C424A2">
      <w:pPr>
        <w:spacing w:line="240" w:lineRule="auto"/>
        <w:rPr>
          <w:rFonts w:asciiTheme="majorHAnsi" w:hAnsiTheme="majorHAnsi" w:cstheme="majorHAnsi"/>
          <w:sz w:val="24"/>
          <w:szCs w:val="24"/>
        </w:rPr>
      </w:pPr>
    </w:p>
    <w:p w14:paraId="6C9CA5A8" w14:textId="77777777" w:rsidR="008D7B14" w:rsidRDefault="008D7B14">
      <w:pPr>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br w:type="page"/>
      </w:r>
    </w:p>
    <w:p w14:paraId="5D88B935" w14:textId="04A2978D" w:rsidR="006E278F" w:rsidRPr="003F00DA" w:rsidRDefault="006E278F" w:rsidP="006E278F">
      <w:pPr>
        <w:jc w:val="right"/>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lastRenderedPageBreak/>
        <w:t>Attachment B</w:t>
      </w:r>
    </w:p>
    <w:p w14:paraId="613614FF" w14:textId="77777777" w:rsidR="006E278F" w:rsidRPr="003F00DA" w:rsidRDefault="006E278F" w:rsidP="006E278F">
      <w:pPr>
        <w:jc w:val="right"/>
        <w:rPr>
          <w:rFonts w:asciiTheme="majorHAnsi" w:hAnsiTheme="majorHAnsi" w:cstheme="majorHAnsi"/>
          <w:sz w:val="24"/>
          <w:szCs w:val="24"/>
        </w:rPr>
      </w:pPr>
    </w:p>
    <w:p w14:paraId="72D0664E" w14:textId="77777777" w:rsidR="006E278F" w:rsidRPr="003F00DA" w:rsidRDefault="006E278F" w:rsidP="006E278F">
      <w:pPr>
        <w:pStyle w:val="Default"/>
        <w:snapToGrid w:val="0"/>
        <w:jc w:val="center"/>
        <w:rPr>
          <w:rFonts w:asciiTheme="majorHAnsi" w:hAnsiTheme="majorHAnsi" w:cstheme="majorHAnsi"/>
        </w:rPr>
      </w:pPr>
      <w:r w:rsidRPr="003F00DA">
        <w:rPr>
          <w:rFonts w:asciiTheme="majorHAnsi" w:hAnsiTheme="majorHAnsi" w:cstheme="majorHAnsi"/>
          <w:b/>
          <w:bCs/>
          <w:color w:val="1F1F1F"/>
        </w:rPr>
        <w:t>JOINT IATTC AND WCPFC-NC WORKING GROUP INTERSESSIONAL MEETING ON THE</w:t>
      </w:r>
    </w:p>
    <w:p w14:paraId="3FF1BF37" w14:textId="77777777" w:rsidR="006E278F" w:rsidRPr="003F00DA" w:rsidRDefault="006E278F" w:rsidP="006E278F">
      <w:pPr>
        <w:pStyle w:val="Default"/>
        <w:snapToGrid w:val="0"/>
        <w:jc w:val="center"/>
        <w:rPr>
          <w:rFonts w:asciiTheme="majorHAnsi" w:hAnsiTheme="majorHAnsi" w:cstheme="majorHAnsi"/>
          <w:color w:val="1F1F1F"/>
        </w:rPr>
      </w:pPr>
      <w:r w:rsidRPr="003F00DA">
        <w:rPr>
          <w:rFonts w:asciiTheme="majorHAnsi" w:hAnsiTheme="majorHAnsi" w:cstheme="majorHAnsi"/>
          <w:b/>
          <w:bCs/>
          <w:color w:val="1F1F1F"/>
        </w:rPr>
        <w:t>MANAGEMENT OF PACIFIC BLUEFIN TUNA</w:t>
      </w:r>
    </w:p>
    <w:p w14:paraId="384164A4" w14:textId="77777777" w:rsidR="006E278F" w:rsidRPr="003F00DA" w:rsidRDefault="006E278F" w:rsidP="006E278F">
      <w:pPr>
        <w:pStyle w:val="Default"/>
        <w:snapToGrid w:val="0"/>
        <w:jc w:val="center"/>
        <w:rPr>
          <w:rFonts w:asciiTheme="majorHAnsi" w:hAnsiTheme="majorHAnsi" w:cstheme="majorHAnsi"/>
          <w:b/>
          <w:bCs/>
        </w:rPr>
      </w:pPr>
      <w:r w:rsidRPr="003F00DA">
        <w:rPr>
          <w:rFonts w:asciiTheme="majorHAnsi" w:hAnsiTheme="majorHAnsi" w:cstheme="majorHAnsi"/>
          <w:b/>
          <w:bCs/>
        </w:rPr>
        <w:t>THIRD SESSION (JWGI03)</w:t>
      </w:r>
    </w:p>
    <w:p w14:paraId="3FBEC23E" w14:textId="77777777" w:rsidR="006E278F" w:rsidRPr="003F00DA" w:rsidRDefault="006E278F" w:rsidP="006E278F">
      <w:pPr>
        <w:pStyle w:val="Default"/>
        <w:snapToGrid w:val="0"/>
        <w:spacing w:before="120"/>
        <w:jc w:val="center"/>
        <w:rPr>
          <w:rFonts w:asciiTheme="majorHAnsi" w:hAnsiTheme="majorHAnsi" w:cstheme="majorHAnsi"/>
        </w:rPr>
      </w:pPr>
      <w:r w:rsidRPr="003F00DA">
        <w:rPr>
          <w:rFonts w:asciiTheme="majorHAnsi" w:hAnsiTheme="majorHAnsi" w:cstheme="majorHAnsi"/>
        </w:rPr>
        <w:t>11 – 13 March 2026</w:t>
      </w:r>
    </w:p>
    <w:p w14:paraId="142E9620" w14:textId="77777777" w:rsidR="006E278F" w:rsidRPr="003F00DA" w:rsidRDefault="006E278F" w:rsidP="006E278F">
      <w:pPr>
        <w:pStyle w:val="Default"/>
        <w:snapToGrid w:val="0"/>
        <w:jc w:val="center"/>
        <w:rPr>
          <w:rFonts w:asciiTheme="majorHAnsi" w:hAnsiTheme="majorHAnsi" w:cstheme="majorHAnsi"/>
        </w:rPr>
      </w:pPr>
      <w:r w:rsidRPr="003F00DA">
        <w:rPr>
          <w:rFonts w:asciiTheme="majorHAnsi" w:eastAsia="Times New Roman" w:hAnsiTheme="majorHAnsi" w:cstheme="majorHAnsi"/>
        </w:rPr>
        <w:t>Newport Beach, California (Hybrid)</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6E278F" w:rsidRPr="003F00DA" w14:paraId="2F7B0CEC" w14:textId="77777777" w:rsidTr="00E459EB">
        <w:tc>
          <w:tcPr>
            <w:tcW w:w="9360" w:type="dxa"/>
          </w:tcPr>
          <w:p w14:paraId="5A41F5AE" w14:textId="77777777" w:rsidR="006E278F" w:rsidRPr="003F00DA" w:rsidRDefault="006E278F" w:rsidP="00E459EB">
            <w:pPr>
              <w:widowControl w:val="0"/>
              <w:adjustRightInd w:val="0"/>
              <w:snapToGrid w:val="0"/>
              <w:ind w:right="10"/>
              <w:jc w:val="center"/>
              <w:rPr>
                <w:rFonts w:asciiTheme="majorHAnsi" w:hAnsiTheme="majorHAnsi" w:cstheme="majorHAnsi"/>
                <w:color w:val="1F1F1F"/>
                <w:sz w:val="24"/>
                <w:szCs w:val="24"/>
              </w:rPr>
            </w:pPr>
            <w:r w:rsidRPr="003F00DA">
              <w:rPr>
                <w:rFonts w:asciiTheme="majorHAnsi" w:hAnsiTheme="majorHAnsi" w:cstheme="majorHAnsi"/>
                <w:b/>
                <w:sz w:val="24"/>
                <w:szCs w:val="24"/>
              </w:rPr>
              <w:t>AGENDA</w:t>
            </w:r>
          </w:p>
        </w:tc>
      </w:tr>
    </w:tbl>
    <w:p w14:paraId="1EAB851D" w14:textId="77777777" w:rsidR="006E278F" w:rsidRPr="003F00DA" w:rsidRDefault="006E278F" w:rsidP="006E278F">
      <w:pPr>
        <w:widowControl w:val="0"/>
        <w:adjustRightInd w:val="0"/>
        <w:snapToGrid w:val="0"/>
        <w:rPr>
          <w:rFonts w:asciiTheme="majorHAnsi" w:eastAsia="MS Mincho" w:hAnsiTheme="majorHAnsi" w:cstheme="majorHAnsi"/>
          <w:sz w:val="24"/>
          <w:szCs w:val="24"/>
          <w:lang w:eastAsia="ja-JP"/>
        </w:rPr>
      </w:pPr>
    </w:p>
    <w:p w14:paraId="351E7909" w14:textId="77777777" w:rsidR="006E278F" w:rsidRPr="003F00DA" w:rsidRDefault="006E278F" w:rsidP="006E278F">
      <w:pPr>
        <w:widowControl w:val="0"/>
        <w:adjustRightInd w:val="0"/>
        <w:snapToGrid w:val="0"/>
        <w:rPr>
          <w:rFonts w:asciiTheme="majorHAnsi" w:eastAsia="MS Mincho" w:hAnsiTheme="majorHAnsi" w:cstheme="majorHAnsi"/>
          <w:sz w:val="24"/>
          <w:szCs w:val="24"/>
          <w:lang w:eastAsia="ja-JP"/>
        </w:rPr>
      </w:pPr>
    </w:p>
    <w:p w14:paraId="6D161D64" w14:textId="77777777" w:rsidR="006E278F" w:rsidRPr="003F00DA" w:rsidRDefault="006E278F" w:rsidP="006E278F">
      <w:pPr>
        <w:pStyle w:val="ListParagraph"/>
        <w:widowControl w:val="0"/>
        <w:numPr>
          <w:ilvl w:val="0"/>
          <w:numId w:val="3"/>
        </w:numPr>
        <w:tabs>
          <w:tab w:val="left" w:pos="640"/>
        </w:tabs>
        <w:adjustRightInd w:val="0"/>
        <w:snapToGrid w:val="0"/>
        <w:spacing w:after="0"/>
        <w:ind w:right="291"/>
        <w:rPr>
          <w:rFonts w:asciiTheme="majorHAnsi" w:eastAsia="MS Mincho" w:hAnsiTheme="majorHAnsi" w:cstheme="majorHAnsi"/>
          <w:sz w:val="24"/>
          <w:lang w:eastAsia="ja-JP"/>
        </w:rPr>
      </w:pPr>
      <w:r w:rsidRPr="003F00DA">
        <w:rPr>
          <w:rFonts w:asciiTheme="majorHAnsi" w:eastAsia="MS Mincho" w:hAnsiTheme="majorHAnsi" w:cstheme="majorHAnsi"/>
          <w:b/>
          <w:color w:val="0E0E0E"/>
          <w:sz w:val="24"/>
          <w:lang w:eastAsia="ja-JP"/>
        </w:rPr>
        <w:t>Opening</w:t>
      </w:r>
      <w:r w:rsidRPr="003F00DA">
        <w:rPr>
          <w:rFonts w:asciiTheme="majorHAnsi" w:eastAsia="MS Mincho" w:hAnsiTheme="majorHAnsi" w:cstheme="majorHAnsi"/>
          <w:b/>
          <w:color w:val="202020"/>
          <w:sz w:val="24"/>
          <w:lang w:eastAsia="ja-JP"/>
        </w:rPr>
        <w:t xml:space="preserve"> of the meeting</w:t>
      </w:r>
    </w:p>
    <w:p w14:paraId="04727E57" w14:textId="77777777" w:rsidR="006E278F" w:rsidRPr="003F00DA" w:rsidRDefault="006E278F" w:rsidP="006E278F">
      <w:pPr>
        <w:widowControl w:val="0"/>
        <w:adjustRightInd w:val="0"/>
        <w:snapToGrid w:val="0"/>
        <w:rPr>
          <w:rFonts w:asciiTheme="majorHAnsi" w:eastAsia="MS Mincho" w:hAnsiTheme="majorHAnsi" w:cstheme="majorHAnsi"/>
          <w:sz w:val="24"/>
          <w:szCs w:val="24"/>
          <w:lang w:eastAsia="ja-JP"/>
        </w:rPr>
      </w:pPr>
    </w:p>
    <w:p w14:paraId="37659092" w14:textId="77777777" w:rsidR="006E278F" w:rsidRPr="003F00DA" w:rsidRDefault="006E278F" w:rsidP="006E278F">
      <w:pPr>
        <w:pStyle w:val="ListParagraph"/>
        <w:widowControl w:val="0"/>
        <w:numPr>
          <w:ilvl w:val="0"/>
          <w:numId w:val="3"/>
        </w:numPr>
        <w:tabs>
          <w:tab w:val="left" w:pos="640"/>
        </w:tabs>
        <w:adjustRightInd w:val="0"/>
        <w:snapToGrid w:val="0"/>
        <w:spacing w:after="0"/>
        <w:ind w:right="291"/>
        <w:rPr>
          <w:rFonts w:asciiTheme="majorHAnsi" w:eastAsia="MS Mincho" w:hAnsiTheme="majorHAnsi" w:cstheme="majorHAnsi"/>
          <w:sz w:val="24"/>
          <w:lang w:eastAsia="ja-JP"/>
        </w:rPr>
      </w:pPr>
      <w:r w:rsidRPr="003F00DA">
        <w:rPr>
          <w:rFonts w:asciiTheme="majorHAnsi" w:eastAsia="MS Mincho" w:hAnsiTheme="majorHAnsi" w:cstheme="majorHAnsi"/>
          <w:b/>
          <w:color w:val="0E0E0E"/>
          <w:sz w:val="24"/>
          <w:lang w:eastAsia="ja-JP"/>
        </w:rPr>
        <w:t>Adoption</w:t>
      </w:r>
      <w:r w:rsidRPr="003F00DA">
        <w:rPr>
          <w:rFonts w:asciiTheme="majorHAnsi" w:eastAsia="MS Mincho" w:hAnsiTheme="majorHAnsi" w:cstheme="majorHAnsi"/>
          <w:b/>
          <w:color w:val="202020"/>
          <w:sz w:val="24"/>
          <w:lang w:eastAsia="ja-JP"/>
        </w:rPr>
        <w:t xml:space="preserve"> of Agenda and Meeting Procedures</w:t>
      </w:r>
    </w:p>
    <w:p w14:paraId="4E67F706" w14:textId="77777777" w:rsidR="006E278F" w:rsidRPr="003F00DA" w:rsidRDefault="006E278F" w:rsidP="006E278F">
      <w:pPr>
        <w:widowControl w:val="0"/>
        <w:adjustRightInd w:val="0"/>
        <w:snapToGrid w:val="0"/>
        <w:rPr>
          <w:rFonts w:asciiTheme="majorHAnsi" w:eastAsia="MS Mincho" w:hAnsiTheme="majorHAnsi" w:cstheme="majorHAnsi"/>
          <w:sz w:val="24"/>
          <w:szCs w:val="24"/>
          <w:lang w:eastAsia="ja-JP"/>
        </w:rPr>
      </w:pPr>
    </w:p>
    <w:p w14:paraId="057C6DAF" w14:textId="77777777" w:rsidR="006E278F" w:rsidRPr="003F00DA" w:rsidRDefault="006E278F" w:rsidP="006E278F">
      <w:pPr>
        <w:pStyle w:val="ListParagraph"/>
        <w:widowControl w:val="0"/>
        <w:numPr>
          <w:ilvl w:val="0"/>
          <w:numId w:val="3"/>
        </w:numPr>
        <w:tabs>
          <w:tab w:val="left" w:pos="640"/>
        </w:tabs>
        <w:adjustRightInd w:val="0"/>
        <w:snapToGrid w:val="0"/>
        <w:spacing w:after="0"/>
        <w:ind w:right="291"/>
        <w:rPr>
          <w:rFonts w:asciiTheme="majorHAnsi" w:eastAsia="MS Mincho" w:hAnsiTheme="majorHAnsi" w:cstheme="majorHAnsi"/>
          <w:sz w:val="24"/>
          <w:lang w:eastAsia="ja-JP"/>
        </w:rPr>
      </w:pPr>
      <w:r w:rsidRPr="003F00DA">
        <w:rPr>
          <w:rFonts w:asciiTheme="majorHAnsi" w:eastAsia="MS Mincho" w:hAnsiTheme="majorHAnsi" w:cstheme="majorHAnsi"/>
          <w:b/>
          <w:color w:val="0E0E0E"/>
          <w:sz w:val="24"/>
          <w:lang w:eastAsia="ja-JP"/>
        </w:rPr>
        <w:t xml:space="preserve">Long-term Harvest Strategy </w:t>
      </w:r>
    </w:p>
    <w:p w14:paraId="11889783" w14:textId="77777777" w:rsidR="006E278F" w:rsidRPr="003F00DA" w:rsidRDefault="006E278F" w:rsidP="006E278F">
      <w:pPr>
        <w:widowControl w:val="0"/>
        <w:adjustRightInd w:val="0"/>
        <w:snapToGrid w:val="0"/>
        <w:ind w:leftChars="300" w:left="1500" w:hangingChars="350" w:hanging="840"/>
        <w:rPr>
          <w:rFonts w:asciiTheme="majorHAnsi" w:eastAsia="MS Mincho" w:hAnsiTheme="majorHAnsi" w:cstheme="majorHAnsi"/>
          <w:color w:val="202020"/>
          <w:sz w:val="24"/>
          <w:szCs w:val="24"/>
          <w:lang w:eastAsia="ja-JP"/>
        </w:rPr>
      </w:pPr>
    </w:p>
    <w:p w14:paraId="40293443" w14:textId="77777777" w:rsidR="006E278F" w:rsidRPr="003F00DA" w:rsidRDefault="006E278F" w:rsidP="006E278F">
      <w:pPr>
        <w:pStyle w:val="ListParagraph"/>
        <w:widowControl w:val="0"/>
        <w:numPr>
          <w:ilvl w:val="1"/>
          <w:numId w:val="3"/>
        </w:numPr>
        <w:adjustRightInd w:val="0"/>
        <w:snapToGrid w:val="0"/>
        <w:spacing w:after="0"/>
        <w:rPr>
          <w:rFonts w:asciiTheme="majorHAnsi" w:eastAsia="MS Mincho" w:hAnsiTheme="majorHAnsi" w:cstheme="majorHAnsi"/>
          <w:b/>
          <w:bCs/>
          <w:color w:val="202020"/>
          <w:sz w:val="24"/>
          <w:lang w:eastAsia="ja-JP"/>
        </w:rPr>
      </w:pPr>
      <w:r w:rsidRPr="003F00DA">
        <w:rPr>
          <w:rFonts w:asciiTheme="majorHAnsi" w:eastAsia="MS Mincho" w:hAnsiTheme="majorHAnsi" w:cstheme="majorHAnsi"/>
          <w:b/>
          <w:bCs/>
          <w:color w:val="202020"/>
          <w:sz w:val="24"/>
          <w:lang w:eastAsia="ja-JP"/>
        </w:rPr>
        <w:t>Development of long-term harvest strategy</w:t>
      </w:r>
    </w:p>
    <w:p w14:paraId="07C6C69C" w14:textId="77777777" w:rsidR="006E278F" w:rsidRPr="003F00DA" w:rsidRDefault="006E278F" w:rsidP="006E278F">
      <w:pPr>
        <w:pStyle w:val="ListParagraph"/>
        <w:widowControl w:val="0"/>
        <w:numPr>
          <w:ilvl w:val="0"/>
          <w:numId w:val="0"/>
        </w:numPr>
        <w:adjustRightInd w:val="0"/>
        <w:snapToGrid w:val="0"/>
        <w:spacing w:after="0"/>
        <w:ind w:left="1425"/>
        <w:rPr>
          <w:rFonts w:asciiTheme="majorHAnsi" w:eastAsia="MS Mincho" w:hAnsiTheme="majorHAnsi" w:cstheme="majorHAnsi"/>
          <w:sz w:val="24"/>
          <w:lang w:eastAsia="ko-KR"/>
        </w:rPr>
      </w:pPr>
    </w:p>
    <w:p w14:paraId="6FBE0119" w14:textId="77777777" w:rsidR="006E278F" w:rsidRPr="003F00DA" w:rsidRDefault="006E278F" w:rsidP="006E278F">
      <w:pPr>
        <w:pStyle w:val="ListParagraph"/>
        <w:widowControl w:val="0"/>
        <w:numPr>
          <w:ilvl w:val="0"/>
          <w:numId w:val="0"/>
        </w:numPr>
        <w:adjustRightInd w:val="0"/>
        <w:snapToGrid w:val="0"/>
        <w:spacing w:after="0"/>
        <w:ind w:left="1425"/>
        <w:rPr>
          <w:rFonts w:asciiTheme="majorHAnsi" w:eastAsia="MS Mincho" w:hAnsiTheme="majorHAnsi" w:cstheme="majorHAnsi"/>
          <w:sz w:val="24"/>
          <w:lang w:eastAsia="ko-KR"/>
        </w:rPr>
      </w:pPr>
      <w:r w:rsidRPr="003F00DA">
        <w:rPr>
          <w:rFonts w:asciiTheme="majorHAnsi" w:eastAsia="MS Mincho" w:hAnsiTheme="majorHAnsi" w:cstheme="majorHAnsi"/>
          <w:sz w:val="24"/>
          <w:lang w:eastAsia="ko-KR"/>
        </w:rPr>
        <w:t>The Co-Chairs will provide a summary of the development of the long-term harvest strategy to date and expectations for 2026.</w:t>
      </w:r>
    </w:p>
    <w:p w14:paraId="673CFF49" w14:textId="77777777" w:rsidR="006E278F" w:rsidRPr="003F00DA" w:rsidRDefault="006E278F" w:rsidP="006E278F">
      <w:pPr>
        <w:pStyle w:val="ListParagraph"/>
        <w:widowControl w:val="0"/>
        <w:numPr>
          <w:ilvl w:val="0"/>
          <w:numId w:val="0"/>
        </w:numPr>
        <w:adjustRightInd w:val="0"/>
        <w:snapToGrid w:val="0"/>
        <w:spacing w:after="0"/>
        <w:ind w:left="1425"/>
        <w:rPr>
          <w:rFonts w:asciiTheme="majorHAnsi" w:eastAsia="MS Mincho" w:hAnsiTheme="majorHAnsi" w:cstheme="majorHAnsi"/>
          <w:color w:val="202020"/>
          <w:sz w:val="24"/>
          <w:lang w:eastAsia="ja-JP"/>
        </w:rPr>
      </w:pPr>
    </w:p>
    <w:p w14:paraId="2A1A803E" w14:textId="77777777" w:rsidR="006E278F" w:rsidRPr="003F00DA" w:rsidRDefault="006E278F" w:rsidP="006E278F">
      <w:pPr>
        <w:pStyle w:val="ListParagraph"/>
        <w:widowControl w:val="0"/>
        <w:numPr>
          <w:ilvl w:val="1"/>
          <w:numId w:val="3"/>
        </w:numPr>
        <w:adjustRightInd w:val="0"/>
        <w:snapToGrid w:val="0"/>
        <w:spacing w:after="0"/>
        <w:rPr>
          <w:rFonts w:asciiTheme="majorHAnsi" w:eastAsia="MS Mincho" w:hAnsiTheme="majorHAnsi" w:cstheme="majorHAnsi"/>
          <w:b/>
          <w:bCs/>
          <w:color w:val="202020"/>
          <w:sz w:val="24"/>
          <w:lang w:eastAsia="ja-JP"/>
        </w:rPr>
      </w:pPr>
      <w:r w:rsidRPr="003F00DA">
        <w:rPr>
          <w:rFonts w:asciiTheme="majorHAnsi" w:eastAsia="MS Mincho" w:hAnsiTheme="majorHAnsi" w:cstheme="majorHAnsi"/>
          <w:b/>
          <w:color w:val="0E0E0E"/>
          <w:sz w:val="24"/>
          <w:lang w:eastAsia="ja-JP"/>
        </w:rPr>
        <w:t>Management Strategy Evaluation (MSE)</w:t>
      </w:r>
    </w:p>
    <w:p w14:paraId="55B69381" w14:textId="77777777" w:rsidR="006E278F" w:rsidRPr="003F00DA" w:rsidRDefault="006E278F" w:rsidP="006E278F">
      <w:pPr>
        <w:pStyle w:val="ListParagraph"/>
        <w:widowControl w:val="0"/>
        <w:numPr>
          <w:ilvl w:val="0"/>
          <w:numId w:val="0"/>
        </w:numPr>
        <w:adjustRightInd w:val="0"/>
        <w:snapToGrid w:val="0"/>
        <w:spacing w:after="0"/>
        <w:ind w:left="1425"/>
        <w:rPr>
          <w:rFonts w:asciiTheme="majorHAnsi" w:eastAsia="MS Mincho" w:hAnsiTheme="majorHAnsi" w:cstheme="majorHAnsi"/>
          <w:bCs/>
          <w:color w:val="0E0E0E"/>
          <w:sz w:val="24"/>
          <w:lang w:eastAsia="ja-JP"/>
        </w:rPr>
      </w:pPr>
    </w:p>
    <w:p w14:paraId="5845928E" w14:textId="77777777" w:rsidR="006E278F" w:rsidRPr="003F00DA" w:rsidRDefault="006E278F" w:rsidP="006E278F">
      <w:pPr>
        <w:pStyle w:val="ListParagraph"/>
        <w:widowControl w:val="0"/>
        <w:numPr>
          <w:ilvl w:val="0"/>
          <w:numId w:val="0"/>
        </w:numPr>
        <w:adjustRightInd w:val="0"/>
        <w:snapToGrid w:val="0"/>
        <w:spacing w:after="0"/>
        <w:ind w:left="1425"/>
        <w:rPr>
          <w:rFonts w:asciiTheme="majorHAnsi" w:eastAsia="MS Mincho" w:hAnsiTheme="majorHAnsi" w:cstheme="majorHAnsi"/>
          <w:bCs/>
          <w:color w:val="0E0E0E"/>
          <w:sz w:val="24"/>
          <w:lang w:eastAsia="ja-JP"/>
        </w:rPr>
      </w:pPr>
      <w:r w:rsidRPr="003F00DA">
        <w:rPr>
          <w:rFonts w:asciiTheme="majorHAnsi" w:eastAsia="MS Mincho" w:hAnsiTheme="majorHAnsi" w:cstheme="majorHAnsi"/>
          <w:bCs/>
          <w:color w:val="0E0E0E"/>
          <w:sz w:val="24"/>
          <w:lang w:eastAsia="ja-JP"/>
        </w:rPr>
        <w:t xml:space="preserve">The ISC will provide a summary of the MSE results (completed in 2025), relevant updates, and resources available to support management decisions. </w:t>
      </w:r>
    </w:p>
    <w:p w14:paraId="00143180" w14:textId="77777777" w:rsidR="006E278F" w:rsidRPr="003F00DA" w:rsidRDefault="006E278F" w:rsidP="006E278F">
      <w:pPr>
        <w:pStyle w:val="ListParagraph"/>
        <w:widowControl w:val="0"/>
        <w:numPr>
          <w:ilvl w:val="0"/>
          <w:numId w:val="0"/>
        </w:numPr>
        <w:adjustRightInd w:val="0"/>
        <w:snapToGrid w:val="0"/>
        <w:spacing w:after="0"/>
        <w:ind w:left="1425"/>
        <w:rPr>
          <w:rFonts w:asciiTheme="majorHAnsi" w:eastAsia="MS Mincho" w:hAnsiTheme="majorHAnsi" w:cstheme="majorHAnsi"/>
          <w:bCs/>
          <w:color w:val="202020"/>
          <w:sz w:val="24"/>
          <w:lang w:eastAsia="ja-JP"/>
        </w:rPr>
      </w:pPr>
    </w:p>
    <w:p w14:paraId="21BB9BCC" w14:textId="77777777" w:rsidR="006E278F" w:rsidRPr="003F00DA" w:rsidRDefault="006E278F" w:rsidP="006E278F">
      <w:pPr>
        <w:pStyle w:val="ListParagraph"/>
        <w:widowControl w:val="0"/>
        <w:numPr>
          <w:ilvl w:val="1"/>
          <w:numId w:val="3"/>
        </w:numPr>
        <w:adjustRightInd w:val="0"/>
        <w:snapToGrid w:val="0"/>
        <w:spacing w:after="0"/>
        <w:rPr>
          <w:rFonts w:asciiTheme="majorHAnsi" w:eastAsia="MS Mincho" w:hAnsiTheme="majorHAnsi" w:cstheme="majorHAnsi"/>
          <w:b/>
          <w:bCs/>
          <w:color w:val="202020"/>
          <w:sz w:val="24"/>
          <w:lang w:eastAsia="ja-JP"/>
        </w:rPr>
      </w:pPr>
      <w:r w:rsidRPr="003F00DA">
        <w:rPr>
          <w:rFonts w:asciiTheme="majorHAnsi" w:eastAsia="MS Mincho" w:hAnsiTheme="majorHAnsi" w:cstheme="majorHAnsi"/>
          <w:b/>
          <w:bCs/>
          <w:color w:val="202020"/>
          <w:sz w:val="24"/>
          <w:lang w:eastAsia="ja-JP"/>
        </w:rPr>
        <w:t>Discussion and recommendations on the long-term harvest strategy</w:t>
      </w:r>
    </w:p>
    <w:p w14:paraId="35549F9A" w14:textId="77777777" w:rsidR="006E278F" w:rsidRPr="003F00DA" w:rsidRDefault="006E278F" w:rsidP="006E278F">
      <w:pPr>
        <w:widowControl w:val="0"/>
        <w:adjustRightInd w:val="0"/>
        <w:snapToGrid w:val="0"/>
        <w:ind w:leftChars="650" w:left="1430" w:firstLineChars="4" w:firstLine="10"/>
        <w:rPr>
          <w:rFonts w:asciiTheme="majorHAnsi" w:eastAsia="MS Mincho" w:hAnsiTheme="majorHAnsi" w:cstheme="majorHAnsi"/>
          <w:color w:val="202020"/>
          <w:sz w:val="24"/>
          <w:szCs w:val="24"/>
          <w:lang w:eastAsia="ja-JP"/>
        </w:rPr>
      </w:pPr>
    </w:p>
    <w:p w14:paraId="0A7BAACB" w14:textId="77777777" w:rsidR="006E278F" w:rsidRPr="003F00DA" w:rsidRDefault="006E278F" w:rsidP="006E278F">
      <w:pPr>
        <w:widowControl w:val="0"/>
        <w:adjustRightInd w:val="0"/>
        <w:snapToGrid w:val="0"/>
        <w:ind w:leftChars="650" w:left="1430" w:firstLineChars="4" w:firstLine="10"/>
        <w:rPr>
          <w:rFonts w:asciiTheme="majorHAnsi" w:eastAsia="MS Mincho" w:hAnsiTheme="majorHAnsi" w:cstheme="majorHAnsi"/>
          <w:color w:val="202020"/>
          <w:sz w:val="24"/>
          <w:szCs w:val="24"/>
          <w:lang w:eastAsia="ja-JP"/>
        </w:rPr>
      </w:pPr>
      <w:r w:rsidRPr="003F00DA">
        <w:rPr>
          <w:rFonts w:asciiTheme="majorHAnsi" w:eastAsia="MS Mincho" w:hAnsiTheme="majorHAnsi" w:cstheme="majorHAnsi"/>
          <w:color w:val="202020"/>
          <w:sz w:val="24"/>
          <w:szCs w:val="24"/>
          <w:lang w:eastAsia="ja-JP"/>
        </w:rPr>
        <w:t xml:space="preserve">JWG Members will discuss elements of the long-term harvest strategy, including harvest control rules, reference points, and other related issues. The Co-Chairs will work with JWG Members to develop any recommendations or requests, as appropriate. </w:t>
      </w:r>
    </w:p>
    <w:p w14:paraId="4553EB0A" w14:textId="77777777" w:rsidR="006E278F" w:rsidRPr="003F00DA" w:rsidRDefault="006E278F" w:rsidP="006E278F">
      <w:pPr>
        <w:pStyle w:val="ListParagraph"/>
        <w:widowControl w:val="0"/>
        <w:numPr>
          <w:ilvl w:val="0"/>
          <w:numId w:val="0"/>
        </w:numPr>
        <w:adjustRightInd w:val="0"/>
        <w:snapToGrid w:val="0"/>
        <w:spacing w:after="0"/>
        <w:ind w:left="1425"/>
        <w:rPr>
          <w:rFonts w:asciiTheme="majorHAnsi" w:eastAsia="MS Mincho" w:hAnsiTheme="majorHAnsi" w:cstheme="majorHAnsi"/>
          <w:sz w:val="24"/>
          <w:lang w:eastAsia="ja-JP"/>
        </w:rPr>
      </w:pPr>
    </w:p>
    <w:p w14:paraId="3F6CA870" w14:textId="77777777" w:rsidR="006E278F" w:rsidRPr="003F00DA" w:rsidRDefault="006E278F" w:rsidP="006E278F">
      <w:pPr>
        <w:pStyle w:val="ListParagraph"/>
        <w:widowControl w:val="0"/>
        <w:numPr>
          <w:ilvl w:val="0"/>
          <w:numId w:val="3"/>
        </w:numPr>
        <w:adjustRightInd w:val="0"/>
        <w:snapToGrid w:val="0"/>
        <w:spacing w:after="0"/>
        <w:rPr>
          <w:rFonts w:asciiTheme="majorHAnsi" w:eastAsia="MS Mincho" w:hAnsiTheme="majorHAnsi" w:cstheme="majorHAnsi"/>
          <w:b/>
          <w:bCs/>
          <w:sz w:val="24"/>
          <w:lang w:eastAsia="ja-JP"/>
        </w:rPr>
      </w:pPr>
      <w:r w:rsidRPr="003F00DA">
        <w:rPr>
          <w:rFonts w:asciiTheme="majorHAnsi" w:eastAsia="MS Mincho" w:hAnsiTheme="majorHAnsi" w:cstheme="majorHAnsi"/>
          <w:b/>
          <w:bCs/>
          <w:sz w:val="24"/>
          <w:lang w:eastAsia="ja-JP"/>
        </w:rPr>
        <w:t>Catch Documentation Scheme (CDS)</w:t>
      </w:r>
    </w:p>
    <w:p w14:paraId="4686A74E" w14:textId="77777777" w:rsidR="006E278F" w:rsidRPr="003F00DA" w:rsidRDefault="006E278F" w:rsidP="006E278F">
      <w:pPr>
        <w:pStyle w:val="ListParagraph"/>
        <w:widowControl w:val="0"/>
        <w:numPr>
          <w:ilvl w:val="0"/>
          <w:numId w:val="0"/>
        </w:numPr>
        <w:adjustRightInd w:val="0"/>
        <w:snapToGrid w:val="0"/>
        <w:spacing w:after="0"/>
        <w:ind w:left="640"/>
        <w:rPr>
          <w:rFonts w:asciiTheme="majorHAnsi" w:eastAsia="MS Mincho" w:hAnsiTheme="majorHAnsi" w:cstheme="majorHAnsi"/>
          <w:sz w:val="24"/>
          <w:lang w:eastAsia="ko-KR"/>
        </w:rPr>
      </w:pPr>
    </w:p>
    <w:p w14:paraId="36CD3447" w14:textId="77777777" w:rsidR="006E278F" w:rsidRPr="003F00DA" w:rsidRDefault="006E278F" w:rsidP="006E278F">
      <w:pPr>
        <w:pStyle w:val="ListParagraph"/>
        <w:widowControl w:val="0"/>
        <w:numPr>
          <w:ilvl w:val="0"/>
          <w:numId w:val="0"/>
        </w:numPr>
        <w:adjustRightInd w:val="0"/>
        <w:snapToGrid w:val="0"/>
        <w:spacing w:after="0"/>
        <w:ind w:left="640"/>
        <w:rPr>
          <w:rFonts w:asciiTheme="majorHAnsi" w:eastAsia="MS Mincho" w:hAnsiTheme="majorHAnsi" w:cstheme="majorHAnsi"/>
          <w:sz w:val="24"/>
          <w:lang w:eastAsia="ko-KR"/>
        </w:rPr>
      </w:pPr>
      <w:r w:rsidRPr="003F00DA">
        <w:rPr>
          <w:rFonts w:asciiTheme="majorHAnsi" w:eastAsia="MS Mincho" w:hAnsiTheme="majorHAnsi" w:cstheme="majorHAnsi"/>
          <w:sz w:val="24"/>
          <w:lang w:eastAsia="ko-KR"/>
        </w:rPr>
        <w:t>The Co-Chairs will provide an update on the development of the catch documentation scheme for Pacific bluefin tuna and expectations for 2026.</w:t>
      </w:r>
    </w:p>
    <w:p w14:paraId="795B5291" w14:textId="77777777" w:rsidR="006E278F" w:rsidRPr="003F00DA" w:rsidRDefault="006E278F" w:rsidP="006E278F">
      <w:pPr>
        <w:pStyle w:val="ListParagraph"/>
        <w:widowControl w:val="0"/>
        <w:numPr>
          <w:ilvl w:val="0"/>
          <w:numId w:val="0"/>
        </w:numPr>
        <w:adjustRightInd w:val="0"/>
        <w:snapToGrid w:val="0"/>
        <w:spacing w:after="0"/>
        <w:ind w:left="640"/>
        <w:rPr>
          <w:rFonts w:asciiTheme="majorHAnsi" w:eastAsia="MS Mincho" w:hAnsiTheme="majorHAnsi" w:cstheme="majorHAnsi"/>
          <w:b/>
          <w:bCs/>
          <w:sz w:val="24"/>
          <w:lang w:eastAsia="ja-JP"/>
        </w:rPr>
      </w:pPr>
    </w:p>
    <w:p w14:paraId="3F7B8F85" w14:textId="77777777" w:rsidR="006E278F" w:rsidRPr="003F00DA" w:rsidRDefault="006E278F" w:rsidP="006E278F">
      <w:pPr>
        <w:pStyle w:val="ListParagraph"/>
        <w:widowControl w:val="0"/>
        <w:numPr>
          <w:ilvl w:val="0"/>
          <w:numId w:val="3"/>
        </w:numPr>
        <w:adjustRightInd w:val="0"/>
        <w:snapToGrid w:val="0"/>
        <w:spacing w:after="0"/>
        <w:rPr>
          <w:rFonts w:asciiTheme="majorHAnsi" w:eastAsia="MS Mincho" w:hAnsiTheme="majorHAnsi" w:cstheme="majorHAnsi"/>
          <w:b/>
          <w:bCs/>
          <w:sz w:val="24"/>
          <w:lang w:eastAsia="ja-JP"/>
        </w:rPr>
      </w:pPr>
      <w:r w:rsidRPr="003F00DA">
        <w:rPr>
          <w:rFonts w:asciiTheme="majorHAnsi" w:eastAsia="MS Mincho" w:hAnsiTheme="majorHAnsi" w:cstheme="majorHAnsi"/>
          <w:b/>
          <w:bCs/>
          <w:sz w:val="24"/>
          <w:lang w:eastAsia="ja-JP"/>
        </w:rPr>
        <w:t>Monitoring Control and Surveillance (MCS)</w:t>
      </w:r>
    </w:p>
    <w:p w14:paraId="023DAB20" w14:textId="77777777" w:rsidR="006E278F" w:rsidRPr="003F00DA" w:rsidRDefault="006E278F" w:rsidP="006E278F">
      <w:pPr>
        <w:pStyle w:val="ListParagraph"/>
        <w:widowControl w:val="0"/>
        <w:numPr>
          <w:ilvl w:val="0"/>
          <w:numId w:val="0"/>
        </w:numPr>
        <w:adjustRightInd w:val="0"/>
        <w:snapToGrid w:val="0"/>
        <w:spacing w:after="0"/>
        <w:ind w:left="640"/>
        <w:rPr>
          <w:rFonts w:asciiTheme="majorHAnsi" w:eastAsia="MS Mincho" w:hAnsiTheme="majorHAnsi" w:cstheme="majorHAnsi"/>
          <w:b/>
          <w:bCs/>
          <w:sz w:val="24"/>
          <w:lang w:eastAsia="ja-JP"/>
        </w:rPr>
      </w:pPr>
    </w:p>
    <w:p w14:paraId="12DA9AE2" w14:textId="77777777" w:rsidR="006E278F" w:rsidRPr="003F00DA" w:rsidRDefault="006E278F" w:rsidP="006E278F">
      <w:pPr>
        <w:pStyle w:val="ListParagraph"/>
        <w:widowControl w:val="0"/>
        <w:numPr>
          <w:ilvl w:val="0"/>
          <w:numId w:val="0"/>
        </w:numPr>
        <w:adjustRightInd w:val="0"/>
        <w:snapToGrid w:val="0"/>
        <w:spacing w:after="0"/>
        <w:ind w:left="640"/>
        <w:rPr>
          <w:rFonts w:asciiTheme="majorHAnsi" w:eastAsia="MS Mincho" w:hAnsiTheme="majorHAnsi" w:cstheme="majorHAnsi"/>
          <w:sz w:val="24"/>
          <w:lang w:eastAsia="ja-JP"/>
        </w:rPr>
      </w:pPr>
      <w:r w:rsidRPr="003F00DA">
        <w:rPr>
          <w:rFonts w:asciiTheme="majorHAnsi" w:eastAsia="MS Mincho" w:hAnsiTheme="majorHAnsi" w:cstheme="majorHAnsi"/>
          <w:sz w:val="24"/>
          <w:lang w:eastAsia="ja-JP"/>
        </w:rPr>
        <w:t>JWG Members will review current MCS measures (</w:t>
      </w:r>
      <w:hyperlink r:id="rId11" w:history="1">
        <w:r w:rsidRPr="003F00DA">
          <w:rPr>
            <w:rStyle w:val="Hyperlink"/>
            <w:rFonts w:asciiTheme="majorHAnsi" w:eastAsia="MS Mincho" w:hAnsiTheme="majorHAnsi" w:cstheme="majorHAnsi"/>
            <w:sz w:val="24"/>
            <w:lang w:eastAsia="ja-JP"/>
          </w:rPr>
          <w:t>IATTC C-24-03</w:t>
        </w:r>
      </w:hyperlink>
      <w:r w:rsidRPr="003F00DA">
        <w:rPr>
          <w:rFonts w:asciiTheme="majorHAnsi" w:eastAsia="MS Mincho" w:hAnsiTheme="majorHAnsi" w:cstheme="majorHAnsi"/>
          <w:sz w:val="24"/>
          <w:lang w:eastAsia="ja-JP"/>
        </w:rPr>
        <w:t xml:space="preserve"> and </w:t>
      </w:r>
      <w:hyperlink r:id="rId12" w:history="1">
        <w:r w:rsidRPr="003F00DA">
          <w:rPr>
            <w:rStyle w:val="Hyperlink"/>
            <w:rFonts w:asciiTheme="majorHAnsi" w:eastAsia="MS Mincho" w:hAnsiTheme="majorHAnsi" w:cstheme="majorHAnsi"/>
            <w:sz w:val="24"/>
            <w:lang w:eastAsia="ja-JP"/>
          </w:rPr>
          <w:t>WCPFC 2024-02</w:t>
        </w:r>
      </w:hyperlink>
      <w:r w:rsidRPr="003F00DA">
        <w:rPr>
          <w:rFonts w:asciiTheme="majorHAnsi" w:eastAsia="MS Mincho" w:hAnsiTheme="majorHAnsi" w:cstheme="majorHAnsi"/>
          <w:sz w:val="24"/>
          <w:lang w:eastAsia="ja-JP"/>
        </w:rPr>
        <w:t xml:space="preserve">) and </w:t>
      </w:r>
      <w:r w:rsidRPr="003F00DA">
        <w:rPr>
          <w:rFonts w:asciiTheme="majorHAnsi" w:eastAsia="MS Mincho" w:hAnsiTheme="majorHAnsi" w:cstheme="majorHAnsi"/>
          <w:sz w:val="24"/>
          <w:lang w:eastAsia="ja-JP"/>
        </w:rPr>
        <w:lastRenderedPageBreak/>
        <w:t xml:space="preserve">discuss approaches to updating these measures in 2026. </w:t>
      </w:r>
    </w:p>
    <w:p w14:paraId="677482AE" w14:textId="77777777" w:rsidR="006E278F" w:rsidRPr="003F00DA" w:rsidRDefault="006E278F" w:rsidP="006E278F">
      <w:pPr>
        <w:pStyle w:val="ListParagraph"/>
        <w:widowControl w:val="0"/>
        <w:numPr>
          <w:ilvl w:val="0"/>
          <w:numId w:val="0"/>
        </w:numPr>
        <w:adjustRightInd w:val="0"/>
        <w:snapToGrid w:val="0"/>
        <w:spacing w:after="0"/>
        <w:ind w:left="640"/>
        <w:rPr>
          <w:rFonts w:asciiTheme="majorHAnsi" w:eastAsia="MS Mincho" w:hAnsiTheme="majorHAnsi" w:cstheme="majorHAnsi"/>
          <w:b/>
          <w:bCs/>
          <w:sz w:val="24"/>
          <w:lang w:eastAsia="ja-JP"/>
        </w:rPr>
      </w:pPr>
    </w:p>
    <w:p w14:paraId="7BC62EFD" w14:textId="77777777" w:rsidR="006E278F" w:rsidRPr="003F00DA" w:rsidRDefault="006E278F" w:rsidP="006E278F">
      <w:pPr>
        <w:pStyle w:val="ListParagraph"/>
        <w:widowControl w:val="0"/>
        <w:numPr>
          <w:ilvl w:val="0"/>
          <w:numId w:val="0"/>
        </w:numPr>
        <w:adjustRightInd w:val="0"/>
        <w:snapToGrid w:val="0"/>
        <w:spacing w:after="0"/>
        <w:ind w:left="640"/>
        <w:rPr>
          <w:rFonts w:asciiTheme="majorHAnsi" w:eastAsia="MS Mincho" w:hAnsiTheme="majorHAnsi" w:cstheme="majorHAnsi"/>
          <w:b/>
          <w:bCs/>
          <w:sz w:val="24"/>
          <w:lang w:eastAsia="ja-JP"/>
        </w:rPr>
      </w:pPr>
    </w:p>
    <w:p w14:paraId="7D05A1AF" w14:textId="77777777" w:rsidR="006E278F" w:rsidRPr="003F00DA" w:rsidRDefault="006E278F" w:rsidP="006E278F">
      <w:pPr>
        <w:pStyle w:val="ListParagraph"/>
        <w:widowControl w:val="0"/>
        <w:numPr>
          <w:ilvl w:val="0"/>
          <w:numId w:val="3"/>
        </w:numPr>
        <w:adjustRightInd w:val="0"/>
        <w:snapToGrid w:val="0"/>
        <w:spacing w:after="0"/>
        <w:rPr>
          <w:rFonts w:asciiTheme="majorHAnsi" w:eastAsia="MS Mincho" w:hAnsiTheme="majorHAnsi" w:cstheme="majorHAnsi"/>
          <w:b/>
          <w:bCs/>
          <w:sz w:val="24"/>
          <w:lang w:eastAsia="ja-JP"/>
        </w:rPr>
      </w:pPr>
      <w:r w:rsidRPr="003F00DA">
        <w:rPr>
          <w:rFonts w:asciiTheme="majorHAnsi" w:eastAsia="MS Mincho" w:hAnsiTheme="majorHAnsi" w:cstheme="majorHAnsi"/>
          <w:b/>
          <w:bCs/>
          <w:sz w:val="24"/>
          <w:lang w:eastAsia="ja-JP"/>
        </w:rPr>
        <w:t>Other Business</w:t>
      </w:r>
    </w:p>
    <w:p w14:paraId="5C18A77D" w14:textId="77777777" w:rsidR="006E278F" w:rsidRPr="003F00DA" w:rsidRDefault="006E278F" w:rsidP="006E278F">
      <w:pPr>
        <w:pStyle w:val="ListParagraph"/>
        <w:widowControl w:val="0"/>
        <w:numPr>
          <w:ilvl w:val="0"/>
          <w:numId w:val="0"/>
        </w:numPr>
        <w:adjustRightInd w:val="0"/>
        <w:snapToGrid w:val="0"/>
        <w:spacing w:after="0"/>
        <w:ind w:left="640"/>
        <w:jc w:val="left"/>
        <w:rPr>
          <w:rFonts w:asciiTheme="majorHAnsi" w:eastAsia="MS Mincho" w:hAnsiTheme="majorHAnsi" w:cstheme="majorHAnsi"/>
          <w:sz w:val="24"/>
          <w:lang w:eastAsia="ja-JP"/>
        </w:rPr>
      </w:pPr>
    </w:p>
    <w:p w14:paraId="38DE5C6C" w14:textId="77777777" w:rsidR="006E278F" w:rsidRPr="003F00DA" w:rsidRDefault="006E278F" w:rsidP="006E278F">
      <w:pPr>
        <w:pStyle w:val="ListParagraph"/>
        <w:widowControl w:val="0"/>
        <w:numPr>
          <w:ilvl w:val="0"/>
          <w:numId w:val="0"/>
        </w:numPr>
        <w:adjustRightInd w:val="0"/>
        <w:snapToGrid w:val="0"/>
        <w:spacing w:after="0"/>
        <w:ind w:left="640"/>
        <w:jc w:val="left"/>
        <w:rPr>
          <w:rFonts w:asciiTheme="majorHAnsi" w:eastAsia="MS Mincho" w:hAnsiTheme="majorHAnsi" w:cstheme="majorHAnsi"/>
          <w:sz w:val="24"/>
          <w:lang w:eastAsia="ja-JP"/>
        </w:rPr>
      </w:pPr>
      <w:r w:rsidRPr="003F00DA">
        <w:rPr>
          <w:rFonts w:asciiTheme="majorHAnsi" w:eastAsia="MS Mincho" w:hAnsiTheme="majorHAnsi" w:cstheme="majorHAnsi"/>
          <w:sz w:val="24"/>
          <w:lang w:eastAsia="ja-JP"/>
        </w:rPr>
        <w:t>The JWG will discuss other business as appropriate.</w:t>
      </w:r>
    </w:p>
    <w:p w14:paraId="458C784C" w14:textId="77777777" w:rsidR="006E278F" w:rsidRPr="003F00DA" w:rsidRDefault="006E278F" w:rsidP="006E278F">
      <w:pPr>
        <w:widowControl w:val="0"/>
        <w:adjustRightInd w:val="0"/>
        <w:snapToGrid w:val="0"/>
        <w:rPr>
          <w:rFonts w:asciiTheme="majorHAnsi" w:eastAsia="MS Mincho" w:hAnsiTheme="majorHAnsi" w:cstheme="majorHAnsi"/>
          <w:b/>
          <w:bCs/>
          <w:sz w:val="24"/>
          <w:szCs w:val="24"/>
          <w:lang w:eastAsia="ja-JP"/>
        </w:rPr>
      </w:pPr>
    </w:p>
    <w:p w14:paraId="38EFC604" w14:textId="77777777" w:rsidR="006E278F" w:rsidRPr="003F00DA" w:rsidRDefault="006E278F" w:rsidP="006E278F">
      <w:pPr>
        <w:pStyle w:val="ListParagraph"/>
        <w:widowControl w:val="0"/>
        <w:numPr>
          <w:ilvl w:val="0"/>
          <w:numId w:val="3"/>
        </w:numPr>
        <w:adjustRightInd w:val="0"/>
        <w:snapToGrid w:val="0"/>
        <w:spacing w:after="0"/>
        <w:rPr>
          <w:rFonts w:asciiTheme="majorHAnsi" w:eastAsia="MS Mincho" w:hAnsiTheme="majorHAnsi" w:cstheme="majorHAnsi"/>
          <w:b/>
          <w:bCs/>
          <w:sz w:val="24"/>
          <w:lang w:eastAsia="ja-JP"/>
        </w:rPr>
      </w:pPr>
      <w:r w:rsidRPr="003F00DA">
        <w:rPr>
          <w:rFonts w:asciiTheme="majorHAnsi" w:eastAsia="MS Mincho" w:hAnsiTheme="majorHAnsi" w:cstheme="majorHAnsi"/>
          <w:b/>
          <w:bCs/>
          <w:sz w:val="24"/>
          <w:lang w:eastAsia="ja-JP"/>
        </w:rPr>
        <w:t>Adoption of Report</w:t>
      </w:r>
    </w:p>
    <w:p w14:paraId="618C4917" w14:textId="77777777" w:rsidR="006E278F" w:rsidRPr="003F00DA" w:rsidRDefault="006E278F" w:rsidP="006E278F">
      <w:pPr>
        <w:pStyle w:val="ListParagraph"/>
        <w:widowControl w:val="0"/>
        <w:numPr>
          <w:ilvl w:val="0"/>
          <w:numId w:val="0"/>
        </w:numPr>
        <w:adjustRightInd w:val="0"/>
        <w:snapToGrid w:val="0"/>
        <w:spacing w:after="0"/>
        <w:ind w:left="640"/>
        <w:rPr>
          <w:rFonts w:asciiTheme="majorHAnsi" w:eastAsia="MS Mincho" w:hAnsiTheme="majorHAnsi" w:cstheme="majorHAnsi"/>
          <w:b/>
          <w:bCs/>
          <w:sz w:val="24"/>
          <w:lang w:eastAsia="ja-JP"/>
        </w:rPr>
      </w:pPr>
    </w:p>
    <w:p w14:paraId="5DDCD5B0" w14:textId="77777777" w:rsidR="006E278F" w:rsidRPr="003F00DA" w:rsidRDefault="006E278F" w:rsidP="006E278F">
      <w:pPr>
        <w:pStyle w:val="ListParagraph"/>
        <w:widowControl w:val="0"/>
        <w:numPr>
          <w:ilvl w:val="0"/>
          <w:numId w:val="3"/>
        </w:numPr>
        <w:adjustRightInd w:val="0"/>
        <w:snapToGrid w:val="0"/>
        <w:spacing w:after="0"/>
        <w:rPr>
          <w:rFonts w:asciiTheme="majorHAnsi" w:eastAsia="MS Mincho" w:hAnsiTheme="majorHAnsi" w:cstheme="majorHAnsi"/>
          <w:b/>
          <w:bCs/>
          <w:sz w:val="24"/>
          <w:lang w:eastAsia="ja-JP"/>
        </w:rPr>
      </w:pPr>
      <w:r w:rsidRPr="003F00DA">
        <w:rPr>
          <w:rFonts w:asciiTheme="majorHAnsi" w:eastAsia="MS Mincho" w:hAnsiTheme="majorHAnsi" w:cstheme="majorHAnsi"/>
          <w:b/>
          <w:bCs/>
          <w:sz w:val="24"/>
          <w:lang w:eastAsia="ja-JP"/>
        </w:rPr>
        <w:t>Close of Meeting</w:t>
      </w:r>
    </w:p>
    <w:p w14:paraId="0DE9D004" w14:textId="24094B60" w:rsidR="006E278F" w:rsidRPr="003F00DA" w:rsidRDefault="006E278F">
      <w:pPr>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br w:type="page"/>
      </w:r>
    </w:p>
    <w:p w14:paraId="685E32A8" w14:textId="77777777" w:rsidR="00CE33CC" w:rsidRPr="003F00DA" w:rsidRDefault="00CE33CC" w:rsidP="00CE33CC">
      <w:pPr>
        <w:spacing w:line="240" w:lineRule="auto"/>
        <w:jc w:val="right"/>
        <w:rPr>
          <w:rFonts w:asciiTheme="majorHAnsi" w:eastAsia="Times New Roman" w:hAnsiTheme="majorHAnsi" w:cstheme="majorHAnsi"/>
          <w:b/>
          <w:bCs/>
          <w:sz w:val="24"/>
          <w:szCs w:val="24"/>
        </w:rPr>
      </w:pPr>
      <w:r w:rsidRPr="003F00DA">
        <w:rPr>
          <w:rFonts w:asciiTheme="majorHAnsi" w:eastAsia="Times New Roman" w:hAnsiTheme="majorHAnsi" w:cstheme="majorHAnsi"/>
          <w:b/>
          <w:bCs/>
          <w:sz w:val="24"/>
          <w:szCs w:val="24"/>
        </w:rPr>
        <w:lastRenderedPageBreak/>
        <w:t>Attachment C</w:t>
      </w:r>
    </w:p>
    <w:p w14:paraId="00CA3811" w14:textId="77777777" w:rsidR="00CE33CC" w:rsidRPr="003F00DA" w:rsidRDefault="00CE33CC" w:rsidP="00CE33CC">
      <w:pPr>
        <w:spacing w:line="240" w:lineRule="auto"/>
        <w:jc w:val="right"/>
        <w:rPr>
          <w:rFonts w:asciiTheme="majorHAnsi" w:hAnsiTheme="majorHAnsi" w:cstheme="majorHAnsi"/>
          <w:sz w:val="24"/>
          <w:szCs w:val="24"/>
        </w:rPr>
      </w:pPr>
    </w:p>
    <w:p w14:paraId="68D5A044" w14:textId="77777777" w:rsidR="00CE33CC" w:rsidRPr="003F00DA" w:rsidRDefault="00CE33CC" w:rsidP="00CE33CC">
      <w:pPr>
        <w:pStyle w:val="Default"/>
        <w:snapToGrid w:val="0"/>
        <w:jc w:val="center"/>
        <w:rPr>
          <w:rFonts w:asciiTheme="majorHAnsi" w:hAnsiTheme="majorHAnsi" w:cstheme="majorHAnsi"/>
        </w:rPr>
      </w:pPr>
      <w:r w:rsidRPr="003F00DA">
        <w:rPr>
          <w:rFonts w:asciiTheme="majorHAnsi" w:hAnsiTheme="majorHAnsi" w:cstheme="majorHAnsi"/>
          <w:b/>
          <w:bCs/>
          <w:color w:val="1F1F1F"/>
        </w:rPr>
        <w:t>JOINT IATTC AND WCPFC-NC WORKING GROUP INTERSESSIONAL MEETING ON THE</w:t>
      </w:r>
    </w:p>
    <w:p w14:paraId="66724477" w14:textId="77777777" w:rsidR="00CE33CC" w:rsidRPr="003F00DA" w:rsidRDefault="00CE33CC" w:rsidP="00CE33CC">
      <w:pPr>
        <w:pStyle w:val="Default"/>
        <w:snapToGrid w:val="0"/>
        <w:jc w:val="center"/>
        <w:rPr>
          <w:rFonts w:asciiTheme="majorHAnsi" w:hAnsiTheme="majorHAnsi" w:cstheme="majorHAnsi"/>
          <w:color w:val="1F1F1F"/>
        </w:rPr>
      </w:pPr>
      <w:r w:rsidRPr="003F00DA">
        <w:rPr>
          <w:rFonts w:asciiTheme="majorHAnsi" w:hAnsiTheme="majorHAnsi" w:cstheme="majorHAnsi"/>
          <w:b/>
          <w:bCs/>
          <w:color w:val="1F1F1F"/>
        </w:rPr>
        <w:t>MANAGEMENT OF PACIFIC BLUEFIN TUNA</w:t>
      </w:r>
    </w:p>
    <w:p w14:paraId="48B986E3" w14:textId="77777777" w:rsidR="00CE33CC" w:rsidRPr="003F00DA" w:rsidRDefault="00CE33CC" w:rsidP="00CE33CC">
      <w:pPr>
        <w:pStyle w:val="Default"/>
        <w:snapToGrid w:val="0"/>
        <w:jc w:val="center"/>
        <w:rPr>
          <w:rFonts w:asciiTheme="majorHAnsi" w:hAnsiTheme="majorHAnsi" w:cstheme="majorHAnsi"/>
          <w:b/>
          <w:bCs/>
        </w:rPr>
      </w:pPr>
      <w:r w:rsidRPr="003F00DA">
        <w:rPr>
          <w:rFonts w:asciiTheme="majorHAnsi" w:hAnsiTheme="majorHAnsi" w:cstheme="majorHAnsi"/>
          <w:b/>
          <w:bCs/>
        </w:rPr>
        <w:t>THIRD SESSION (JWGI03)</w:t>
      </w:r>
    </w:p>
    <w:p w14:paraId="10787D65" w14:textId="77777777" w:rsidR="00CE33CC" w:rsidRPr="003F00DA" w:rsidRDefault="00CE33CC" w:rsidP="00CE33CC">
      <w:pPr>
        <w:pStyle w:val="Default"/>
        <w:snapToGrid w:val="0"/>
        <w:spacing w:before="120"/>
        <w:jc w:val="center"/>
        <w:rPr>
          <w:rFonts w:asciiTheme="majorHAnsi" w:hAnsiTheme="majorHAnsi" w:cstheme="majorHAnsi"/>
        </w:rPr>
      </w:pPr>
      <w:r w:rsidRPr="003F00DA">
        <w:rPr>
          <w:rFonts w:asciiTheme="majorHAnsi" w:hAnsiTheme="majorHAnsi" w:cstheme="majorHAnsi"/>
        </w:rPr>
        <w:t>11 – 13 March 2026</w:t>
      </w:r>
    </w:p>
    <w:p w14:paraId="796F57BE" w14:textId="77777777" w:rsidR="00CE33CC" w:rsidRPr="003F00DA" w:rsidRDefault="00CE33CC" w:rsidP="00CE33CC">
      <w:pPr>
        <w:pStyle w:val="Default"/>
        <w:snapToGrid w:val="0"/>
        <w:jc w:val="center"/>
        <w:rPr>
          <w:rFonts w:asciiTheme="majorHAnsi" w:hAnsiTheme="majorHAnsi" w:cstheme="majorHAnsi"/>
        </w:rPr>
      </w:pPr>
      <w:r w:rsidRPr="003F00DA">
        <w:rPr>
          <w:rFonts w:asciiTheme="majorHAnsi" w:eastAsia="Times New Roman" w:hAnsiTheme="majorHAnsi" w:cstheme="majorHAnsi"/>
        </w:rPr>
        <w:t>Newport Beach, California (Hybrid)</w:t>
      </w:r>
    </w:p>
    <w:p w14:paraId="3F85FBE0" w14:textId="77777777" w:rsidR="00CE33CC" w:rsidRPr="003F00DA" w:rsidRDefault="00CE33CC" w:rsidP="00CE33CC">
      <w:pPr>
        <w:pBdr>
          <w:top w:val="single" w:sz="18" w:space="1" w:color="auto"/>
          <w:bottom w:val="single" w:sz="18" w:space="0" w:color="auto"/>
        </w:pBdr>
        <w:adjustRightInd w:val="0"/>
        <w:snapToGrid w:val="0"/>
        <w:jc w:val="center"/>
        <w:rPr>
          <w:rFonts w:asciiTheme="majorHAnsi" w:eastAsiaTheme="minorEastAsia" w:hAnsiTheme="majorHAnsi" w:cstheme="majorHAnsi"/>
          <w:b/>
          <w:sz w:val="24"/>
          <w:szCs w:val="24"/>
          <w:lang w:bidi="th-TH"/>
        </w:rPr>
      </w:pPr>
      <w:r w:rsidRPr="003F00DA">
        <w:rPr>
          <w:rFonts w:asciiTheme="majorHAnsi" w:hAnsiTheme="majorHAnsi" w:cstheme="majorHAnsi"/>
          <w:b/>
          <w:bCs/>
          <w:sz w:val="24"/>
          <w:szCs w:val="24"/>
        </w:rPr>
        <w:t xml:space="preserve">Newport Beach Management Procedure </w:t>
      </w:r>
    </w:p>
    <w:p w14:paraId="121C90ED" w14:textId="77777777" w:rsidR="00CE33CC" w:rsidRPr="003F00DA" w:rsidRDefault="00CE33CC" w:rsidP="00CE33CC">
      <w:pPr>
        <w:rPr>
          <w:rFonts w:asciiTheme="majorHAnsi" w:hAnsiTheme="majorHAnsi" w:cstheme="majorHAnsi"/>
          <w:b/>
          <w:bCs/>
          <w:sz w:val="24"/>
          <w:szCs w:val="24"/>
        </w:rPr>
      </w:pPr>
    </w:p>
    <w:p w14:paraId="6CF091B0" w14:textId="77777777" w:rsidR="00CE33CC" w:rsidRPr="003F00DA" w:rsidRDefault="00CE33CC" w:rsidP="00CE33CC">
      <w:pPr>
        <w:rPr>
          <w:rFonts w:asciiTheme="majorHAnsi" w:hAnsiTheme="majorHAnsi" w:cstheme="majorHAnsi"/>
          <w:sz w:val="24"/>
          <w:szCs w:val="24"/>
        </w:rPr>
      </w:pPr>
      <w:r w:rsidRPr="003F00DA">
        <w:rPr>
          <w:rFonts w:asciiTheme="majorHAnsi" w:hAnsiTheme="majorHAnsi" w:cstheme="majorHAnsi"/>
          <w:sz w:val="24"/>
          <w:szCs w:val="24"/>
        </w:rPr>
        <w:t xml:space="preserve">The JWG proposes to continue discussion on the long-term harvest strategy with these elements: </w:t>
      </w:r>
    </w:p>
    <w:tbl>
      <w:tblPr>
        <w:tblStyle w:val="TableGrid"/>
        <w:tblW w:w="5000" w:type="pct"/>
        <w:tblLook w:val="04A0" w:firstRow="1" w:lastRow="0" w:firstColumn="1" w:lastColumn="0" w:noHBand="0" w:noVBand="1"/>
      </w:tblPr>
      <w:tblGrid>
        <w:gridCol w:w="1557"/>
        <w:gridCol w:w="1557"/>
        <w:gridCol w:w="1560"/>
        <w:gridCol w:w="1558"/>
        <w:gridCol w:w="1558"/>
        <w:gridCol w:w="1560"/>
      </w:tblGrid>
      <w:tr w:rsidR="00CE33CC" w:rsidRPr="003F00DA" w14:paraId="2099508F" w14:textId="77777777" w:rsidTr="00E459EB">
        <w:tc>
          <w:tcPr>
            <w:tcW w:w="833" w:type="pct"/>
            <w:shd w:val="clear" w:color="auto" w:fill="F2F2F2" w:themeFill="background1" w:themeFillShade="F2"/>
            <w:vAlign w:val="center"/>
          </w:tcPr>
          <w:p w14:paraId="6411F29D" w14:textId="77777777" w:rsidR="00CE33CC" w:rsidRPr="003F00DA" w:rsidRDefault="00CE33CC" w:rsidP="00E459EB">
            <w:pPr>
              <w:jc w:val="center"/>
              <w:rPr>
                <w:rFonts w:asciiTheme="majorHAnsi" w:hAnsiTheme="majorHAnsi" w:cstheme="majorHAnsi"/>
                <w:b/>
                <w:bCs/>
                <w:sz w:val="24"/>
                <w:szCs w:val="24"/>
              </w:rPr>
            </w:pPr>
            <w:r w:rsidRPr="003F00DA">
              <w:rPr>
                <w:rFonts w:asciiTheme="majorHAnsi" w:hAnsiTheme="majorHAnsi" w:cstheme="majorHAnsi"/>
                <w:b/>
                <w:bCs/>
                <w:sz w:val="24"/>
                <w:szCs w:val="24"/>
              </w:rPr>
              <w:t>F-target</w:t>
            </w:r>
          </w:p>
        </w:tc>
        <w:tc>
          <w:tcPr>
            <w:tcW w:w="833" w:type="pct"/>
            <w:shd w:val="clear" w:color="auto" w:fill="F2F2F2" w:themeFill="background1" w:themeFillShade="F2"/>
            <w:vAlign w:val="center"/>
          </w:tcPr>
          <w:p w14:paraId="1F955D9C" w14:textId="77777777" w:rsidR="00CE33CC" w:rsidRPr="003F00DA" w:rsidRDefault="00CE33CC" w:rsidP="00E459EB">
            <w:pPr>
              <w:jc w:val="center"/>
              <w:rPr>
                <w:rFonts w:asciiTheme="majorHAnsi" w:hAnsiTheme="majorHAnsi" w:cstheme="majorHAnsi"/>
                <w:b/>
                <w:bCs/>
                <w:sz w:val="24"/>
                <w:szCs w:val="24"/>
              </w:rPr>
            </w:pPr>
            <w:r w:rsidRPr="003F00DA">
              <w:rPr>
                <w:rFonts w:asciiTheme="majorHAnsi" w:hAnsiTheme="majorHAnsi" w:cstheme="majorHAnsi"/>
                <w:b/>
                <w:bCs/>
                <w:sz w:val="24"/>
                <w:szCs w:val="24"/>
              </w:rPr>
              <w:t>Control</w:t>
            </w:r>
          </w:p>
          <w:p w14:paraId="4034E4B7" w14:textId="77777777" w:rsidR="00CE33CC" w:rsidRPr="003F00DA" w:rsidRDefault="00CE33CC" w:rsidP="00E459EB">
            <w:pPr>
              <w:jc w:val="center"/>
              <w:rPr>
                <w:rFonts w:asciiTheme="majorHAnsi" w:hAnsiTheme="majorHAnsi" w:cstheme="majorHAnsi"/>
                <w:b/>
                <w:bCs/>
                <w:sz w:val="24"/>
                <w:szCs w:val="24"/>
              </w:rPr>
            </w:pPr>
            <w:r w:rsidRPr="003F00DA">
              <w:rPr>
                <w:rFonts w:asciiTheme="majorHAnsi" w:hAnsiTheme="majorHAnsi" w:cstheme="majorHAnsi"/>
                <w:b/>
                <w:bCs/>
                <w:sz w:val="24"/>
                <w:szCs w:val="24"/>
              </w:rPr>
              <w:t xml:space="preserve"> Point 1 (ThRP)</w:t>
            </w:r>
          </w:p>
        </w:tc>
        <w:tc>
          <w:tcPr>
            <w:tcW w:w="834" w:type="pct"/>
            <w:shd w:val="clear" w:color="auto" w:fill="F2F2F2" w:themeFill="background1" w:themeFillShade="F2"/>
            <w:vAlign w:val="center"/>
          </w:tcPr>
          <w:p w14:paraId="48371F6A" w14:textId="77777777" w:rsidR="00CE33CC" w:rsidRPr="003F00DA" w:rsidRDefault="00CE33CC" w:rsidP="00E459EB">
            <w:pPr>
              <w:jc w:val="center"/>
              <w:rPr>
                <w:rFonts w:asciiTheme="majorHAnsi" w:hAnsiTheme="majorHAnsi" w:cstheme="majorHAnsi"/>
                <w:b/>
                <w:bCs/>
                <w:sz w:val="24"/>
                <w:szCs w:val="24"/>
              </w:rPr>
            </w:pPr>
            <w:r w:rsidRPr="003F00DA">
              <w:rPr>
                <w:rFonts w:asciiTheme="majorHAnsi" w:hAnsiTheme="majorHAnsi" w:cstheme="majorHAnsi"/>
                <w:b/>
                <w:bCs/>
                <w:sz w:val="24"/>
                <w:szCs w:val="24"/>
              </w:rPr>
              <w:t xml:space="preserve">Control </w:t>
            </w:r>
          </w:p>
          <w:p w14:paraId="05BD04AC" w14:textId="77777777" w:rsidR="00CE33CC" w:rsidRPr="003F00DA" w:rsidRDefault="00CE33CC" w:rsidP="00E459EB">
            <w:pPr>
              <w:jc w:val="center"/>
              <w:rPr>
                <w:rFonts w:asciiTheme="majorHAnsi" w:hAnsiTheme="majorHAnsi" w:cstheme="majorHAnsi"/>
                <w:b/>
                <w:bCs/>
                <w:sz w:val="24"/>
                <w:szCs w:val="24"/>
              </w:rPr>
            </w:pPr>
            <w:r w:rsidRPr="003F00DA">
              <w:rPr>
                <w:rFonts w:asciiTheme="majorHAnsi" w:hAnsiTheme="majorHAnsi" w:cstheme="majorHAnsi"/>
                <w:b/>
                <w:bCs/>
                <w:sz w:val="24"/>
                <w:szCs w:val="24"/>
              </w:rPr>
              <w:t>Point 2</w:t>
            </w:r>
          </w:p>
        </w:tc>
        <w:tc>
          <w:tcPr>
            <w:tcW w:w="833" w:type="pct"/>
            <w:shd w:val="clear" w:color="auto" w:fill="F2F2F2" w:themeFill="background1" w:themeFillShade="F2"/>
            <w:vAlign w:val="center"/>
          </w:tcPr>
          <w:p w14:paraId="3F68E1D2" w14:textId="77777777" w:rsidR="00CE33CC" w:rsidRPr="003F00DA" w:rsidRDefault="00CE33CC" w:rsidP="00E459EB">
            <w:pPr>
              <w:jc w:val="center"/>
              <w:rPr>
                <w:rFonts w:asciiTheme="majorHAnsi" w:hAnsiTheme="majorHAnsi" w:cstheme="majorHAnsi"/>
                <w:b/>
                <w:bCs/>
                <w:sz w:val="24"/>
                <w:szCs w:val="24"/>
              </w:rPr>
            </w:pPr>
            <w:r w:rsidRPr="003F00DA">
              <w:rPr>
                <w:rFonts w:asciiTheme="majorHAnsi" w:hAnsiTheme="majorHAnsi" w:cstheme="majorHAnsi"/>
                <w:b/>
                <w:bCs/>
                <w:sz w:val="24"/>
                <w:szCs w:val="24"/>
              </w:rPr>
              <w:t>No. of Control Points</w:t>
            </w:r>
          </w:p>
        </w:tc>
        <w:tc>
          <w:tcPr>
            <w:tcW w:w="833" w:type="pct"/>
            <w:shd w:val="clear" w:color="auto" w:fill="F2F2F2" w:themeFill="background1" w:themeFillShade="F2"/>
            <w:vAlign w:val="center"/>
          </w:tcPr>
          <w:p w14:paraId="35AC1CFE" w14:textId="77777777" w:rsidR="00CE33CC" w:rsidRPr="003F00DA" w:rsidRDefault="00CE33CC" w:rsidP="00E459EB">
            <w:pPr>
              <w:jc w:val="center"/>
              <w:rPr>
                <w:rFonts w:asciiTheme="majorHAnsi" w:hAnsiTheme="majorHAnsi" w:cstheme="majorHAnsi"/>
                <w:b/>
                <w:bCs/>
                <w:sz w:val="24"/>
                <w:szCs w:val="24"/>
              </w:rPr>
            </w:pPr>
            <w:r w:rsidRPr="003F00DA">
              <w:rPr>
                <w:rFonts w:asciiTheme="majorHAnsi" w:hAnsiTheme="majorHAnsi" w:cstheme="majorHAnsi"/>
                <w:b/>
                <w:bCs/>
                <w:sz w:val="24"/>
                <w:szCs w:val="24"/>
              </w:rPr>
              <w:t>Fmin</w:t>
            </w:r>
          </w:p>
        </w:tc>
        <w:tc>
          <w:tcPr>
            <w:tcW w:w="834" w:type="pct"/>
            <w:shd w:val="clear" w:color="auto" w:fill="F2F2F2" w:themeFill="background1" w:themeFillShade="F2"/>
            <w:vAlign w:val="center"/>
          </w:tcPr>
          <w:p w14:paraId="26E0FEBD" w14:textId="77777777" w:rsidR="00CE33CC" w:rsidRPr="003F00DA" w:rsidRDefault="00CE33CC" w:rsidP="00E459EB">
            <w:pPr>
              <w:jc w:val="center"/>
              <w:rPr>
                <w:rFonts w:asciiTheme="majorHAnsi" w:hAnsiTheme="majorHAnsi" w:cstheme="majorHAnsi"/>
                <w:b/>
                <w:bCs/>
                <w:sz w:val="24"/>
                <w:szCs w:val="24"/>
              </w:rPr>
            </w:pPr>
            <w:r w:rsidRPr="003F00DA">
              <w:rPr>
                <w:rFonts w:asciiTheme="majorHAnsi" w:hAnsiTheme="majorHAnsi" w:cstheme="majorHAnsi"/>
                <w:b/>
                <w:bCs/>
                <w:sz w:val="24"/>
                <w:szCs w:val="24"/>
              </w:rPr>
              <w:t>Review</w:t>
            </w:r>
          </w:p>
        </w:tc>
      </w:tr>
      <w:tr w:rsidR="00CE33CC" w:rsidRPr="003F00DA" w14:paraId="0DCC32A2" w14:textId="77777777" w:rsidTr="00E459EB">
        <w:tc>
          <w:tcPr>
            <w:tcW w:w="833" w:type="pct"/>
            <w:vAlign w:val="center"/>
          </w:tcPr>
          <w:p w14:paraId="34B444C2" w14:textId="77777777" w:rsidR="00CE33CC" w:rsidRPr="003F00DA" w:rsidRDefault="00CE33CC" w:rsidP="00E459EB">
            <w:pPr>
              <w:jc w:val="center"/>
              <w:rPr>
                <w:rFonts w:asciiTheme="majorHAnsi" w:hAnsiTheme="majorHAnsi" w:cstheme="majorHAnsi"/>
                <w:sz w:val="24"/>
                <w:szCs w:val="24"/>
              </w:rPr>
            </w:pPr>
            <w:r w:rsidRPr="003F00DA">
              <w:rPr>
                <w:rFonts w:asciiTheme="majorHAnsi" w:hAnsiTheme="majorHAnsi" w:cstheme="majorHAnsi"/>
                <w:sz w:val="24"/>
                <w:szCs w:val="24"/>
              </w:rPr>
              <w:t>FSPR 27.5%</w:t>
            </w:r>
          </w:p>
        </w:tc>
        <w:tc>
          <w:tcPr>
            <w:tcW w:w="833" w:type="pct"/>
            <w:vAlign w:val="center"/>
          </w:tcPr>
          <w:p w14:paraId="02BE92E8" w14:textId="77777777" w:rsidR="00CE33CC" w:rsidRPr="003F00DA" w:rsidRDefault="00CE33CC" w:rsidP="00E459EB">
            <w:pPr>
              <w:jc w:val="center"/>
              <w:rPr>
                <w:rFonts w:asciiTheme="majorHAnsi" w:hAnsiTheme="majorHAnsi" w:cstheme="majorHAnsi"/>
                <w:sz w:val="24"/>
                <w:szCs w:val="24"/>
              </w:rPr>
            </w:pPr>
            <w:r w:rsidRPr="003F00DA">
              <w:rPr>
                <w:rFonts w:asciiTheme="majorHAnsi" w:hAnsiTheme="majorHAnsi" w:cstheme="majorHAnsi"/>
                <w:sz w:val="24"/>
                <w:szCs w:val="24"/>
              </w:rPr>
              <w:t>20% SSB</w:t>
            </w:r>
            <w:r w:rsidRPr="003F00DA">
              <w:rPr>
                <w:rFonts w:asciiTheme="majorHAnsi" w:hAnsiTheme="majorHAnsi" w:cstheme="majorHAnsi"/>
                <w:sz w:val="24"/>
                <w:szCs w:val="24"/>
                <w:vertAlign w:val="subscript"/>
              </w:rPr>
              <w:t>F=0</w:t>
            </w:r>
          </w:p>
        </w:tc>
        <w:tc>
          <w:tcPr>
            <w:tcW w:w="834" w:type="pct"/>
            <w:vAlign w:val="center"/>
          </w:tcPr>
          <w:p w14:paraId="64168C3F" w14:textId="77777777" w:rsidR="00CE33CC" w:rsidRPr="003F00DA" w:rsidRDefault="00CE33CC" w:rsidP="00E459EB">
            <w:pPr>
              <w:jc w:val="center"/>
              <w:rPr>
                <w:rFonts w:asciiTheme="majorHAnsi" w:hAnsiTheme="majorHAnsi" w:cstheme="majorHAnsi"/>
                <w:sz w:val="24"/>
                <w:szCs w:val="24"/>
              </w:rPr>
            </w:pPr>
            <w:r w:rsidRPr="003F00DA">
              <w:rPr>
                <w:rFonts w:asciiTheme="majorHAnsi" w:hAnsiTheme="majorHAnsi" w:cstheme="majorHAnsi"/>
                <w:sz w:val="24"/>
                <w:szCs w:val="24"/>
              </w:rPr>
              <w:t>7.7% SSB</w:t>
            </w:r>
            <w:r w:rsidRPr="003F00DA">
              <w:rPr>
                <w:rFonts w:asciiTheme="majorHAnsi" w:hAnsiTheme="majorHAnsi" w:cstheme="majorHAnsi"/>
                <w:sz w:val="24"/>
                <w:szCs w:val="24"/>
                <w:vertAlign w:val="subscript"/>
              </w:rPr>
              <w:t>F=0</w:t>
            </w:r>
          </w:p>
          <w:p w14:paraId="500F2F0B" w14:textId="77777777" w:rsidR="00CE33CC" w:rsidRPr="003F00DA" w:rsidRDefault="00CE33CC" w:rsidP="00E459EB">
            <w:pPr>
              <w:jc w:val="center"/>
              <w:rPr>
                <w:rFonts w:asciiTheme="majorHAnsi" w:hAnsiTheme="majorHAnsi" w:cstheme="majorHAnsi"/>
                <w:sz w:val="24"/>
                <w:szCs w:val="24"/>
              </w:rPr>
            </w:pPr>
          </w:p>
        </w:tc>
        <w:tc>
          <w:tcPr>
            <w:tcW w:w="833" w:type="pct"/>
            <w:vAlign w:val="center"/>
          </w:tcPr>
          <w:p w14:paraId="718CA7E3" w14:textId="77777777" w:rsidR="00CE33CC" w:rsidRPr="003F00DA" w:rsidRDefault="00CE33CC" w:rsidP="00E459EB">
            <w:pPr>
              <w:jc w:val="center"/>
              <w:rPr>
                <w:rFonts w:asciiTheme="majorHAnsi" w:hAnsiTheme="majorHAnsi" w:cstheme="majorHAnsi"/>
                <w:sz w:val="24"/>
                <w:szCs w:val="24"/>
              </w:rPr>
            </w:pPr>
            <w:r w:rsidRPr="003F00DA">
              <w:rPr>
                <w:rFonts w:asciiTheme="majorHAnsi" w:hAnsiTheme="majorHAnsi" w:cstheme="majorHAnsi"/>
                <w:sz w:val="24"/>
                <w:szCs w:val="24"/>
              </w:rPr>
              <w:t>2</w:t>
            </w:r>
          </w:p>
        </w:tc>
        <w:tc>
          <w:tcPr>
            <w:tcW w:w="833" w:type="pct"/>
            <w:vAlign w:val="center"/>
          </w:tcPr>
          <w:p w14:paraId="3C11A913" w14:textId="77777777" w:rsidR="00CE33CC" w:rsidRPr="003F00DA" w:rsidRDefault="00CE33CC" w:rsidP="00E459EB">
            <w:pPr>
              <w:jc w:val="center"/>
              <w:rPr>
                <w:rFonts w:asciiTheme="majorHAnsi" w:hAnsiTheme="majorHAnsi" w:cstheme="majorHAnsi"/>
                <w:sz w:val="24"/>
                <w:szCs w:val="24"/>
              </w:rPr>
            </w:pPr>
            <w:r w:rsidRPr="003F00DA">
              <w:rPr>
                <w:rFonts w:asciiTheme="majorHAnsi" w:hAnsiTheme="majorHAnsi" w:cstheme="majorHAnsi"/>
                <w:sz w:val="24"/>
                <w:szCs w:val="24"/>
              </w:rPr>
              <w:t>SPR70%</w:t>
            </w:r>
          </w:p>
        </w:tc>
        <w:tc>
          <w:tcPr>
            <w:tcW w:w="834" w:type="pct"/>
            <w:vAlign w:val="center"/>
          </w:tcPr>
          <w:p w14:paraId="0C901041" w14:textId="77777777" w:rsidR="00CE33CC" w:rsidRPr="003F00DA" w:rsidRDefault="00CE33CC" w:rsidP="00E459EB">
            <w:pPr>
              <w:jc w:val="center"/>
              <w:rPr>
                <w:rFonts w:asciiTheme="majorHAnsi" w:hAnsiTheme="majorHAnsi" w:cstheme="majorHAnsi"/>
                <w:sz w:val="24"/>
                <w:szCs w:val="24"/>
              </w:rPr>
            </w:pPr>
            <w:r w:rsidRPr="003F00DA">
              <w:rPr>
                <w:rFonts w:asciiTheme="majorHAnsi" w:hAnsiTheme="majorHAnsi" w:cstheme="majorHAnsi"/>
                <w:sz w:val="24"/>
                <w:szCs w:val="24"/>
              </w:rPr>
              <w:t>MP will be reviewed after 6 years (3 x 2-year cycles)</w:t>
            </w:r>
          </w:p>
        </w:tc>
      </w:tr>
    </w:tbl>
    <w:p w14:paraId="6DBF19FC" w14:textId="77777777" w:rsidR="00CE33CC" w:rsidRPr="003F00DA" w:rsidRDefault="00CE33CC" w:rsidP="00CE33CC">
      <w:pPr>
        <w:pStyle w:val="ListParagraph"/>
        <w:numPr>
          <w:ilvl w:val="0"/>
          <w:numId w:val="0"/>
        </w:numPr>
        <w:ind w:left="720"/>
        <w:rPr>
          <w:rFonts w:asciiTheme="majorHAnsi" w:hAnsiTheme="majorHAnsi" w:cstheme="majorHAnsi"/>
          <w:sz w:val="24"/>
        </w:rPr>
      </w:pPr>
    </w:p>
    <w:p w14:paraId="5754CE09" w14:textId="4FEAB496" w:rsidR="00CE33CC" w:rsidRPr="003F00DA" w:rsidRDefault="00CE33CC" w:rsidP="00CE33CC">
      <w:pPr>
        <w:pStyle w:val="ListParagraph"/>
        <w:numPr>
          <w:ilvl w:val="0"/>
          <w:numId w:val="4"/>
        </w:numPr>
        <w:spacing w:after="160" w:line="278" w:lineRule="auto"/>
        <w:contextualSpacing/>
        <w:jc w:val="left"/>
        <w:rPr>
          <w:rFonts w:asciiTheme="majorHAnsi" w:hAnsiTheme="majorHAnsi" w:cstheme="majorHAnsi"/>
          <w:sz w:val="24"/>
        </w:rPr>
      </w:pPr>
      <w:r w:rsidRPr="003F00DA">
        <w:rPr>
          <w:rFonts w:asciiTheme="majorHAnsi" w:hAnsiTheme="majorHAnsi" w:cstheme="majorHAnsi"/>
          <w:sz w:val="24"/>
        </w:rPr>
        <w:t>Other issues to be considered at JWG-11:</w:t>
      </w:r>
    </w:p>
    <w:p w14:paraId="6B7101EA" w14:textId="77777777" w:rsidR="00CE33CC" w:rsidRPr="003F00DA" w:rsidRDefault="00CE33CC" w:rsidP="00CE33CC">
      <w:pPr>
        <w:pStyle w:val="ListParagraph"/>
        <w:numPr>
          <w:ilvl w:val="1"/>
          <w:numId w:val="4"/>
        </w:numPr>
        <w:spacing w:after="160" w:line="278" w:lineRule="auto"/>
        <w:contextualSpacing/>
        <w:jc w:val="left"/>
        <w:rPr>
          <w:rFonts w:asciiTheme="majorHAnsi" w:hAnsiTheme="majorHAnsi" w:cstheme="majorHAnsi"/>
          <w:sz w:val="24"/>
        </w:rPr>
      </w:pPr>
      <w:r w:rsidRPr="003F00DA">
        <w:rPr>
          <w:rFonts w:asciiTheme="majorHAnsi" w:hAnsiTheme="majorHAnsi" w:cstheme="majorHAnsi"/>
          <w:sz w:val="24"/>
        </w:rPr>
        <w:t>West – East fishery impact</w:t>
      </w:r>
    </w:p>
    <w:p w14:paraId="69635542" w14:textId="77777777" w:rsidR="00CE33CC" w:rsidRPr="003F00DA" w:rsidRDefault="00CE33CC" w:rsidP="00CE33CC">
      <w:pPr>
        <w:pStyle w:val="ListParagraph"/>
        <w:numPr>
          <w:ilvl w:val="1"/>
          <w:numId w:val="4"/>
        </w:numPr>
        <w:spacing w:after="160" w:line="278" w:lineRule="auto"/>
        <w:contextualSpacing/>
        <w:jc w:val="left"/>
        <w:rPr>
          <w:rFonts w:asciiTheme="majorHAnsi" w:hAnsiTheme="majorHAnsi" w:cstheme="majorHAnsi"/>
          <w:sz w:val="24"/>
        </w:rPr>
      </w:pPr>
      <w:r w:rsidRPr="003F00DA">
        <w:rPr>
          <w:rFonts w:asciiTheme="majorHAnsi" w:hAnsiTheme="majorHAnsi" w:cstheme="majorHAnsi"/>
          <w:sz w:val="24"/>
        </w:rPr>
        <w:t>Small fish / age-0 control measures</w:t>
      </w:r>
    </w:p>
    <w:p w14:paraId="22CAAA82" w14:textId="77777777" w:rsidR="00CE33CC" w:rsidRPr="003F00DA" w:rsidRDefault="00CE33CC" w:rsidP="00CE33CC">
      <w:pPr>
        <w:pStyle w:val="ListParagraph"/>
        <w:numPr>
          <w:ilvl w:val="1"/>
          <w:numId w:val="4"/>
        </w:numPr>
        <w:spacing w:after="160" w:line="278" w:lineRule="auto"/>
        <w:contextualSpacing/>
        <w:jc w:val="left"/>
        <w:rPr>
          <w:rFonts w:asciiTheme="majorHAnsi" w:hAnsiTheme="majorHAnsi" w:cstheme="majorHAnsi"/>
          <w:sz w:val="24"/>
        </w:rPr>
      </w:pPr>
      <w:r w:rsidRPr="003F00DA">
        <w:rPr>
          <w:rFonts w:asciiTheme="majorHAnsi" w:hAnsiTheme="majorHAnsi" w:cstheme="majorHAnsi"/>
          <w:sz w:val="24"/>
        </w:rPr>
        <w:t>Recruitment drop/ exceptional circumstances</w:t>
      </w:r>
    </w:p>
    <w:p w14:paraId="53FBF56C" w14:textId="77777777" w:rsidR="00CE33CC" w:rsidRPr="003F00DA" w:rsidRDefault="00CE33CC" w:rsidP="00CE33CC">
      <w:pPr>
        <w:pStyle w:val="ListParagraph"/>
        <w:numPr>
          <w:ilvl w:val="1"/>
          <w:numId w:val="4"/>
        </w:numPr>
        <w:spacing w:after="160" w:line="278" w:lineRule="auto"/>
        <w:contextualSpacing/>
        <w:jc w:val="left"/>
        <w:rPr>
          <w:rFonts w:asciiTheme="majorHAnsi" w:hAnsiTheme="majorHAnsi" w:cstheme="majorHAnsi"/>
          <w:sz w:val="24"/>
        </w:rPr>
      </w:pPr>
      <w:r w:rsidRPr="003F00DA">
        <w:rPr>
          <w:rFonts w:asciiTheme="majorHAnsi" w:hAnsiTheme="majorHAnsi" w:cstheme="majorHAnsi"/>
          <w:sz w:val="24"/>
        </w:rPr>
        <w:t>Conversion factor</w:t>
      </w:r>
    </w:p>
    <w:p w14:paraId="040312EB" w14:textId="77777777" w:rsidR="00CE33CC" w:rsidRPr="003F00DA" w:rsidRDefault="00CE33CC" w:rsidP="00CE33CC">
      <w:pPr>
        <w:pStyle w:val="ListParagraph"/>
        <w:numPr>
          <w:ilvl w:val="1"/>
          <w:numId w:val="4"/>
        </w:numPr>
        <w:spacing w:after="160" w:line="278" w:lineRule="auto"/>
        <w:contextualSpacing/>
        <w:jc w:val="left"/>
        <w:rPr>
          <w:rFonts w:asciiTheme="majorHAnsi" w:hAnsiTheme="majorHAnsi" w:cstheme="majorHAnsi"/>
          <w:sz w:val="24"/>
        </w:rPr>
      </w:pPr>
      <w:r w:rsidRPr="003F00DA">
        <w:rPr>
          <w:rFonts w:asciiTheme="majorHAnsi" w:hAnsiTheme="majorHAnsi" w:cstheme="majorHAnsi"/>
          <w:sz w:val="24"/>
        </w:rPr>
        <w:t>Additional LRP considerations</w:t>
      </w:r>
    </w:p>
    <w:p w14:paraId="04F97D51" w14:textId="77777777" w:rsidR="00CE33CC" w:rsidRPr="003F00DA" w:rsidRDefault="00CE33CC" w:rsidP="00CE33CC">
      <w:pPr>
        <w:pStyle w:val="ListParagraph"/>
        <w:numPr>
          <w:ilvl w:val="1"/>
          <w:numId w:val="4"/>
        </w:numPr>
        <w:spacing w:after="160" w:line="278" w:lineRule="auto"/>
        <w:contextualSpacing/>
        <w:jc w:val="left"/>
        <w:rPr>
          <w:rFonts w:asciiTheme="majorHAnsi" w:hAnsiTheme="majorHAnsi" w:cstheme="majorHAnsi"/>
          <w:sz w:val="24"/>
        </w:rPr>
      </w:pPr>
      <w:r w:rsidRPr="003F00DA">
        <w:rPr>
          <w:rFonts w:asciiTheme="majorHAnsi" w:hAnsiTheme="majorHAnsi" w:cstheme="majorHAnsi"/>
          <w:sz w:val="24"/>
        </w:rPr>
        <w:t>Implementation measures</w:t>
      </w:r>
    </w:p>
    <w:p w14:paraId="72494BE3" w14:textId="77777777" w:rsidR="00CE33CC" w:rsidRPr="003F00DA" w:rsidRDefault="00CE33CC" w:rsidP="00CE33CC">
      <w:pPr>
        <w:pStyle w:val="ListParagraph"/>
        <w:numPr>
          <w:ilvl w:val="0"/>
          <w:numId w:val="0"/>
        </w:numPr>
        <w:ind w:left="720"/>
        <w:rPr>
          <w:rFonts w:asciiTheme="majorHAnsi" w:hAnsiTheme="majorHAnsi" w:cstheme="majorHAnsi"/>
          <w:sz w:val="24"/>
        </w:rPr>
      </w:pPr>
    </w:p>
    <w:p w14:paraId="00F13DE7" w14:textId="77777777" w:rsidR="00CE33CC" w:rsidRPr="003F00DA" w:rsidRDefault="00CE33CC" w:rsidP="00CE33CC">
      <w:pPr>
        <w:pStyle w:val="ListParagraph"/>
        <w:numPr>
          <w:ilvl w:val="0"/>
          <w:numId w:val="4"/>
        </w:numPr>
        <w:spacing w:after="160" w:line="278" w:lineRule="auto"/>
        <w:contextualSpacing/>
        <w:jc w:val="left"/>
        <w:rPr>
          <w:rFonts w:asciiTheme="majorHAnsi" w:hAnsiTheme="majorHAnsi" w:cstheme="majorHAnsi"/>
          <w:sz w:val="24"/>
        </w:rPr>
      </w:pPr>
      <w:r w:rsidRPr="003F00DA">
        <w:rPr>
          <w:rFonts w:asciiTheme="majorHAnsi" w:hAnsiTheme="majorHAnsi" w:cstheme="majorHAnsi"/>
          <w:sz w:val="24"/>
        </w:rPr>
        <w:t>The JWG requests that ISC provide an updated TAC calculation based on proposed harvest strategy elements in advance of JWG-11 (July 2026).</w:t>
      </w:r>
    </w:p>
    <w:p w14:paraId="41E072E7" w14:textId="77777777" w:rsidR="00CE33CC" w:rsidRPr="003F00DA" w:rsidRDefault="00CE33CC" w:rsidP="00CE33CC">
      <w:pPr>
        <w:rPr>
          <w:rFonts w:asciiTheme="majorHAnsi" w:hAnsiTheme="majorHAnsi" w:cstheme="majorHAnsi"/>
          <w:sz w:val="24"/>
          <w:szCs w:val="24"/>
        </w:rPr>
      </w:pPr>
    </w:p>
    <w:p w14:paraId="47F2441E" w14:textId="77777777" w:rsidR="00626B79" w:rsidRPr="003F00DA" w:rsidRDefault="00626B79" w:rsidP="006E278F">
      <w:pPr>
        <w:spacing w:after="200"/>
        <w:jc w:val="both"/>
        <w:rPr>
          <w:rFonts w:asciiTheme="majorHAnsi" w:eastAsia="Times New Roman" w:hAnsiTheme="majorHAnsi" w:cstheme="majorHAnsi"/>
          <w:b/>
          <w:bCs/>
          <w:sz w:val="24"/>
          <w:szCs w:val="24"/>
        </w:rPr>
      </w:pPr>
    </w:p>
    <w:sectPr w:rsidR="00626B79" w:rsidRPr="003F00DA" w:rsidSect="008D7B14">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48F64" w14:textId="77777777" w:rsidR="00A95CC8" w:rsidRDefault="00A95CC8" w:rsidP="0095343A">
      <w:pPr>
        <w:spacing w:line="240" w:lineRule="auto"/>
      </w:pPr>
      <w:r>
        <w:separator/>
      </w:r>
    </w:p>
  </w:endnote>
  <w:endnote w:type="continuationSeparator" w:id="0">
    <w:p w14:paraId="7CA37600" w14:textId="77777777" w:rsidR="00A95CC8" w:rsidRDefault="00A95CC8" w:rsidP="009534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75CCFC6-3D5D-4EFA-808D-B012DBC2D9F3}"/>
    <w:embedBold r:id="rId2" w:fontKey="{30B8CCDD-FBA6-415E-9CCF-E34CE3D4E257}"/>
  </w:font>
  <w:font w:name="PMingLiU">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3" w:fontKey="{0F3C6DF9-51C7-4DFC-BFC4-063CB36197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20691"/>
      <w:docPartObj>
        <w:docPartGallery w:val="Page Numbers (Bottom of Page)"/>
        <w:docPartUnique/>
      </w:docPartObj>
    </w:sdtPr>
    <w:sdtEndPr>
      <w:rPr>
        <w:noProof/>
      </w:rPr>
    </w:sdtEndPr>
    <w:sdtContent>
      <w:p w14:paraId="0DED80CB" w14:textId="07AC9A86" w:rsidR="008D7B14" w:rsidRDefault="008D7B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CCB89A" w14:textId="77777777" w:rsidR="008D7B14" w:rsidRDefault="008D7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D013C" w14:textId="77777777" w:rsidR="00A95CC8" w:rsidRDefault="00A95CC8" w:rsidP="0095343A">
      <w:pPr>
        <w:spacing w:line="240" w:lineRule="auto"/>
      </w:pPr>
      <w:r>
        <w:separator/>
      </w:r>
    </w:p>
  </w:footnote>
  <w:footnote w:type="continuationSeparator" w:id="0">
    <w:p w14:paraId="2BD9FE90" w14:textId="77777777" w:rsidR="00A95CC8" w:rsidRDefault="00A95CC8" w:rsidP="0095343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B28E4"/>
    <w:multiLevelType w:val="multilevel"/>
    <w:tmpl w:val="4420CFBE"/>
    <w:lvl w:ilvl="0">
      <w:start w:val="1"/>
      <w:numFmt w:val="decimal"/>
      <w:lvlText w:val="%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1" w15:restartNumberingAfterBreak="0">
    <w:nsid w:val="4C895C0A"/>
    <w:multiLevelType w:val="hybridMultilevel"/>
    <w:tmpl w:val="40660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EA22DB"/>
    <w:multiLevelType w:val="hybridMultilevel"/>
    <w:tmpl w:val="CC62437A"/>
    <w:lvl w:ilvl="0" w:tplc="6EC035E6">
      <w:start w:val="1"/>
      <w:numFmt w:val="decimal"/>
      <w:pStyle w:val="ListParagraph"/>
      <w:lvlText w:val="%1."/>
      <w:lvlJc w:val="left"/>
      <w:pPr>
        <w:ind w:left="720" w:hanging="360"/>
      </w:pPr>
      <w:rPr>
        <w:rFonts w:hint="default"/>
        <w:b w:val="0"/>
        <w:i w:val="0"/>
      </w:rPr>
    </w:lvl>
    <w:lvl w:ilvl="1" w:tplc="43D6E81A">
      <w:start w:val="1"/>
      <w:numFmt w:val="decimal"/>
      <w:lvlText w:val="%2)"/>
      <w:lvlJc w:val="left"/>
      <w:pPr>
        <w:ind w:left="1800" w:hanging="720"/>
      </w:pPr>
      <w:rPr>
        <w:rFonts w:hint="default"/>
      </w:rPr>
    </w:lvl>
    <w:lvl w:ilvl="2" w:tplc="4E266F1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BA7D9F"/>
    <w:multiLevelType w:val="hybridMultilevel"/>
    <w:tmpl w:val="A80A2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2E12B0"/>
    <w:multiLevelType w:val="multilevel"/>
    <w:tmpl w:val="2EFAB8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59145516">
    <w:abstractNumId w:val="4"/>
  </w:num>
  <w:num w:numId="2" w16cid:durableId="1105274763">
    <w:abstractNumId w:val="2"/>
  </w:num>
  <w:num w:numId="3" w16cid:durableId="1170027749">
    <w:abstractNumId w:val="0"/>
  </w:num>
  <w:num w:numId="4" w16cid:durableId="1519126629">
    <w:abstractNumId w:val="1"/>
  </w:num>
  <w:num w:numId="5" w16cid:durableId="1897274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LcwNjQyMjA0trCwMDJR0lEKTi0uzszPAykwqgUABEEZMCwAAAA="/>
  </w:docVars>
  <w:rsids>
    <w:rsidRoot w:val="00626B79"/>
    <w:rsid w:val="00064FB7"/>
    <w:rsid w:val="000A0F32"/>
    <w:rsid w:val="000A5763"/>
    <w:rsid w:val="000C3962"/>
    <w:rsid w:val="00177995"/>
    <w:rsid w:val="002923F7"/>
    <w:rsid w:val="00303615"/>
    <w:rsid w:val="003A0491"/>
    <w:rsid w:val="003F00DA"/>
    <w:rsid w:val="003F395D"/>
    <w:rsid w:val="00443035"/>
    <w:rsid w:val="006227A5"/>
    <w:rsid w:val="00626B79"/>
    <w:rsid w:val="006E278F"/>
    <w:rsid w:val="00753128"/>
    <w:rsid w:val="007E41E1"/>
    <w:rsid w:val="00804BCA"/>
    <w:rsid w:val="008D1011"/>
    <w:rsid w:val="008D7B14"/>
    <w:rsid w:val="008F10E2"/>
    <w:rsid w:val="00950443"/>
    <w:rsid w:val="0095343A"/>
    <w:rsid w:val="00A95CC8"/>
    <w:rsid w:val="00AA3D7E"/>
    <w:rsid w:val="00AF789B"/>
    <w:rsid w:val="00C30477"/>
    <w:rsid w:val="00C424A2"/>
    <w:rsid w:val="00C70404"/>
    <w:rsid w:val="00CE33CC"/>
    <w:rsid w:val="00E114F3"/>
    <w:rsid w:val="00E27279"/>
    <w:rsid w:val="00EE1ECD"/>
    <w:rsid w:val="00EF700F"/>
    <w:rsid w:val="00F344BB"/>
    <w:rsid w:val="00FA4C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AB79E"/>
  <w15:docId w15:val="{D0B176B3-D0CD-4275-8B43-9E5818CA7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Default">
    <w:name w:val="Default"/>
    <w:link w:val="DefaultChar"/>
    <w:rsid w:val="00C30477"/>
    <w:pPr>
      <w:widowControl w:val="0"/>
      <w:autoSpaceDE w:val="0"/>
      <w:autoSpaceDN w:val="0"/>
      <w:adjustRightInd w:val="0"/>
      <w:spacing w:line="240" w:lineRule="auto"/>
    </w:pPr>
    <w:rPr>
      <w:rFonts w:ascii="Calibri" w:eastAsiaTheme="minorEastAsia" w:hAnsi="Calibri" w:cs="Calibri"/>
      <w:color w:val="000000"/>
      <w:sz w:val="24"/>
      <w:szCs w:val="24"/>
      <w:lang w:val="en-US" w:eastAsia="ja-JP"/>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34"/>
    <w:qFormat/>
    <w:rsid w:val="006E278F"/>
    <w:pPr>
      <w:numPr>
        <w:numId w:val="2"/>
      </w:numPr>
      <w:spacing w:after="240" w:line="240" w:lineRule="auto"/>
      <w:jc w:val="both"/>
    </w:pPr>
    <w:rPr>
      <w:rFonts w:ascii="Times New Roman" w:eastAsia="Batang" w:hAnsi="Times New Roman" w:cs="Times New Roman"/>
      <w:szCs w:val="24"/>
      <w:lang w:val="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6E278F"/>
    <w:rPr>
      <w:rFonts w:ascii="Times New Roman" w:eastAsia="Batang" w:hAnsi="Times New Roman" w:cs="Times New Roman"/>
      <w:szCs w:val="24"/>
      <w:lang w:val="en-US"/>
    </w:rPr>
  </w:style>
  <w:style w:type="character" w:styleId="Hyperlink">
    <w:name w:val="Hyperlink"/>
    <w:basedOn w:val="DefaultParagraphFont"/>
    <w:uiPriority w:val="99"/>
    <w:unhideWhenUsed/>
    <w:rsid w:val="006E278F"/>
    <w:rPr>
      <w:color w:val="0000FF" w:themeColor="hyperlink"/>
      <w:u w:val="single"/>
    </w:rPr>
  </w:style>
  <w:style w:type="character" w:customStyle="1" w:styleId="DefaultChar">
    <w:name w:val="Default Char"/>
    <w:basedOn w:val="DefaultParagraphFont"/>
    <w:link w:val="Default"/>
    <w:locked/>
    <w:rsid w:val="006E278F"/>
    <w:rPr>
      <w:rFonts w:ascii="Calibri" w:eastAsiaTheme="minorEastAsia" w:hAnsi="Calibri" w:cs="Calibri"/>
      <w:color w:val="000000"/>
      <w:sz w:val="24"/>
      <w:szCs w:val="24"/>
      <w:lang w:val="en-US" w:eastAsia="ja-JP"/>
    </w:rPr>
  </w:style>
  <w:style w:type="table" w:customStyle="1" w:styleId="111">
    <w:name w:val="表 (格子)111"/>
    <w:basedOn w:val="TableNormal"/>
    <w:next w:val="TableGrid"/>
    <w:uiPriority w:val="39"/>
    <w:rsid w:val="006E278F"/>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E27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343A"/>
    <w:pPr>
      <w:tabs>
        <w:tab w:val="center" w:pos="4680"/>
        <w:tab w:val="right" w:pos="9360"/>
      </w:tabs>
      <w:spacing w:line="240" w:lineRule="auto"/>
    </w:pPr>
  </w:style>
  <w:style w:type="character" w:customStyle="1" w:styleId="HeaderChar">
    <w:name w:val="Header Char"/>
    <w:basedOn w:val="DefaultParagraphFont"/>
    <w:link w:val="Header"/>
    <w:uiPriority w:val="99"/>
    <w:rsid w:val="0095343A"/>
  </w:style>
  <w:style w:type="paragraph" w:styleId="Footer">
    <w:name w:val="footer"/>
    <w:basedOn w:val="Normal"/>
    <w:link w:val="FooterChar"/>
    <w:uiPriority w:val="99"/>
    <w:unhideWhenUsed/>
    <w:rsid w:val="0095343A"/>
    <w:pPr>
      <w:tabs>
        <w:tab w:val="center" w:pos="4680"/>
        <w:tab w:val="right" w:pos="9360"/>
      </w:tabs>
      <w:spacing w:line="240" w:lineRule="auto"/>
    </w:pPr>
  </w:style>
  <w:style w:type="character" w:customStyle="1" w:styleId="FooterChar">
    <w:name w:val="Footer Char"/>
    <w:basedOn w:val="DefaultParagraphFont"/>
    <w:link w:val="Footer"/>
    <w:uiPriority w:val="99"/>
    <w:rsid w:val="0095343A"/>
  </w:style>
  <w:style w:type="paragraph" w:styleId="Revision">
    <w:name w:val="Revision"/>
    <w:hidden/>
    <w:uiPriority w:val="99"/>
    <w:semiHidden/>
    <w:rsid w:val="00C70404"/>
    <w:pPr>
      <w:spacing w:line="240" w:lineRule="auto"/>
    </w:pPr>
  </w:style>
  <w:style w:type="character" w:styleId="UnresolvedMention">
    <w:name w:val="Unresolved Mention"/>
    <w:basedOn w:val="DefaultParagraphFont"/>
    <w:uiPriority w:val="99"/>
    <w:semiHidden/>
    <w:unhideWhenUsed/>
    <w:rsid w:val="008D7B14"/>
    <w:rPr>
      <w:color w:val="605E5C"/>
      <w:shd w:val="clear" w:color="auto" w:fill="E1DFDD"/>
    </w:rPr>
  </w:style>
  <w:style w:type="paragraph" w:customStyle="1" w:styleId="TTitle">
    <w:name w:val="TTitle"/>
    <w:uiPriority w:val="99"/>
    <w:rsid w:val="008D7B14"/>
    <w:pPr>
      <w:spacing w:line="240" w:lineRule="auto"/>
      <w:jc w:val="center"/>
    </w:pPr>
    <w:rPr>
      <w:rFonts w:ascii="Times New Roman" w:eastAsia="Batang" w:hAnsi="Times New Roman" w:cs="Times New Roman"/>
      <w:sz w:val="28"/>
      <w:szCs w:val="2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mm.wcpfc.int/measure/cmm-2024-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attc.org/GetAttachment/76dc3f4f-d12f-49b2-ab1a-f1bca766d4f5/C-24-03_Bluefin-tuna-(monitoring-and-control).pdf" TargetMode="External"/><Relationship Id="rId5" Type="http://schemas.openxmlformats.org/officeDocument/2006/relationships/footnotes" Target="footnotes.xml"/><Relationship Id="rId10" Type="http://schemas.openxmlformats.org/officeDocument/2006/relationships/hyperlink" Target="mailto:zruzicka@wildoceans.org" TargetMode="External"/><Relationship Id="rId4" Type="http://schemas.openxmlformats.org/officeDocument/2006/relationships/webSettings" Target="webSettings.xml"/><Relationship Id="rId9" Type="http://schemas.openxmlformats.org/officeDocument/2006/relationships/hyperlink" Target="mailto:martha.betancourt@uabc.edu.mx"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5270</Words>
  <Characters>29934</Characters>
  <Application>Microsoft Office Word</Application>
  <DocSecurity>0</DocSecurity>
  <Lines>965</Lines>
  <Paragraphs>533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Madeira</dc:creator>
  <cp:lastModifiedBy>SungKwon Soh</cp:lastModifiedBy>
  <cp:revision>2</cp:revision>
  <cp:lastPrinted>2026-03-13T18:37:00Z</cp:lastPrinted>
  <dcterms:created xsi:type="dcterms:W3CDTF">2026-03-13T18:38:00Z</dcterms:created>
  <dcterms:modified xsi:type="dcterms:W3CDTF">2026-03-13T18:38:00Z</dcterms:modified>
</cp:coreProperties>
</file>