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1F10" w14:textId="77777777" w:rsidR="00011742" w:rsidRPr="00806588" w:rsidRDefault="00011742" w:rsidP="00806588">
      <w:pPr>
        <w:widowControl w:val="0"/>
        <w:adjustRightInd w:val="0"/>
        <w:snapToGrid w:val="0"/>
        <w:spacing w:after="0" w:line="240" w:lineRule="auto"/>
        <w:ind w:left="49"/>
        <w:jc w:val="center"/>
        <w:rPr>
          <w:rFonts w:ascii="Calibri" w:hAnsi="Calibri" w:cs="Calibri"/>
          <w:sz w:val="22"/>
          <w:lang w:val="fr-FR"/>
        </w:rPr>
      </w:pPr>
      <w:r w:rsidRPr="00806588">
        <w:rPr>
          <w:rFonts w:ascii="Calibri" w:hAnsi="Calibri" w:cs="Calibri"/>
          <w:noProof/>
          <w:sz w:val="22"/>
        </w:rPr>
        <w:drawing>
          <wp:inline distT="0" distB="0" distL="0" distR="0" wp14:anchorId="1D0386F2" wp14:editId="2B5CB666">
            <wp:extent cx="2476500" cy="861695"/>
            <wp:effectExtent l="0" t="0" r="0" b="0"/>
            <wp:docPr id="221" name="Picture 221"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221" name="Picture 221" descr="A blue and black logo&#10;&#10;AI-generated content may be incorrect."/>
                    <pic:cNvPicPr/>
                  </pic:nvPicPr>
                  <pic:blipFill>
                    <a:blip r:embed="rId8"/>
                    <a:stretch>
                      <a:fillRect/>
                    </a:stretch>
                  </pic:blipFill>
                  <pic:spPr>
                    <a:xfrm>
                      <a:off x="0" y="0"/>
                      <a:ext cx="2476500" cy="861695"/>
                    </a:xfrm>
                    <a:prstGeom prst="rect">
                      <a:avLst/>
                    </a:prstGeom>
                  </pic:spPr>
                </pic:pic>
              </a:graphicData>
            </a:graphic>
          </wp:inline>
        </w:drawing>
      </w:r>
      <w:r w:rsidRPr="00806588">
        <w:rPr>
          <w:rFonts w:ascii="Calibri" w:hAnsi="Calibri" w:cs="Calibri"/>
          <w:sz w:val="22"/>
          <w:lang w:val="fr-FR"/>
        </w:rPr>
        <w:t xml:space="preserve"> </w:t>
      </w:r>
    </w:p>
    <w:p w14:paraId="04A7A7BF" w14:textId="77777777" w:rsidR="00011742" w:rsidRPr="00806588" w:rsidRDefault="00011742" w:rsidP="00806588">
      <w:pPr>
        <w:widowControl w:val="0"/>
        <w:adjustRightInd w:val="0"/>
        <w:snapToGrid w:val="0"/>
        <w:spacing w:after="0" w:line="240" w:lineRule="auto"/>
        <w:jc w:val="center"/>
        <w:rPr>
          <w:rFonts w:ascii="Calibri" w:hAnsi="Calibri" w:cs="Calibri"/>
          <w:b/>
          <w:sz w:val="22"/>
        </w:rPr>
      </w:pPr>
    </w:p>
    <w:p w14:paraId="2EDAF253" w14:textId="77777777" w:rsidR="00011742" w:rsidRPr="00806588" w:rsidRDefault="00011742" w:rsidP="00806588">
      <w:pPr>
        <w:widowControl w:val="0"/>
        <w:adjustRightInd w:val="0"/>
        <w:snapToGrid w:val="0"/>
        <w:spacing w:after="0" w:line="240" w:lineRule="auto"/>
        <w:jc w:val="center"/>
        <w:rPr>
          <w:rFonts w:ascii="Calibri" w:hAnsi="Calibri" w:cs="Calibri"/>
          <w:b/>
          <w:sz w:val="22"/>
        </w:rPr>
      </w:pPr>
      <w:r w:rsidRPr="00806588">
        <w:rPr>
          <w:rFonts w:ascii="Calibri" w:hAnsi="Calibri" w:cs="Calibri"/>
          <w:b/>
          <w:sz w:val="22"/>
        </w:rPr>
        <w:t>The Commission for the Conservation and Management of</w:t>
      </w:r>
    </w:p>
    <w:p w14:paraId="208F2CE0" w14:textId="77777777" w:rsidR="00011742" w:rsidRPr="00806588" w:rsidRDefault="00011742" w:rsidP="00806588">
      <w:pPr>
        <w:widowControl w:val="0"/>
        <w:adjustRightInd w:val="0"/>
        <w:snapToGrid w:val="0"/>
        <w:spacing w:after="0" w:line="240" w:lineRule="auto"/>
        <w:jc w:val="center"/>
        <w:rPr>
          <w:rFonts w:ascii="Calibri" w:hAnsi="Calibri" w:cs="Calibri"/>
          <w:b/>
          <w:sz w:val="22"/>
        </w:rPr>
      </w:pPr>
      <w:r w:rsidRPr="00806588">
        <w:rPr>
          <w:rFonts w:ascii="Calibri" w:hAnsi="Calibri" w:cs="Calibri"/>
          <w:b/>
          <w:sz w:val="22"/>
        </w:rPr>
        <w:t>Highly Migratory Fish Stocks in the Western and Central Pacific Ocean</w:t>
      </w:r>
    </w:p>
    <w:p w14:paraId="2FB9553C" w14:textId="77777777" w:rsidR="00011742" w:rsidRPr="00806588" w:rsidRDefault="00011742" w:rsidP="00806588">
      <w:pPr>
        <w:widowControl w:val="0"/>
        <w:adjustRightInd w:val="0"/>
        <w:snapToGrid w:val="0"/>
        <w:spacing w:after="0" w:line="240" w:lineRule="auto"/>
        <w:jc w:val="center"/>
        <w:rPr>
          <w:rFonts w:ascii="Calibri" w:hAnsi="Calibri" w:cs="Calibri"/>
          <w:b/>
          <w:bCs/>
          <w:sz w:val="22"/>
        </w:rPr>
      </w:pPr>
    </w:p>
    <w:p w14:paraId="740799B0" w14:textId="77777777" w:rsidR="00011742" w:rsidRPr="00806588" w:rsidRDefault="00011742" w:rsidP="00806588">
      <w:pPr>
        <w:widowControl w:val="0"/>
        <w:adjustRightInd w:val="0"/>
        <w:snapToGrid w:val="0"/>
        <w:spacing w:after="0" w:line="240" w:lineRule="auto"/>
        <w:jc w:val="center"/>
        <w:rPr>
          <w:rFonts w:ascii="Calibri" w:hAnsi="Calibri" w:cs="Calibri"/>
          <w:b/>
          <w:bCs/>
          <w:sz w:val="22"/>
        </w:rPr>
      </w:pPr>
      <w:r w:rsidRPr="00806588">
        <w:rPr>
          <w:rFonts w:ascii="Calibri" w:hAnsi="Calibri" w:cs="Calibri"/>
          <w:b/>
          <w:bCs/>
          <w:sz w:val="22"/>
        </w:rPr>
        <w:t>SOUTH PACIFIC ALBACORE MANAGEMENT WORKSHOP (SPAMWS02)</w:t>
      </w:r>
    </w:p>
    <w:p w14:paraId="629FEC4C" w14:textId="77777777" w:rsidR="00011742" w:rsidRPr="00806588" w:rsidRDefault="00011742" w:rsidP="00806588">
      <w:pPr>
        <w:widowControl w:val="0"/>
        <w:adjustRightInd w:val="0"/>
        <w:snapToGrid w:val="0"/>
        <w:spacing w:after="0" w:line="240" w:lineRule="auto"/>
        <w:jc w:val="center"/>
        <w:rPr>
          <w:rFonts w:ascii="Calibri" w:hAnsi="Calibri" w:cs="Calibri"/>
          <w:b/>
          <w:bCs/>
          <w:sz w:val="22"/>
        </w:rPr>
      </w:pPr>
      <w:r w:rsidRPr="00806588">
        <w:rPr>
          <w:rFonts w:ascii="Calibri" w:hAnsi="Calibri" w:cs="Calibri"/>
          <w:b/>
          <w:bCs/>
          <w:sz w:val="22"/>
        </w:rPr>
        <w:t>SECOND SESSION</w:t>
      </w:r>
    </w:p>
    <w:p w14:paraId="2C390716"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Cs/>
          <w:sz w:val="22"/>
          <w:lang w:eastAsia="ko-KR"/>
        </w:rPr>
      </w:pPr>
    </w:p>
    <w:p w14:paraId="22D1AAEA"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r w:rsidRPr="00806588">
        <w:rPr>
          <w:rFonts w:ascii="Calibri" w:hAnsi="Calibri" w:cs="Calibri"/>
          <w:b/>
          <w:sz w:val="22"/>
          <w:lang w:eastAsia="ko-KR"/>
        </w:rPr>
        <w:t>Electronic Meeting</w:t>
      </w:r>
    </w:p>
    <w:p w14:paraId="60969744"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r w:rsidRPr="00806588">
        <w:rPr>
          <w:rFonts w:ascii="Calibri" w:hAnsi="Calibri" w:cs="Calibri"/>
          <w:b/>
          <w:sz w:val="22"/>
          <w:lang w:eastAsia="ko-KR"/>
        </w:rPr>
        <w:t>10:00 – 14:00, Pohnpei Time, 5 November 2025</w:t>
      </w:r>
    </w:p>
    <w:p w14:paraId="0C35F7C1"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p>
    <w:p w14:paraId="0D6E57BF"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p>
    <w:p w14:paraId="5D28E971"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p>
    <w:p w14:paraId="05907097"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p>
    <w:p w14:paraId="113C10D9"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p>
    <w:p w14:paraId="485F0CF4"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p>
    <w:p w14:paraId="0180C85B"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p>
    <w:p w14:paraId="44930B1F"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p>
    <w:p w14:paraId="581E89B7"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p>
    <w:p w14:paraId="1A63FD6B" w14:textId="390E5FC8" w:rsidR="005023A9" w:rsidRPr="00DA25DF" w:rsidRDefault="00011742" w:rsidP="00806588">
      <w:pPr>
        <w:widowControl w:val="0"/>
        <w:kinsoku w:val="0"/>
        <w:overflowPunct w:val="0"/>
        <w:autoSpaceDE w:val="0"/>
        <w:autoSpaceDN w:val="0"/>
        <w:adjustRightInd w:val="0"/>
        <w:snapToGrid w:val="0"/>
        <w:spacing w:after="0" w:line="240" w:lineRule="auto"/>
        <w:jc w:val="center"/>
        <w:rPr>
          <w:rFonts w:ascii="Calibri" w:eastAsia="Malgun Gothic" w:hAnsi="Calibri" w:cs="Calibri"/>
          <w:b/>
          <w:sz w:val="22"/>
          <w:lang w:eastAsia="ko-KR"/>
        </w:rPr>
      </w:pPr>
      <w:r w:rsidRPr="00806588">
        <w:rPr>
          <w:rFonts w:ascii="Calibri" w:hAnsi="Calibri" w:cs="Calibri"/>
          <w:b/>
          <w:sz w:val="22"/>
          <w:lang w:eastAsia="ko-KR"/>
        </w:rPr>
        <w:t>CHAIRS’ SUMMARY REPORT</w:t>
      </w:r>
    </w:p>
    <w:p w14:paraId="669EAA8D" w14:textId="77777777" w:rsidR="00011742" w:rsidRPr="00806588" w:rsidRDefault="00011742" w:rsidP="00806588">
      <w:pPr>
        <w:widowControl w:val="0"/>
        <w:adjustRightInd w:val="0"/>
        <w:snapToGrid w:val="0"/>
        <w:spacing w:after="0" w:line="240" w:lineRule="auto"/>
        <w:rPr>
          <w:rFonts w:ascii="Calibri" w:hAnsi="Calibri" w:cs="Calibri"/>
          <w:b/>
          <w:sz w:val="22"/>
        </w:rPr>
      </w:pPr>
      <w:r w:rsidRPr="00806588">
        <w:rPr>
          <w:rFonts w:ascii="Calibri" w:hAnsi="Calibri" w:cs="Calibri"/>
          <w:b/>
          <w:sz w:val="22"/>
        </w:rPr>
        <w:br w:type="page"/>
      </w:r>
    </w:p>
    <w:p w14:paraId="7001DACE" w14:textId="77777777" w:rsidR="00011742" w:rsidRDefault="00011742" w:rsidP="00806588">
      <w:pPr>
        <w:pStyle w:val="Heading2"/>
        <w:adjustRightInd w:val="0"/>
        <w:snapToGrid w:val="0"/>
        <w:spacing w:before="0" w:after="0" w:line="240" w:lineRule="auto"/>
        <w:rPr>
          <w:rFonts w:ascii="Calibri" w:hAnsi="Calibri" w:cs="Calibri"/>
          <w:b/>
          <w:bCs/>
          <w:sz w:val="22"/>
          <w:szCs w:val="22"/>
        </w:rPr>
      </w:pPr>
    </w:p>
    <w:p w14:paraId="5C4A0515" w14:textId="77777777" w:rsidR="00DA25DF" w:rsidRDefault="00DA25DF" w:rsidP="00DA25DF"/>
    <w:p w14:paraId="60B203A1" w14:textId="77777777" w:rsidR="00DA25DF" w:rsidRDefault="00DA25DF" w:rsidP="00DA25DF"/>
    <w:p w14:paraId="7E434844" w14:textId="77777777" w:rsidR="00DA25DF" w:rsidRPr="00DA25DF" w:rsidRDefault="00DA25DF" w:rsidP="00DA25DF"/>
    <w:sdt>
      <w:sdtPr>
        <w:rPr>
          <w:rFonts w:ascii="Calibri" w:eastAsiaTheme="minorHAnsi" w:hAnsi="Calibri" w:cs="Calibri"/>
          <w:b w:val="0"/>
          <w:bCs w:val="0"/>
          <w:color w:val="auto"/>
          <w:kern w:val="2"/>
          <w:sz w:val="24"/>
          <w:szCs w:val="22"/>
          <w:lang w:val="en-NZ"/>
          <w14:ligatures w14:val="standardContextual"/>
        </w:rPr>
        <w:id w:val="-1138255966"/>
        <w:docPartObj>
          <w:docPartGallery w:val="Table of Contents"/>
          <w:docPartUnique/>
        </w:docPartObj>
      </w:sdtPr>
      <w:sdtEndPr>
        <w:rPr>
          <w:rFonts w:eastAsiaTheme="minorEastAsia"/>
          <w:b/>
          <w:bCs/>
          <w:noProof/>
          <w:kern w:val="0"/>
          <w:sz w:val="22"/>
          <w:lang w:val="en-US"/>
          <w14:ligatures w14:val="none"/>
        </w:rPr>
      </w:sdtEndPr>
      <w:sdtContent>
        <w:p w14:paraId="12340D25" w14:textId="77777777" w:rsidR="00011742" w:rsidRPr="00806588" w:rsidRDefault="00011742" w:rsidP="00806588">
          <w:pPr>
            <w:pStyle w:val="TOCHeading"/>
            <w:adjustRightInd w:val="0"/>
            <w:snapToGrid w:val="0"/>
            <w:spacing w:before="0" w:line="240" w:lineRule="auto"/>
            <w:rPr>
              <w:rFonts w:ascii="Calibri" w:hAnsi="Calibri" w:cs="Calibri"/>
              <w:b w:val="0"/>
              <w:bCs w:val="0"/>
            </w:rPr>
          </w:pPr>
          <w:r w:rsidRPr="00806588">
            <w:rPr>
              <w:rFonts w:ascii="Calibri" w:hAnsi="Calibri" w:cs="Calibri"/>
            </w:rPr>
            <w:t>Table of Contents</w:t>
          </w:r>
        </w:p>
        <w:p w14:paraId="71E9051A" w14:textId="5C3E731B" w:rsidR="00011742" w:rsidRPr="00806588" w:rsidRDefault="00011742" w:rsidP="00806588">
          <w:pPr>
            <w:pStyle w:val="TOC2"/>
            <w:tabs>
              <w:tab w:val="left" w:pos="720"/>
              <w:tab w:val="right" w:leader="dot" w:pos="8630"/>
            </w:tabs>
            <w:adjustRightInd w:val="0"/>
            <w:snapToGrid w:val="0"/>
            <w:spacing w:after="0" w:line="240" w:lineRule="auto"/>
            <w:rPr>
              <w:rFonts w:ascii="Calibri" w:eastAsiaTheme="minorEastAsia" w:hAnsi="Calibri" w:cs="Calibri"/>
              <w:noProof/>
              <w:lang w:val="en-US"/>
            </w:rPr>
          </w:pPr>
          <w:r w:rsidRPr="00806588">
            <w:rPr>
              <w:rFonts w:ascii="Calibri" w:hAnsi="Calibri" w:cs="Calibri"/>
            </w:rPr>
            <w:fldChar w:fldCharType="begin"/>
          </w:r>
          <w:r w:rsidRPr="00806588">
            <w:rPr>
              <w:rFonts w:ascii="Calibri" w:hAnsi="Calibri" w:cs="Calibri"/>
            </w:rPr>
            <w:instrText xml:space="preserve"> TOC \o "1-3" \h \z \u </w:instrText>
          </w:r>
          <w:r w:rsidRPr="00806588">
            <w:rPr>
              <w:rFonts w:ascii="Calibri" w:hAnsi="Calibri" w:cs="Calibri"/>
            </w:rPr>
            <w:fldChar w:fldCharType="separate"/>
          </w:r>
          <w:hyperlink w:anchor="_Toc213678195" w:history="1">
            <w:r w:rsidRPr="00806588">
              <w:rPr>
                <w:rStyle w:val="Hyperlink"/>
                <w:rFonts w:ascii="Calibri" w:eastAsia="Times New Roman" w:hAnsi="Calibri" w:cs="Calibri"/>
                <w:b/>
                <w:bCs/>
                <w:noProof/>
              </w:rPr>
              <w:t>1.</w:t>
            </w:r>
            <w:r w:rsidRPr="00806588">
              <w:rPr>
                <w:rFonts w:ascii="Calibri" w:eastAsiaTheme="minorEastAsia" w:hAnsi="Calibri" w:cs="Calibri"/>
                <w:noProof/>
                <w:lang w:val="en-US"/>
              </w:rPr>
              <w:tab/>
            </w:r>
            <w:r w:rsidRPr="00806588">
              <w:rPr>
                <w:rStyle w:val="Hyperlink"/>
                <w:rFonts w:ascii="Calibri" w:eastAsia="Times New Roman" w:hAnsi="Calibri" w:cs="Calibri"/>
                <w:b/>
                <w:bCs/>
                <w:noProof/>
              </w:rPr>
              <w:t>Opening of the Meeting</w:t>
            </w:r>
            <w:r w:rsidRPr="00806588">
              <w:rPr>
                <w:rFonts w:ascii="Calibri" w:hAnsi="Calibri" w:cs="Calibri"/>
                <w:noProof/>
                <w:webHidden/>
              </w:rPr>
              <w:tab/>
            </w:r>
            <w:r w:rsidRPr="00806588">
              <w:rPr>
                <w:rFonts w:ascii="Calibri" w:hAnsi="Calibri" w:cs="Calibri"/>
                <w:noProof/>
                <w:webHidden/>
              </w:rPr>
              <w:fldChar w:fldCharType="begin"/>
            </w:r>
            <w:r w:rsidRPr="00806588">
              <w:rPr>
                <w:rFonts w:ascii="Calibri" w:hAnsi="Calibri" w:cs="Calibri"/>
                <w:noProof/>
                <w:webHidden/>
              </w:rPr>
              <w:instrText xml:space="preserve"> PAGEREF _Toc213678195 \h </w:instrText>
            </w:r>
            <w:r w:rsidRPr="00806588">
              <w:rPr>
                <w:rFonts w:ascii="Calibri" w:hAnsi="Calibri" w:cs="Calibri"/>
                <w:noProof/>
                <w:webHidden/>
              </w:rPr>
            </w:r>
            <w:r w:rsidRPr="00806588">
              <w:rPr>
                <w:rFonts w:ascii="Calibri" w:hAnsi="Calibri" w:cs="Calibri"/>
                <w:noProof/>
                <w:webHidden/>
              </w:rPr>
              <w:fldChar w:fldCharType="separate"/>
            </w:r>
            <w:r w:rsidR="00806588">
              <w:rPr>
                <w:rFonts w:ascii="Calibri" w:hAnsi="Calibri" w:cs="Calibri"/>
                <w:noProof/>
                <w:webHidden/>
              </w:rPr>
              <w:t>3</w:t>
            </w:r>
            <w:r w:rsidRPr="00806588">
              <w:rPr>
                <w:rFonts w:ascii="Calibri" w:hAnsi="Calibri" w:cs="Calibri"/>
                <w:noProof/>
                <w:webHidden/>
              </w:rPr>
              <w:fldChar w:fldCharType="end"/>
            </w:r>
          </w:hyperlink>
        </w:p>
        <w:p w14:paraId="1375AD49" w14:textId="559BC938" w:rsidR="00011742" w:rsidRPr="00806588" w:rsidRDefault="00011742" w:rsidP="00806588">
          <w:pPr>
            <w:pStyle w:val="TOC2"/>
            <w:tabs>
              <w:tab w:val="left" w:pos="720"/>
              <w:tab w:val="right" w:leader="dot" w:pos="8630"/>
            </w:tabs>
            <w:adjustRightInd w:val="0"/>
            <w:snapToGrid w:val="0"/>
            <w:spacing w:after="0" w:line="240" w:lineRule="auto"/>
            <w:rPr>
              <w:rFonts w:ascii="Calibri" w:eastAsiaTheme="minorEastAsia" w:hAnsi="Calibri" w:cs="Calibri"/>
              <w:noProof/>
              <w:lang w:val="en-US"/>
            </w:rPr>
          </w:pPr>
          <w:hyperlink w:anchor="_Toc213678197" w:history="1">
            <w:r w:rsidRPr="00806588">
              <w:rPr>
                <w:rStyle w:val="Hyperlink"/>
                <w:rFonts w:ascii="Calibri" w:eastAsia="Times New Roman" w:hAnsi="Calibri" w:cs="Calibri"/>
                <w:b/>
                <w:bCs/>
                <w:noProof/>
              </w:rPr>
              <w:t>2.</w:t>
            </w:r>
            <w:r w:rsidRPr="00806588">
              <w:rPr>
                <w:rFonts w:ascii="Calibri" w:eastAsiaTheme="minorEastAsia" w:hAnsi="Calibri" w:cs="Calibri"/>
                <w:noProof/>
                <w:lang w:val="en-US"/>
              </w:rPr>
              <w:tab/>
            </w:r>
            <w:r w:rsidRPr="00806588">
              <w:rPr>
                <w:rStyle w:val="Hyperlink"/>
                <w:rFonts w:ascii="Calibri" w:eastAsia="Times New Roman" w:hAnsi="Calibri" w:cs="Calibri"/>
                <w:b/>
                <w:bCs/>
                <w:noProof/>
              </w:rPr>
              <w:t>Review of SPAMWS01’s requests for additional candidate MPs</w:t>
            </w:r>
            <w:r w:rsidRPr="00806588">
              <w:rPr>
                <w:rFonts w:ascii="Calibri" w:hAnsi="Calibri" w:cs="Calibri"/>
                <w:noProof/>
                <w:webHidden/>
              </w:rPr>
              <w:tab/>
            </w:r>
            <w:r w:rsidRPr="00806588">
              <w:rPr>
                <w:rFonts w:ascii="Calibri" w:hAnsi="Calibri" w:cs="Calibri"/>
                <w:noProof/>
                <w:webHidden/>
              </w:rPr>
              <w:fldChar w:fldCharType="begin"/>
            </w:r>
            <w:r w:rsidRPr="00806588">
              <w:rPr>
                <w:rFonts w:ascii="Calibri" w:hAnsi="Calibri" w:cs="Calibri"/>
                <w:noProof/>
                <w:webHidden/>
              </w:rPr>
              <w:instrText xml:space="preserve"> PAGEREF _Toc213678197 \h </w:instrText>
            </w:r>
            <w:r w:rsidRPr="00806588">
              <w:rPr>
                <w:rFonts w:ascii="Calibri" w:hAnsi="Calibri" w:cs="Calibri"/>
                <w:noProof/>
                <w:webHidden/>
              </w:rPr>
            </w:r>
            <w:r w:rsidRPr="00806588">
              <w:rPr>
                <w:rFonts w:ascii="Calibri" w:hAnsi="Calibri" w:cs="Calibri"/>
                <w:noProof/>
                <w:webHidden/>
              </w:rPr>
              <w:fldChar w:fldCharType="separate"/>
            </w:r>
            <w:r w:rsidR="00806588">
              <w:rPr>
                <w:rFonts w:ascii="Calibri" w:hAnsi="Calibri" w:cs="Calibri"/>
                <w:noProof/>
                <w:webHidden/>
              </w:rPr>
              <w:t>3</w:t>
            </w:r>
            <w:r w:rsidRPr="00806588">
              <w:rPr>
                <w:rFonts w:ascii="Calibri" w:hAnsi="Calibri" w:cs="Calibri"/>
                <w:noProof/>
                <w:webHidden/>
              </w:rPr>
              <w:fldChar w:fldCharType="end"/>
            </w:r>
          </w:hyperlink>
        </w:p>
        <w:p w14:paraId="2485804B" w14:textId="090229A4" w:rsidR="00011742" w:rsidRPr="00806588" w:rsidRDefault="00011742" w:rsidP="00806588">
          <w:pPr>
            <w:pStyle w:val="TOC2"/>
            <w:tabs>
              <w:tab w:val="left" w:pos="720"/>
              <w:tab w:val="right" w:leader="dot" w:pos="8630"/>
            </w:tabs>
            <w:adjustRightInd w:val="0"/>
            <w:snapToGrid w:val="0"/>
            <w:spacing w:after="0" w:line="240" w:lineRule="auto"/>
            <w:rPr>
              <w:rFonts w:ascii="Calibri" w:eastAsiaTheme="minorEastAsia" w:hAnsi="Calibri" w:cs="Calibri"/>
              <w:noProof/>
              <w:lang w:val="en-US"/>
            </w:rPr>
          </w:pPr>
          <w:hyperlink w:anchor="_Toc213678198" w:history="1">
            <w:r w:rsidRPr="00806588">
              <w:rPr>
                <w:rStyle w:val="Hyperlink"/>
                <w:rFonts w:ascii="Calibri" w:eastAsia="Times New Roman" w:hAnsi="Calibri" w:cs="Calibri"/>
                <w:b/>
                <w:bCs/>
                <w:noProof/>
              </w:rPr>
              <w:t>3.</w:t>
            </w:r>
            <w:r w:rsidRPr="00806588">
              <w:rPr>
                <w:rFonts w:ascii="Calibri" w:eastAsiaTheme="minorEastAsia" w:hAnsi="Calibri" w:cs="Calibri"/>
                <w:noProof/>
                <w:lang w:val="en-US"/>
              </w:rPr>
              <w:tab/>
            </w:r>
            <w:r w:rsidRPr="00806588">
              <w:rPr>
                <w:rStyle w:val="Hyperlink"/>
                <w:rFonts w:ascii="Calibri" w:eastAsia="Times New Roman" w:hAnsi="Calibri" w:cs="Calibri"/>
                <w:b/>
                <w:bCs/>
                <w:noProof/>
              </w:rPr>
              <w:t>CMM on the SPA MP</w:t>
            </w:r>
            <w:r w:rsidRPr="00806588">
              <w:rPr>
                <w:rFonts w:ascii="Calibri" w:hAnsi="Calibri" w:cs="Calibri"/>
                <w:noProof/>
                <w:webHidden/>
              </w:rPr>
              <w:tab/>
            </w:r>
            <w:r w:rsidRPr="00806588">
              <w:rPr>
                <w:rFonts w:ascii="Calibri" w:hAnsi="Calibri" w:cs="Calibri"/>
                <w:noProof/>
                <w:webHidden/>
              </w:rPr>
              <w:fldChar w:fldCharType="begin"/>
            </w:r>
            <w:r w:rsidRPr="00806588">
              <w:rPr>
                <w:rFonts w:ascii="Calibri" w:hAnsi="Calibri" w:cs="Calibri"/>
                <w:noProof/>
                <w:webHidden/>
              </w:rPr>
              <w:instrText xml:space="preserve"> PAGEREF _Toc213678198 \h </w:instrText>
            </w:r>
            <w:r w:rsidRPr="00806588">
              <w:rPr>
                <w:rFonts w:ascii="Calibri" w:hAnsi="Calibri" w:cs="Calibri"/>
                <w:noProof/>
                <w:webHidden/>
              </w:rPr>
            </w:r>
            <w:r w:rsidRPr="00806588">
              <w:rPr>
                <w:rFonts w:ascii="Calibri" w:hAnsi="Calibri" w:cs="Calibri"/>
                <w:noProof/>
                <w:webHidden/>
              </w:rPr>
              <w:fldChar w:fldCharType="separate"/>
            </w:r>
            <w:r w:rsidR="00806588">
              <w:rPr>
                <w:rFonts w:ascii="Calibri" w:hAnsi="Calibri" w:cs="Calibri"/>
                <w:noProof/>
                <w:webHidden/>
              </w:rPr>
              <w:t>5</w:t>
            </w:r>
            <w:r w:rsidRPr="00806588">
              <w:rPr>
                <w:rFonts w:ascii="Calibri" w:hAnsi="Calibri" w:cs="Calibri"/>
                <w:noProof/>
                <w:webHidden/>
              </w:rPr>
              <w:fldChar w:fldCharType="end"/>
            </w:r>
          </w:hyperlink>
        </w:p>
        <w:p w14:paraId="30978E9F" w14:textId="08732ECF" w:rsidR="00011742" w:rsidRPr="00806588" w:rsidRDefault="00011742" w:rsidP="00806588">
          <w:pPr>
            <w:pStyle w:val="TOC2"/>
            <w:tabs>
              <w:tab w:val="left" w:pos="720"/>
              <w:tab w:val="right" w:leader="dot" w:pos="8630"/>
            </w:tabs>
            <w:adjustRightInd w:val="0"/>
            <w:snapToGrid w:val="0"/>
            <w:spacing w:after="0" w:line="240" w:lineRule="auto"/>
            <w:rPr>
              <w:rFonts w:ascii="Calibri" w:eastAsiaTheme="minorEastAsia" w:hAnsi="Calibri" w:cs="Calibri"/>
              <w:bCs/>
              <w:noProof/>
              <w:lang w:val="en-US"/>
            </w:rPr>
          </w:pPr>
          <w:hyperlink w:anchor="_Toc213678199" w:history="1">
            <w:r w:rsidRPr="00806588">
              <w:rPr>
                <w:rStyle w:val="Hyperlink"/>
                <w:rFonts w:ascii="Calibri" w:eastAsia="Times New Roman" w:hAnsi="Calibri" w:cs="Calibri"/>
                <w:b/>
                <w:bCs/>
                <w:noProof/>
              </w:rPr>
              <w:t>4.</w:t>
            </w:r>
            <w:r w:rsidRPr="00806588">
              <w:rPr>
                <w:rFonts w:ascii="Calibri" w:eastAsiaTheme="minorEastAsia" w:hAnsi="Calibri" w:cs="Calibri"/>
                <w:noProof/>
                <w:lang w:val="en-US"/>
              </w:rPr>
              <w:tab/>
            </w:r>
            <w:r w:rsidRPr="00806588">
              <w:rPr>
                <w:rStyle w:val="Hyperlink"/>
                <w:rFonts w:ascii="Calibri" w:eastAsia="Times New Roman" w:hAnsi="Calibri" w:cs="Calibri"/>
                <w:b/>
                <w:bCs/>
                <w:noProof/>
              </w:rPr>
              <w:t>CMM on the Management Arrangements for Implementing the SPA MP</w:t>
            </w:r>
            <w:r w:rsidRPr="00806588">
              <w:rPr>
                <w:rFonts w:ascii="Calibri" w:hAnsi="Calibri" w:cs="Calibri"/>
                <w:noProof/>
                <w:webHidden/>
              </w:rPr>
              <w:tab/>
            </w:r>
            <w:r w:rsidRPr="00806588">
              <w:rPr>
                <w:rFonts w:ascii="Calibri" w:hAnsi="Calibri" w:cs="Calibri"/>
                <w:noProof/>
                <w:webHidden/>
              </w:rPr>
              <w:fldChar w:fldCharType="begin"/>
            </w:r>
            <w:r w:rsidRPr="00806588">
              <w:rPr>
                <w:rFonts w:ascii="Calibri" w:hAnsi="Calibri" w:cs="Calibri"/>
                <w:noProof/>
                <w:webHidden/>
              </w:rPr>
              <w:instrText xml:space="preserve"> PAGEREF _Toc213678199 \h </w:instrText>
            </w:r>
            <w:r w:rsidRPr="00806588">
              <w:rPr>
                <w:rFonts w:ascii="Calibri" w:hAnsi="Calibri" w:cs="Calibri"/>
                <w:noProof/>
                <w:webHidden/>
              </w:rPr>
            </w:r>
            <w:r w:rsidRPr="00806588">
              <w:rPr>
                <w:rFonts w:ascii="Calibri" w:hAnsi="Calibri" w:cs="Calibri"/>
                <w:noProof/>
                <w:webHidden/>
              </w:rPr>
              <w:fldChar w:fldCharType="separate"/>
            </w:r>
            <w:r w:rsidR="00806588">
              <w:rPr>
                <w:rFonts w:ascii="Calibri" w:hAnsi="Calibri" w:cs="Calibri"/>
                <w:noProof/>
                <w:webHidden/>
              </w:rPr>
              <w:t>7</w:t>
            </w:r>
            <w:r w:rsidRPr="00806588">
              <w:rPr>
                <w:rFonts w:ascii="Calibri" w:hAnsi="Calibri" w:cs="Calibri"/>
                <w:noProof/>
                <w:webHidden/>
              </w:rPr>
              <w:fldChar w:fldCharType="end"/>
            </w:r>
          </w:hyperlink>
        </w:p>
        <w:p w14:paraId="41472747" w14:textId="63A1CDDD" w:rsidR="00011742" w:rsidRPr="00806588" w:rsidRDefault="00011742" w:rsidP="00806588">
          <w:pPr>
            <w:pStyle w:val="TOC2"/>
            <w:tabs>
              <w:tab w:val="left" w:pos="720"/>
              <w:tab w:val="right" w:leader="dot" w:pos="8630"/>
            </w:tabs>
            <w:adjustRightInd w:val="0"/>
            <w:snapToGrid w:val="0"/>
            <w:spacing w:after="0" w:line="240" w:lineRule="auto"/>
            <w:rPr>
              <w:rFonts w:ascii="Calibri" w:eastAsiaTheme="minorEastAsia" w:hAnsi="Calibri" w:cs="Calibri"/>
              <w:noProof/>
              <w:lang w:val="en-US"/>
            </w:rPr>
          </w:pPr>
          <w:hyperlink w:anchor="_Toc213678200" w:history="1">
            <w:r w:rsidRPr="00806588">
              <w:rPr>
                <w:rStyle w:val="Hyperlink"/>
                <w:rFonts w:ascii="Calibri" w:eastAsia="Times New Roman" w:hAnsi="Calibri" w:cs="Calibri"/>
                <w:b/>
                <w:bCs/>
                <w:noProof/>
              </w:rPr>
              <w:t>5.</w:t>
            </w:r>
            <w:r w:rsidRPr="00806588">
              <w:rPr>
                <w:rFonts w:ascii="Calibri" w:eastAsiaTheme="minorEastAsia" w:hAnsi="Calibri" w:cs="Calibri"/>
                <w:noProof/>
                <w:lang w:val="en-US"/>
              </w:rPr>
              <w:tab/>
            </w:r>
            <w:r w:rsidRPr="00806588">
              <w:rPr>
                <w:rStyle w:val="Hyperlink"/>
                <w:rFonts w:ascii="Calibri" w:eastAsia="Times New Roman" w:hAnsi="Calibri" w:cs="Calibri"/>
                <w:b/>
                <w:bCs/>
                <w:noProof/>
              </w:rPr>
              <w:t>Co-Chairs’ Summary and Closing of the Workshop</w:t>
            </w:r>
            <w:r w:rsidRPr="00806588">
              <w:rPr>
                <w:rFonts w:ascii="Calibri" w:hAnsi="Calibri" w:cs="Calibri"/>
                <w:noProof/>
                <w:webHidden/>
              </w:rPr>
              <w:tab/>
            </w:r>
            <w:r w:rsidRPr="00806588">
              <w:rPr>
                <w:rFonts w:ascii="Calibri" w:hAnsi="Calibri" w:cs="Calibri"/>
                <w:noProof/>
                <w:webHidden/>
              </w:rPr>
              <w:fldChar w:fldCharType="begin"/>
            </w:r>
            <w:r w:rsidRPr="00806588">
              <w:rPr>
                <w:rFonts w:ascii="Calibri" w:hAnsi="Calibri" w:cs="Calibri"/>
                <w:noProof/>
                <w:webHidden/>
              </w:rPr>
              <w:instrText xml:space="preserve"> PAGEREF _Toc213678200 \h </w:instrText>
            </w:r>
            <w:r w:rsidRPr="00806588">
              <w:rPr>
                <w:rFonts w:ascii="Calibri" w:hAnsi="Calibri" w:cs="Calibri"/>
                <w:noProof/>
                <w:webHidden/>
              </w:rPr>
            </w:r>
            <w:r w:rsidRPr="00806588">
              <w:rPr>
                <w:rFonts w:ascii="Calibri" w:hAnsi="Calibri" w:cs="Calibri"/>
                <w:noProof/>
                <w:webHidden/>
              </w:rPr>
              <w:fldChar w:fldCharType="separate"/>
            </w:r>
            <w:r w:rsidR="00806588">
              <w:rPr>
                <w:rFonts w:ascii="Calibri" w:hAnsi="Calibri" w:cs="Calibri"/>
                <w:noProof/>
                <w:webHidden/>
              </w:rPr>
              <w:t>8</w:t>
            </w:r>
            <w:r w:rsidRPr="00806588">
              <w:rPr>
                <w:rFonts w:ascii="Calibri" w:hAnsi="Calibri" w:cs="Calibri"/>
                <w:noProof/>
                <w:webHidden/>
              </w:rPr>
              <w:fldChar w:fldCharType="end"/>
            </w:r>
          </w:hyperlink>
        </w:p>
        <w:p w14:paraId="61BAAD80" w14:textId="77777777" w:rsidR="00011742" w:rsidRPr="00806588" w:rsidRDefault="00011742" w:rsidP="00806588">
          <w:pPr>
            <w:adjustRightInd w:val="0"/>
            <w:snapToGrid w:val="0"/>
            <w:spacing w:after="0" w:line="240" w:lineRule="auto"/>
            <w:rPr>
              <w:rFonts w:ascii="Calibri" w:hAnsi="Calibri" w:cs="Calibri"/>
              <w:sz w:val="22"/>
            </w:rPr>
          </w:pPr>
          <w:r w:rsidRPr="00806588">
            <w:rPr>
              <w:rFonts w:ascii="Calibri" w:hAnsi="Calibri" w:cs="Calibri"/>
              <w:b/>
              <w:bCs/>
              <w:noProof/>
              <w:sz w:val="22"/>
            </w:rPr>
            <w:fldChar w:fldCharType="end"/>
          </w:r>
        </w:p>
      </w:sdtContent>
    </w:sdt>
    <w:p w14:paraId="519EF81E" w14:textId="77777777" w:rsidR="00011742" w:rsidRPr="00806588" w:rsidRDefault="00011742" w:rsidP="00806588">
      <w:pPr>
        <w:pStyle w:val="Heading2"/>
        <w:adjustRightInd w:val="0"/>
        <w:snapToGrid w:val="0"/>
        <w:spacing w:before="0" w:after="0" w:line="240" w:lineRule="auto"/>
        <w:rPr>
          <w:rFonts w:ascii="Calibri" w:hAnsi="Calibri" w:cs="Calibri"/>
          <w:b/>
          <w:bCs/>
          <w:sz w:val="22"/>
          <w:szCs w:val="22"/>
        </w:rPr>
      </w:pPr>
      <w:r w:rsidRPr="00806588">
        <w:rPr>
          <w:rFonts w:ascii="Calibri" w:hAnsi="Calibri" w:cs="Calibri"/>
          <w:sz w:val="22"/>
          <w:szCs w:val="22"/>
        </w:rPr>
        <w:br w:type="page"/>
      </w:r>
    </w:p>
    <w:p w14:paraId="5AA170F6" w14:textId="77777777" w:rsidR="00011742" w:rsidRPr="00806588" w:rsidRDefault="00011742" w:rsidP="00806588">
      <w:pPr>
        <w:widowControl w:val="0"/>
        <w:adjustRightInd w:val="0"/>
        <w:snapToGrid w:val="0"/>
        <w:spacing w:after="0" w:line="240" w:lineRule="auto"/>
        <w:jc w:val="center"/>
        <w:rPr>
          <w:rFonts w:ascii="Calibri" w:hAnsi="Calibri" w:cs="Calibri"/>
          <w:b/>
          <w:sz w:val="22"/>
        </w:rPr>
      </w:pPr>
      <w:r w:rsidRPr="00806588">
        <w:rPr>
          <w:rFonts w:ascii="Calibri" w:hAnsi="Calibri" w:cs="Calibri"/>
          <w:b/>
          <w:sz w:val="22"/>
        </w:rPr>
        <w:lastRenderedPageBreak/>
        <w:t>The Commission for the Conservation and Management of</w:t>
      </w:r>
    </w:p>
    <w:p w14:paraId="7E7773F1" w14:textId="77777777" w:rsidR="00011742" w:rsidRPr="00806588" w:rsidRDefault="00011742" w:rsidP="00806588">
      <w:pPr>
        <w:widowControl w:val="0"/>
        <w:adjustRightInd w:val="0"/>
        <w:snapToGrid w:val="0"/>
        <w:spacing w:after="0" w:line="240" w:lineRule="auto"/>
        <w:jc w:val="center"/>
        <w:rPr>
          <w:rFonts w:ascii="Calibri" w:hAnsi="Calibri" w:cs="Calibri"/>
          <w:b/>
          <w:sz w:val="22"/>
        </w:rPr>
      </w:pPr>
      <w:r w:rsidRPr="00806588">
        <w:rPr>
          <w:rFonts w:ascii="Calibri" w:hAnsi="Calibri" w:cs="Calibri"/>
          <w:b/>
          <w:sz w:val="22"/>
        </w:rPr>
        <w:t>Highly Migratory Fish Stocks in the Western and Central Pacific Ocean</w:t>
      </w:r>
    </w:p>
    <w:p w14:paraId="47A7D7F1" w14:textId="77777777" w:rsidR="00011742" w:rsidRPr="00806588" w:rsidRDefault="00011742" w:rsidP="00806588">
      <w:pPr>
        <w:widowControl w:val="0"/>
        <w:adjustRightInd w:val="0"/>
        <w:snapToGrid w:val="0"/>
        <w:spacing w:after="0" w:line="240" w:lineRule="auto"/>
        <w:jc w:val="center"/>
        <w:rPr>
          <w:rFonts w:ascii="Calibri" w:hAnsi="Calibri" w:cs="Calibri"/>
          <w:b/>
          <w:bCs/>
          <w:sz w:val="22"/>
        </w:rPr>
      </w:pPr>
    </w:p>
    <w:p w14:paraId="0D1407E7" w14:textId="77777777" w:rsidR="00011742" w:rsidRPr="00806588" w:rsidRDefault="00011742" w:rsidP="00806588">
      <w:pPr>
        <w:widowControl w:val="0"/>
        <w:adjustRightInd w:val="0"/>
        <w:snapToGrid w:val="0"/>
        <w:spacing w:after="0" w:line="240" w:lineRule="auto"/>
        <w:jc w:val="center"/>
        <w:rPr>
          <w:rFonts w:ascii="Calibri" w:hAnsi="Calibri" w:cs="Calibri"/>
          <w:b/>
          <w:bCs/>
          <w:sz w:val="22"/>
        </w:rPr>
      </w:pPr>
      <w:r w:rsidRPr="00806588">
        <w:rPr>
          <w:rFonts w:ascii="Calibri" w:hAnsi="Calibri" w:cs="Calibri"/>
          <w:b/>
          <w:bCs/>
          <w:sz w:val="22"/>
        </w:rPr>
        <w:t>SOUTH PACIFIC ALBACORE MANAGEMENT WORKSHOP (SPAMWS02)</w:t>
      </w:r>
    </w:p>
    <w:p w14:paraId="547FEA1B" w14:textId="77777777" w:rsidR="00011742" w:rsidRPr="00806588" w:rsidRDefault="00011742" w:rsidP="00806588">
      <w:pPr>
        <w:widowControl w:val="0"/>
        <w:adjustRightInd w:val="0"/>
        <w:snapToGrid w:val="0"/>
        <w:spacing w:after="0" w:line="240" w:lineRule="auto"/>
        <w:jc w:val="center"/>
        <w:rPr>
          <w:rFonts w:ascii="Calibri" w:hAnsi="Calibri" w:cs="Calibri"/>
          <w:b/>
          <w:bCs/>
          <w:sz w:val="22"/>
        </w:rPr>
      </w:pPr>
      <w:r w:rsidRPr="00806588">
        <w:rPr>
          <w:rFonts w:ascii="Calibri" w:hAnsi="Calibri" w:cs="Calibri"/>
          <w:b/>
          <w:bCs/>
          <w:sz w:val="22"/>
        </w:rPr>
        <w:t>SECOND SESSION</w:t>
      </w:r>
    </w:p>
    <w:p w14:paraId="4A44E8B2"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Cs/>
          <w:sz w:val="22"/>
          <w:lang w:eastAsia="ko-KR"/>
        </w:rPr>
      </w:pPr>
    </w:p>
    <w:p w14:paraId="509FDB2A"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Cs/>
          <w:sz w:val="22"/>
          <w:lang w:eastAsia="ko-KR"/>
        </w:rPr>
      </w:pPr>
      <w:r w:rsidRPr="00806588">
        <w:rPr>
          <w:rFonts w:ascii="Calibri" w:hAnsi="Calibri" w:cs="Calibri"/>
          <w:bCs/>
          <w:sz w:val="22"/>
          <w:lang w:eastAsia="ko-KR"/>
        </w:rPr>
        <w:t>Electronic Meeting</w:t>
      </w:r>
    </w:p>
    <w:p w14:paraId="1FA7C6AE"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Cs/>
          <w:sz w:val="22"/>
          <w:lang w:eastAsia="ko-KR"/>
        </w:rPr>
      </w:pPr>
      <w:r w:rsidRPr="00806588">
        <w:rPr>
          <w:rFonts w:ascii="Calibri" w:hAnsi="Calibri" w:cs="Calibri"/>
          <w:bCs/>
          <w:sz w:val="22"/>
          <w:lang w:eastAsia="ko-KR"/>
        </w:rPr>
        <w:t>10:00 – 14:00, Pohnpei Time, 5 November 2025</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016"/>
      </w:tblGrid>
      <w:tr w:rsidR="00011742" w:rsidRPr="00806588" w14:paraId="3054FE63" w14:textId="77777777" w:rsidTr="00F702F0">
        <w:tc>
          <w:tcPr>
            <w:tcW w:w="9016" w:type="dxa"/>
          </w:tcPr>
          <w:p w14:paraId="027DD4AF" w14:textId="77777777" w:rsidR="00011742" w:rsidRPr="00806588" w:rsidRDefault="00011742" w:rsidP="00806588">
            <w:pPr>
              <w:widowControl w:val="0"/>
              <w:kinsoku w:val="0"/>
              <w:overflowPunct w:val="0"/>
              <w:autoSpaceDE w:val="0"/>
              <w:autoSpaceDN w:val="0"/>
              <w:adjustRightInd w:val="0"/>
              <w:snapToGrid w:val="0"/>
              <w:spacing w:after="0" w:line="240" w:lineRule="auto"/>
              <w:jc w:val="center"/>
              <w:rPr>
                <w:rFonts w:ascii="Calibri" w:hAnsi="Calibri" w:cs="Calibri"/>
                <w:b/>
                <w:sz w:val="22"/>
                <w:lang w:eastAsia="ko-KR"/>
              </w:rPr>
            </w:pPr>
            <w:r w:rsidRPr="00806588">
              <w:rPr>
                <w:rFonts w:ascii="Calibri" w:hAnsi="Calibri" w:cs="Calibri"/>
                <w:b/>
                <w:sz w:val="22"/>
                <w:lang w:eastAsia="ko-KR"/>
              </w:rPr>
              <w:t>CHAIRS’ SUMMARY REPORT</w:t>
            </w:r>
          </w:p>
        </w:tc>
      </w:tr>
    </w:tbl>
    <w:p w14:paraId="47AFFA60" w14:textId="77777777" w:rsidR="00011742" w:rsidRDefault="00011742" w:rsidP="00806588">
      <w:pPr>
        <w:adjustRightInd w:val="0"/>
        <w:snapToGrid w:val="0"/>
        <w:spacing w:after="0" w:line="240" w:lineRule="auto"/>
        <w:rPr>
          <w:rFonts w:ascii="Calibri" w:eastAsia="Times New Roman" w:hAnsi="Calibri" w:cs="Calibri"/>
          <w:sz w:val="22"/>
        </w:rPr>
      </w:pPr>
    </w:p>
    <w:p w14:paraId="37712629" w14:textId="77777777" w:rsidR="00806588" w:rsidRPr="00806588" w:rsidRDefault="00806588" w:rsidP="00806588">
      <w:pPr>
        <w:adjustRightInd w:val="0"/>
        <w:snapToGrid w:val="0"/>
        <w:spacing w:after="0" w:line="240" w:lineRule="auto"/>
        <w:rPr>
          <w:rFonts w:ascii="Calibri" w:eastAsia="Times New Roman" w:hAnsi="Calibri" w:cs="Calibri"/>
          <w:sz w:val="22"/>
        </w:rPr>
      </w:pPr>
    </w:p>
    <w:p w14:paraId="4525209F" w14:textId="70A31848" w:rsidR="00011742" w:rsidRPr="00806588" w:rsidRDefault="00806588" w:rsidP="00806588">
      <w:pPr>
        <w:pStyle w:val="ListParagraph"/>
        <w:numPr>
          <w:ilvl w:val="0"/>
          <w:numId w:val="11"/>
        </w:numPr>
        <w:adjustRightInd w:val="0"/>
        <w:snapToGrid w:val="0"/>
        <w:spacing w:after="0" w:line="240" w:lineRule="auto"/>
        <w:ind w:left="540" w:hanging="540"/>
        <w:contextualSpacing w:val="0"/>
        <w:outlineLvl w:val="1"/>
        <w:rPr>
          <w:rFonts w:ascii="Calibri" w:eastAsia="Times New Roman" w:hAnsi="Calibri" w:cs="Calibri"/>
          <w:b/>
          <w:bCs/>
          <w:color w:val="0066FF"/>
          <w:szCs w:val="24"/>
        </w:rPr>
      </w:pPr>
      <w:bookmarkStart w:id="0" w:name="_Toc213678195"/>
      <w:r w:rsidRPr="00806588">
        <w:rPr>
          <w:rFonts w:ascii="Calibri" w:eastAsia="Times New Roman" w:hAnsi="Calibri" w:cs="Calibri"/>
          <w:b/>
          <w:bCs/>
          <w:color w:val="0066FF"/>
          <w:szCs w:val="24"/>
        </w:rPr>
        <w:t>OPENING OF THE MEETING</w:t>
      </w:r>
      <w:bookmarkEnd w:id="0"/>
    </w:p>
    <w:p w14:paraId="3C61553E" w14:textId="77777777" w:rsidR="00011742" w:rsidRPr="00806588" w:rsidRDefault="00011742" w:rsidP="00806588">
      <w:pPr>
        <w:adjustRightInd w:val="0"/>
        <w:snapToGrid w:val="0"/>
        <w:spacing w:after="0" w:line="240" w:lineRule="auto"/>
        <w:outlineLvl w:val="1"/>
        <w:rPr>
          <w:rFonts w:ascii="Calibri" w:eastAsia="Times New Roman" w:hAnsi="Calibri" w:cs="Calibri"/>
          <w:b/>
          <w:bCs/>
          <w:sz w:val="22"/>
        </w:rPr>
      </w:pPr>
    </w:p>
    <w:p w14:paraId="7D10116C" w14:textId="13C97F30" w:rsidR="00011742"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hAnsi="Calibri" w:cs="Calibri"/>
          <w:sz w:val="22"/>
        </w:rPr>
      </w:pPr>
      <w:bookmarkStart w:id="1" w:name="_Toc213677620"/>
      <w:bookmarkStart w:id="2" w:name="_Toc213678196"/>
      <w:r w:rsidRPr="00806588">
        <w:rPr>
          <w:rFonts w:ascii="Calibri" w:hAnsi="Calibri" w:cs="Calibri"/>
          <w:sz w:val="22"/>
        </w:rPr>
        <w:t xml:space="preserve">The Co-Chair, </w:t>
      </w:r>
      <w:r w:rsidR="00CC73D8" w:rsidRPr="00806588">
        <w:rPr>
          <w:rFonts w:ascii="Calibri" w:hAnsi="Calibri" w:cs="Calibri"/>
          <w:sz w:val="22"/>
        </w:rPr>
        <w:t xml:space="preserve">Mr </w:t>
      </w:r>
      <w:r w:rsidRPr="00806588">
        <w:rPr>
          <w:rFonts w:ascii="Calibri" w:hAnsi="Calibri" w:cs="Calibri"/>
          <w:sz w:val="22"/>
        </w:rPr>
        <w:t xml:space="preserve">Moses Mataika (Fiji) opened the meeting by recalling the outcomes of SPAMWS01, confirming the objectives of SPAMWS02, and emphasizing the importance of finalizing advice and </w:t>
      </w:r>
      <w:r w:rsidR="00CC73D8" w:rsidRPr="00806588">
        <w:rPr>
          <w:rFonts w:ascii="Calibri" w:hAnsi="Calibri" w:cs="Calibri"/>
          <w:sz w:val="22"/>
        </w:rPr>
        <w:t>any decisions</w:t>
      </w:r>
      <w:r w:rsidRPr="00806588">
        <w:rPr>
          <w:rFonts w:ascii="Calibri" w:hAnsi="Calibri" w:cs="Calibri"/>
          <w:sz w:val="22"/>
        </w:rPr>
        <w:t xml:space="preserve"> for consideration at WCPFC22. Participants were reminded that the session was limited to four hours</w:t>
      </w:r>
      <w:r w:rsidR="00806588">
        <w:rPr>
          <w:rFonts w:ascii="Calibri" w:hAnsi="Calibri" w:cs="Calibri"/>
          <w:sz w:val="22"/>
        </w:rPr>
        <w:t>. Discussions</w:t>
      </w:r>
      <w:r w:rsidRPr="00806588">
        <w:rPr>
          <w:rFonts w:ascii="Calibri" w:hAnsi="Calibri" w:cs="Calibri"/>
          <w:sz w:val="22"/>
        </w:rPr>
        <w:t xml:space="preserve"> must therefore remain focused on concluding decisions regarding the candidate management procedures, including the six priority requests assigned to the </w:t>
      </w:r>
      <w:r w:rsidR="00CC73D8" w:rsidRPr="00806588">
        <w:rPr>
          <w:rFonts w:ascii="Calibri" w:hAnsi="Calibri" w:cs="Calibri"/>
          <w:sz w:val="22"/>
        </w:rPr>
        <w:t>Scientific Services Provider (</w:t>
      </w:r>
      <w:r w:rsidRPr="00806588">
        <w:rPr>
          <w:rFonts w:ascii="Calibri" w:hAnsi="Calibri" w:cs="Calibri"/>
          <w:sz w:val="22"/>
        </w:rPr>
        <w:t>SSP</w:t>
      </w:r>
      <w:r w:rsidR="00CC73D8" w:rsidRPr="00806588">
        <w:rPr>
          <w:rFonts w:ascii="Calibri" w:hAnsi="Calibri" w:cs="Calibri"/>
          <w:sz w:val="22"/>
        </w:rPr>
        <w:t>)</w:t>
      </w:r>
      <w:r w:rsidRPr="00806588">
        <w:rPr>
          <w:rFonts w:ascii="Calibri" w:hAnsi="Calibri" w:cs="Calibri"/>
          <w:sz w:val="22"/>
        </w:rPr>
        <w:t xml:space="preserve"> for further analysis, as well as any associated implementing CMM proposals, if available (see paragraph 18 of the </w:t>
      </w:r>
      <w:hyperlink r:id="rId9" w:history="1">
        <w:r w:rsidRPr="00806588">
          <w:rPr>
            <w:rStyle w:val="Hyperlink"/>
            <w:rFonts w:ascii="Calibri" w:hAnsi="Calibri" w:cs="Calibri"/>
            <w:sz w:val="22"/>
          </w:rPr>
          <w:t>SPAMWS01 Report</w:t>
        </w:r>
      </w:hyperlink>
      <w:r w:rsidRPr="00806588">
        <w:rPr>
          <w:rFonts w:ascii="Calibri" w:hAnsi="Calibri" w:cs="Calibri"/>
          <w:sz w:val="22"/>
        </w:rPr>
        <w:t>).</w:t>
      </w:r>
      <w:bookmarkEnd w:id="1"/>
      <w:bookmarkEnd w:id="2"/>
      <w:r w:rsidRPr="00806588">
        <w:rPr>
          <w:rFonts w:ascii="Calibri" w:hAnsi="Calibri" w:cs="Calibri"/>
          <w:sz w:val="22"/>
        </w:rPr>
        <w:t xml:space="preserve"> </w:t>
      </w:r>
    </w:p>
    <w:p w14:paraId="6C795DA2" w14:textId="77777777" w:rsidR="00011742" w:rsidRPr="00806588" w:rsidRDefault="00011742" w:rsidP="00806588">
      <w:pPr>
        <w:adjustRightInd w:val="0"/>
        <w:snapToGrid w:val="0"/>
        <w:spacing w:after="0" w:line="240" w:lineRule="auto"/>
        <w:outlineLvl w:val="1"/>
        <w:rPr>
          <w:rFonts w:ascii="Calibri" w:hAnsi="Calibri" w:cs="Calibri"/>
          <w:sz w:val="22"/>
        </w:rPr>
      </w:pPr>
    </w:p>
    <w:p w14:paraId="070A045E" w14:textId="71A445DB" w:rsidR="00011742" w:rsidRPr="00806588" w:rsidRDefault="00806588" w:rsidP="00806588">
      <w:pPr>
        <w:pStyle w:val="ListParagraph"/>
        <w:numPr>
          <w:ilvl w:val="0"/>
          <w:numId w:val="11"/>
        </w:numPr>
        <w:adjustRightInd w:val="0"/>
        <w:snapToGrid w:val="0"/>
        <w:spacing w:after="0" w:line="240" w:lineRule="auto"/>
        <w:ind w:left="540" w:hanging="540"/>
        <w:contextualSpacing w:val="0"/>
        <w:outlineLvl w:val="1"/>
        <w:rPr>
          <w:rFonts w:ascii="Calibri" w:eastAsia="Times New Roman" w:hAnsi="Calibri" w:cs="Calibri"/>
          <w:b/>
          <w:bCs/>
          <w:color w:val="0066FF"/>
          <w:szCs w:val="24"/>
        </w:rPr>
      </w:pPr>
      <w:bookmarkStart w:id="3" w:name="_Toc213678197"/>
      <w:r w:rsidRPr="00806588">
        <w:rPr>
          <w:rFonts w:ascii="Calibri" w:eastAsia="Times New Roman" w:hAnsi="Calibri" w:cs="Calibri"/>
          <w:b/>
          <w:bCs/>
          <w:color w:val="0066FF"/>
          <w:szCs w:val="24"/>
        </w:rPr>
        <w:t>REVIEW OF SPAMWS01’S REQUESTS FOR ADDITIONAL CANDIDATE MPS</w:t>
      </w:r>
      <w:bookmarkEnd w:id="3"/>
    </w:p>
    <w:p w14:paraId="26564F02" w14:textId="77777777" w:rsidR="00011742" w:rsidRPr="00806588" w:rsidRDefault="00011742" w:rsidP="00806588">
      <w:pPr>
        <w:adjustRightInd w:val="0"/>
        <w:snapToGrid w:val="0"/>
        <w:spacing w:after="0" w:line="240" w:lineRule="auto"/>
        <w:rPr>
          <w:rFonts w:ascii="Calibri" w:eastAsia="Times New Roman" w:hAnsi="Calibri" w:cs="Calibri"/>
          <w:sz w:val="22"/>
        </w:rPr>
      </w:pPr>
    </w:p>
    <w:p w14:paraId="5821D6CB" w14:textId="3FD5B5E7" w:rsidR="00011742"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Times New Roman" w:hAnsi="Calibri" w:cs="Calibri"/>
          <w:sz w:val="22"/>
        </w:rPr>
      </w:pPr>
      <w:r w:rsidRPr="00806588">
        <w:rPr>
          <w:rFonts w:ascii="Calibri" w:hAnsi="Calibri" w:cs="Calibri"/>
          <w:sz w:val="22"/>
        </w:rPr>
        <w:t xml:space="preserve">SPAMWS01 considered seven candidate MPs (catch-based HCRs 7, 10, 13, 14–16, and effort-based HCR 9). Annex A of the </w:t>
      </w:r>
      <w:hyperlink r:id="rId10" w:history="1">
        <w:r w:rsidRPr="00806588">
          <w:rPr>
            <w:rStyle w:val="Hyperlink"/>
            <w:rFonts w:ascii="Calibri" w:hAnsi="Calibri" w:cs="Calibri"/>
            <w:sz w:val="22"/>
          </w:rPr>
          <w:t>SPAMWS01 Report</w:t>
        </w:r>
      </w:hyperlink>
      <w:r w:rsidRPr="00806588">
        <w:rPr>
          <w:rFonts w:ascii="Calibri" w:hAnsi="Calibri" w:cs="Calibri"/>
          <w:sz w:val="22"/>
        </w:rPr>
        <w:t xml:space="preserve"> summarizes the six requests to the SSP that were selected for further analysis. SPAMWS02 reviewed the results of </w:t>
      </w:r>
      <w:r w:rsidRPr="00806588">
        <w:rPr>
          <w:rFonts w:ascii="Calibri" w:hAnsi="Calibri" w:cs="Calibri"/>
          <w:sz w:val="22"/>
          <w:lang w:eastAsia="ko-KR"/>
        </w:rPr>
        <w:t>the additional requests</w:t>
      </w:r>
      <w:r w:rsidRPr="00806588">
        <w:rPr>
          <w:rFonts w:ascii="Calibri" w:hAnsi="Calibri" w:cs="Calibri"/>
          <w:sz w:val="22"/>
        </w:rPr>
        <w:t xml:space="preserve"> and provided recommendations to the Commission, as appropriate</w:t>
      </w:r>
      <w:r w:rsidRPr="00806588">
        <w:rPr>
          <w:rFonts w:ascii="Calibri" w:eastAsia="Times New Roman" w:hAnsi="Calibri" w:cs="Calibri"/>
          <w:sz w:val="22"/>
        </w:rPr>
        <w:t xml:space="preserve">. Below </w:t>
      </w:r>
      <w:r w:rsidR="00CC73D8" w:rsidRPr="00806588">
        <w:rPr>
          <w:rFonts w:ascii="Calibri" w:eastAsia="Times New Roman" w:hAnsi="Calibri" w:cs="Calibri"/>
          <w:sz w:val="22"/>
        </w:rPr>
        <w:t>was</w:t>
      </w:r>
      <w:r w:rsidR="00CC73D8" w:rsidRPr="00806588">
        <w:rPr>
          <w:rFonts w:ascii="Calibri" w:hAnsi="Calibri" w:cs="Calibri"/>
          <w:sz w:val="22"/>
        </w:rPr>
        <w:t xml:space="preserve"> </w:t>
      </w:r>
      <w:r w:rsidRPr="00806588">
        <w:rPr>
          <w:rFonts w:ascii="Calibri" w:hAnsi="Calibri" w:cs="Calibri"/>
          <w:sz w:val="22"/>
        </w:rPr>
        <w:t>the list of six requests that were ranked highest at SPAMWS01.</w:t>
      </w:r>
    </w:p>
    <w:tbl>
      <w:tblPr>
        <w:tblStyle w:val="TableGrid"/>
        <w:tblW w:w="5000" w:type="pct"/>
        <w:tblLook w:val="04A0" w:firstRow="1" w:lastRow="0" w:firstColumn="1" w:lastColumn="0" w:noHBand="0" w:noVBand="1"/>
      </w:tblPr>
      <w:tblGrid>
        <w:gridCol w:w="842"/>
        <w:gridCol w:w="4905"/>
        <w:gridCol w:w="3603"/>
      </w:tblGrid>
      <w:tr w:rsidR="00011742" w:rsidRPr="00806588" w14:paraId="4FE1246C" w14:textId="77777777" w:rsidTr="00571D80">
        <w:tc>
          <w:tcPr>
            <w:tcW w:w="450" w:type="pct"/>
            <w:shd w:val="clear" w:color="auto" w:fill="D9D9D9" w:themeFill="background1" w:themeFillShade="D9"/>
          </w:tcPr>
          <w:p w14:paraId="253A0622" w14:textId="77777777" w:rsidR="00011742" w:rsidRPr="00806588" w:rsidRDefault="00011742" w:rsidP="00806588">
            <w:pPr>
              <w:adjustRightInd w:val="0"/>
              <w:snapToGrid w:val="0"/>
              <w:spacing w:after="0" w:line="240" w:lineRule="auto"/>
              <w:jc w:val="center"/>
              <w:rPr>
                <w:rFonts w:ascii="Calibri" w:eastAsia="Malgun Gothic" w:hAnsi="Calibri" w:cs="Calibri"/>
                <w:b/>
                <w:bCs/>
                <w:sz w:val="22"/>
                <w:lang w:eastAsia="ko-KR"/>
              </w:rPr>
            </w:pPr>
            <w:r w:rsidRPr="00806588">
              <w:rPr>
                <w:rFonts w:ascii="Calibri" w:eastAsia="Malgun Gothic" w:hAnsi="Calibri" w:cs="Calibri"/>
                <w:b/>
                <w:bCs/>
                <w:sz w:val="22"/>
                <w:lang w:eastAsia="ko-KR"/>
              </w:rPr>
              <w:t>#</w:t>
            </w:r>
          </w:p>
        </w:tc>
        <w:tc>
          <w:tcPr>
            <w:tcW w:w="2623" w:type="pct"/>
            <w:shd w:val="clear" w:color="auto" w:fill="D9D9D9" w:themeFill="background1" w:themeFillShade="D9"/>
          </w:tcPr>
          <w:p w14:paraId="3E0A1EC4" w14:textId="77777777" w:rsidR="00011742" w:rsidRPr="00806588" w:rsidRDefault="00011742" w:rsidP="00806588">
            <w:pPr>
              <w:adjustRightInd w:val="0"/>
              <w:snapToGrid w:val="0"/>
              <w:spacing w:after="0" w:line="240" w:lineRule="auto"/>
              <w:rPr>
                <w:rFonts w:ascii="Calibri" w:eastAsia="Malgun Gothic" w:hAnsi="Calibri" w:cs="Calibri"/>
                <w:b/>
                <w:bCs/>
                <w:sz w:val="22"/>
                <w:lang w:eastAsia="ko-KR"/>
              </w:rPr>
            </w:pPr>
            <w:r w:rsidRPr="00806588">
              <w:rPr>
                <w:rFonts w:ascii="Calibri" w:eastAsia="Times New Roman" w:hAnsi="Calibri" w:cs="Calibri"/>
                <w:b/>
                <w:bCs/>
                <w:sz w:val="22"/>
              </w:rPr>
              <w:t>SPAMWA01’s priority requests to the SSP</w:t>
            </w:r>
          </w:p>
        </w:tc>
        <w:tc>
          <w:tcPr>
            <w:tcW w:w="1927" w:type="pct"/>
            <w:shd w:val="clear" w:color="auto" w:fill="D9D9D9" w:themeFill="background1" w:themeFillShade="D9"/>
          </w:tcPr>
          <w:p w14:paraId="254B2BEF" w14:textId="77777777" w:rsidR="00011742" w:rsidRPr="00806588" w:rsidRDefault="00011742" w:rsidP="00806588">
            <w:pPr>
              <w:adjustRightInd w:val="0"/>
              <w:snapToGrid w:val="0"/>
              <w:spacing w:after="0" w:line="240" w:lineRule="auto"/>
              <w:jc w:val="center"/>
              <w:rPr>
                <w:rFonts w:ascii="Calibri" w:eastAsia="Malgun Gothic" w:hAnsi="Calibri" w:cs="Calibri"/>
                <w:b/>
                <w:bCs/>
                <w:sz w:val="22"/>
                <w:lang w:eastAsia="ko-KR"/>
              </w:rPr>
            </w:pPr>
            <w:r w:rsidRPr="00806588">
              <w:rPr>
                <w:rFonts w:ascii="Calibri" w:eastAsia="Malgun Gothic" w:hAnsi="Calibri" w:cs="Calibri"/>
                <w:b/>
                <w:bCs/>
                <w:sz w:val="22"/>
                <w:lang w:eastAsia="ko-KR"/>
              </w:rPr>
              <w:t>Notes</w:t>
            </w:r>
          </w:p>
        </w:tc>
      </w:tr>
      <w:tr w:rsidR="00011742" w:rsidRPr="00806588" w14:paraId="17E2BA19" w14:textId="77777777" w:rsidTr="00571D80">
        <w:tc>
          <w:tcPr>
            <w:tcW w:w="450" w:type="pct"/>
          </w:tcPr>
          <w:p w14:paraId="0B3F30B5" w14:textId="77777777" w:rsidR="00011742" w:rsidRPr="00806588" w:rsidRDefault="00011742" w:rsidP="00806588">
            <w:pPr>
              <w:adjustRightInd w:val="0"/>
              <w:snapToGrid w:val="0"/>
              <w:spacing w:after="0" w:line="240" w:lineRule="auto"/>
              <w:jc w:val="center"/>
              <w:rPr>
                <w:rFonts w:ascii="Calibri" w:hAnsi="Calibri" w:cs="Calibri"/>
                <w:sz w:val="22"/>
                <w:lang w:eastAsia="ko-KR"/>
              </w:rPr>
            </w:pPr>
            <w:r w:rsidRPr="00806588">
              <w:rPr>
                <w:rFonts w:ascii="Calibri" w:hAnsi="Calibri" w:cs="Calibri"/>
                <w:sz w:val="22"/>
                <w:lang w:eastAsia="ko-KR"/>
              </w:rPr>
              <w:t>1</w:t>
            </w:r>
          </w:p>
        </w:tc>
        <w:tc>
          <w:tcPr>
            <w:tcW w:w="2623" w:type="pct"/>
          </w:tcPr>
          <w:p w14:paraId="123C51B2" w14:textId="77777777" w:rsidR="00011742" w:rsidRPr="00806588" w:rsidRDefault="00011742" w:rsidP="00806588">
            <w:pPr>
              <w:adjustRightInd w:val="0"/>
              <w:snapToGrid w:val="0"/>
              <w:spacing w:after="0" w:line="240" w:lineRule="auto"/>
              <w:ind w:left="-25"/>
              <w:rPr>
                <w:rFonts w:ascii="Calibri" w:eastAsia="Times New Roman" w:hAnsi="Calibri" w:cs="Calibri"/>
                <w:sz w:val="22"/>
              </w:rPr>
            </w:pPr>
            <w:r w:rsidRPr="00806588">
              <w:rPr>
                <w:rFonts w:ascii="Calibri" w:hAnsi="Calibri" w:cs="Calibri"/>
                <w:sz w:val="22"/>
              </w:rPr>
              <w:t>Re-tune all 7 candidate MPs operating south of 10°S, with exclusion of TK and TV catches that are south of 10°S.</w:t>
            </w:r>
          </w:p>
        </w:tc>
        <w:tc>
          <w:tcPr>
            <w:tcW w:w="1927" w:type="pct"/>
          </w:tcPr>
          <w:p w14:paraId="2F16C726" w14:textId="77777777" w:rsidR="00011742" w:rsidRPr="00806588" w:rsidRDefault="00011742" w:rsidP="00806588">
            <w:pPr>
              <w:adjustRightInd w:val="0"/>
              <w:snapToGrid w:val="0"/>
              <w:spacing w:after="0" w:line="240" w:lineRule="auto"/>
              <w:rPr>
                <w:rFonts w:ascii="Calibri" w:eastAsia="Times New Roman" w:hAnsi="Calibri" w:cs="Calibri"/>
                <w:sz w:val="22"/>
              </w:rPr>
            </w:pPr>
          </w:p>
        </w:tc>
      </w:tr>
      <w:tr w:rsidR="00011742" w:rsidRPr="00806588" w14:paraId="26A166D2" w14:textId="77777777" w:rsidTr="00571D80">
        <w:tc>
          <w:tcPr>
            <w:tcW w:w="450" w:type="pct"/>
          </w:tcPr>
          <w:p w14:paraId="700A1AE2" w14:textId="77777777" w:rsidR="00011742" w:rsidRPr="00806588" w:rsidRDefault="00011742" w:rsidP="00806588">
            <w:pPr>
              <w:adjustRightInd w:val="0"/>
              <w:snapToGrid w:val="0"/>
              <w:spacing w:after="0" w:line="240" w:lineRule="auto"/>
              <w:jc w:val="center"/>
              <w:rPr>
                <w:rFonts w:ascii="Calibri" w:hAnsi="Calibri" w:cs="Calibri"/>
                <w:sz w:val="22"/>
                <w:lang w:eastAsia="ko-KR"/>
              </w:rPr>
            </w:pPr>
            <w:r w:rsidRPr="00806588">
              <w:rPr>
                <w:rFonts w:ascii="Calibri" w:hAnsi="Calibri" w:cs="Calibri"/>
                <w:sz w:val="22"/>
                <w:lang w:eastAsia="ko-KR"/>
              </w:rPr>
              <w:t>2</w:t>
            </w:r>
          </w:p>
        </w:tc>
        <w:tc>
          <w:tcPr>
            <w:tcW w:w="2623" w:type="pct"/>
          </w:tcPr>
          <w:p w14:paraId="4EB64D15" w14:textId="77777777" w:rsidR="00011742" w:rsidRPr="00806588" w:rsidRDefault="00011742" w:rsidP="00806588">
            <w:pPr>
              <w:adjustRightInd w:val="0"/>
              <w:snapToGrid w:val="0"/>
              <w:spacing w:after="0" w:line="240" w:lineRule="auto"/>
              <w:ind w:left="-25"/>
              <w:rPr>
                <w:rFonts w:ascii="Calibri" w:eastAsia="Times New Roman" w:hAnsi="Calibri" w:cs="Calibri"/>
                <w:sz w:val="22"/>
              </w:rPr>
            </w:pPr>
            <w:r w:rsidRPr="00806588">
              <w:rPr>
                <w:rFonts w:ascii="Calibri" w:hAnsi="Calibri" w:cs="Calibri"/>
                <w:sz w:val="22"/>
              </w:rPr>
              <w:t xml:space="preserve">Perform sensitivity analyses </w:t>
            </w:r>
            <w:r w:rsidRPr="00806588">
              <w:rPr>
                <w:rFonts w:ascii="Calibri" w:eastAsia="Times New Roman" w:hAnsi="Calibri" w:cs="Calibri"/>
                <w:sz w:val="22"/>
              </w:rPr>
              <w:t xml:space="preserve">described in SPAMWS01-WP-01 </w:t>
            </w:r>
            <w:r w:rsidRPr="00806588">
              <w:rPr>
                <w:rFonts w:ascii="Calibri" w:hAnsi="Calibri" w:cs="Calibri"/>
                <w:sz w:val="22"/>
              </w:rPr>
              <w:t>on re-tuned MPs in #</w:t>
            </w:r>
            <w:r w:rsidRPr="00806588">
              <w:rPr>
                <w:rFonts w:ascii="Calibri" w:hAnsi="Calibri" w:cs="Calibri"/>
                <w:sz w:val="22"/>
                <w:lang w:eastAsia="ko-KR"/>
              </w:rPr>
              <w:t>1</w:t>
            </w:r>
          </w:p>
        </w:tc>
        <w:tc>
          <w:tcPr>
            <w:tcW w:w="1927" w:type="pct"/>
          </w:tcPr>
          <w:p w14:paraId="42B7F792" w14:textId="77777777" w:rsidR="00011742" w:rsidRPr="00806588" w:rsidRDefault="00011742" w:rsidP="00806588">
            <w:pPr>
              <w:adjustRightInd w:val="0"/>
              <w:snapToGrid w:val="0"/>
              <w:spacing w:after="0" w:line="240" w:lineRule="auto"/>
              <w:rPr>
                <w:rFonts w:ascii="Calibri" w:eastAsia="Times New Roman" w:hAnsi="Calibri" w:cs="Calibri"/>
                <w:sz w:val="22"/>
              </w:rPr>
            </w:pPr>
          </w:p>
        </w:tc>
      </w:tr>
      <w:tr w:rsidR="00011742" w:rsidRPr="00806588" w14:paraId="07F87C2D" w14:textId="77777777" w:rsidTr="00571D80">
        <w:tc>
          <w:tcPr>
            <w:tcW w:w="450" w:type="pct"/>
          </w:tcPr>
          <w:p w14:paraId="18F24468" w14:textId="77777777" w:rsidR="00011742" w:rsidRPr="00806588" w:rsidRDefault="00011742" w:rsidP="00806588">
            <w:pPr>
              <w:adjustRightInd w:val="0"/>
              <w:snapToGrid w:val="0"/>
              <w:spacing w:after="0" w:line="240" w:lineRule="auto"/>
              <w:jc w:val="center"/>
              <w:rPr>
                <w:rFonts w:ascii="Calibri" w:hAnsi="Calibri" w:cs="Calibri"/>
                <w:sz w:val="22"/>
                <w:lang w:eastAsia="ko-KR"/>
              </w:rPr>
            </w:pPr>
            <w:r w:rsidRPr="00806588">
              <w:rPr>
                <w:rFonts w:ascii="Calibri" w:hAnsi="Calibri" w:cs="Calibri"/>
                <w:sz w:val="22"/>
                <w:lang w:eastAsia="ko-KR"/>
              </w:rPr>
              <w:t>3</w:t>
            </w:r>
          </w:p>
        </w:tc>
        <w:tc>
          <w:tcPr>
            <w:tcW w:w="2623" w:type="pct"/>
          </w:tcPr>
          <w:p w14:paraId="21371383" w14:textId="77777777" w:rsidR="00011742" w:rsidRPr="00806588" w:rsidRDefault="00011742" w:rsidP="00806588">
            <w:pPr>
              <w:adjustRightInd w:val="0"/>
              <w:snapToGrid w:val="0"/>
              <w:spacing w:after="0" w:line="240" w:lineRule="auto"/>
              <w:ind w:left="-14"/>
              <w:rPr>
                <w:rFonts w:ascii="Calibri" w:eastAsia="Times New Roman" w:hAnsi="Calibri" w:cs="Calibri"/>
                <w:sz w:val="22"/>
              </w:rPr>
            </w:pPr>
            <w:r w:rsidRPr="00806588">
              <w:rPr>
                <w:rFonts w:ascii="Calibri" w:hAnsi="Calibri" w:cs="Calibri"/>
                <w:sz w:val="22"/>
              </w:rPr>
              <w:t xml:space="preserve">Develop additional MPs based on the current modified HCR 7 proposal (AU proposal) and HCR 13, which treat troll catch as an assumed and constant “external catch” in the MP. These MPs would be tuned to achieve the appropriate associated TRP. In developing these MPs, the “external troll catch” could be set at 2000-2004 average troll levels (in line with the baseline referenced in CMM 2015-02) </w:t>
            </w:r>
          </w:p>
        </w:tc>
        <w:tc>
          <w:tcPr>
            <w:tcW w:w="1927" w:type="pct"/>
          </w:tcPr>
          <w:p w14:paraId="58F4583D" w14:textId="77777777" w:rsidR="00011742" w:rsidRPr="00806588" w:rsidRDefault="00011742" w:rsidP="00806588">
            <w:pPr>
              <w:adjustRightInd w:val="0"/>
              <w:snapToGrid w:val="0"/>
              <w:spacing w:after="0" w:line="240" w:lineRule="auto"/>
              <w:rPr>
                <w:rFonts w:ascii="Calibri" w:hAnsi="Calibri" w:cs="Calibri"/>
                <w:sz w:val="22"/>
              </w:rPr>
            </w:pPr>
            <w:r w:rsidRPr="00806588">
              <w:rPr>
                <w:rFonts w:ascii="Calibri" w:hAnsi="Calibri" w:cs="Calibri"/>
                <w:sz w:val="22"/>
              </w:rPr>
              <w:t>Equates to 4 new MPs</w:t>
            </w:r>
          </w:p>
          <w:p w14:paraId="30E9F939" w14:textId="77777777" w:rsidR="00011742" w:rsidRPr="00806588" w:rsidRDefault="00011742" w:rsidP="00806588">
            <w:pPr>
              <w:adjustRightInd w:val="0"/>
              <w:snapToGrid w:val="0"/>
              <w:spacing w:after="0" w:line="240" w:lineRule="auto"/>
              <w:rPr>
                <w:rFonts w:ascii="Calibri" w:hAnsi="Calibri" w:cs="Calibri"/>
                <w:sz w:val="22"/>
              </w:rPr>
            </w:pPr>
            <w:r w:rsidRPr="00806588">
              <w:rPr>
                <w:rFonts w:ascii="Calibri" w:hAnsi="Calibri" w:cs="Calibri"/>
                <w:sz w:val="22"/>
              </w:rPr>
              <w:t xml:space="preserve">Assume </w:t>
            </w:r>
            <w:r w:rsidRPr="00806588">
              <w:rPr>
                <w:rFonts w:ascii="Calibri" w:hAnsi="Calibri" w:cs="Calibri"/>
                <w:sz w:val="22"/>
                <w:u w:val="single"/>
              </w:rPr>
              <w:t>ONLY</w:t>
            </w:r>
            <w:r w:rsidRPr="00806588">
              <w:rPr>
                <w:rFonts w:ascii="Calibri" w:hAnsi="Calibri" w:cs="Calibri"/>
                <w:sz w:val="22"/>
              </w:rPr>
              <w:t xml:space="preserve"> HCR7 is excluding TK/TV catch south of 10°S here; #1 will need to be done first</w:t>
            </w:r>
          </w:p>
          <w:p w14:paraId="1B0ACA1D" w14:textId="77777777" w:rsidR="00011742" w:rsidRPr="00806588" w:rsidRDefault="00011742" w:rsidP="00806588">
            <w:pPr>
              <w:adjustRightInd w:val="0"/>
              <w:snapToGrid w:val="0"/>
              <w:spacing w:after="0" w:line="240" w:lineRule="auto"/>
              <w:rPr>
                <w:rFonts w:ascii="Calibri" w:eastAsia="Times New Roman" w:hAnsi="Calibri" w:cs="Calibri"/>
                <w:sz w:val="22"/>
              </w:rPr>
            </w:pPr>
          </w:p>
        </w:tc>
      </w:tr>
      <w:tr w:rsidR="00011742" w:rsidRPr="00806588" w14:paraId="050854E4" w14:textId="77777777" w:rsidTr="00571D80">
        <w:tc>
          <w:tcPr>
            <w:tcW w:w="450" w:type="pct"/>
          </w:tcPr>
          <w:p w14:paraId="62C08251" w14:textId="77777777" w:rsidR="00011742" w:rsidRPr="00806588" w:rsidRDefault="00011742" w:rsidP="00806588">
            <w:pPr>
              <w:pStyle w:val="ListParagraph"/>
              <w:adjustRightInd w:val="0"/>
              <w:snapToGrid w:val="0"/>
              <w:spacing w:after="0" w:line="240" w:lineRule="auto"/>
              <w:ind w:left="0"/>
              <w:contextualSpacing w:val="0"/>
              <w:jc w:val="center"/>
              <w:rPr>
                <w:rFonts w:ascii="Calibri" w:eastAsia="Times New Roman" w:hAnsi="Calibri" w:cs="Calibri"/>
                <w:sz w:val="22"/>
              </w:rPr>
            </w:pPr>
            <w:r w:rsidRPr="00806588">
              <w:rPr>
                <w:rFonts w:ascii="Calibri" w:eastAsia="Malgun Gothic" w:hAnsi="Calibri" w:cs="Calibri"/>
                <w:sz w:val="22"/>
                <w:lang w:eastAsia="ko-KR"/>
              </w:rPr>
              <w:t>4</w:t>
            </w:r>
          </w:p>
        </w:tc>
        <w:tc>
          <w:tcPr>
            <w:tcW w:w="2623" w:type="pct"/>
          </w:tcPr>
          <w:p w14:paraId="0E545191" w14:textId="77777777" w:rsidR="00011742" w:rsidRPr="00806588" w:rsidRDefault="00011742" w:rsidP="00806588">
            <w:pPr>
              <w:adjustRightInd w:val="0"/>
              <w:snapToGrid w:val="0"/>
              <w:spacing w:after="0" w:line="240" w:lineRule="auto"/>
              <w:rPr>
                <w:rFonts w:ascii="Calibri" w:eastAsia="Times New Roman" w:hAnsi="Calibri" w:cs="Calibri"/>
                <w:sz w:val="22"/>
              </w:rPr>
            </w:pPr>
            <w:r w:rsidRPr="00806588">
              <w:rPr>
                <w:rFonts w:ascii="Calibri" w:hAnsi="Calibri" w:cs="Calibri"/>
                <w:sz w:val="22"/>
              </w:rPr>
              <w:t>Develop an MP equivalent to HCR 14 (EPO at 22,500) but with 0-10°S on fixed effort (2014-2023) instead of catch, and that achieves the iTRP in the long-term.</w:t>
            </w:r>
          </w:p>
        </w:tc>
        <w:tc>
          <w:tcPr>
            <w:tcW w:w="1927" w:type="pct"/>
          </w:tcPr>
          <w:p w14:paraId="53C9EFFB" w14:textId="77777777" w:rsidR="00011742" w:rsidRPr="00806588" w:rsidRDefault="00011742" w:rsidP="00806588">
            <w:pPr>
              <w:adjustRightInd w:val="0"/>
              <w:snapToGrid w:val="0"/>
              <w:spacing w:after="0" w:line="240" w:lineRule="auto"/>
              <w:rPr>
                <w:rFonts w:ascii="Calibri" w:eastAsia="Times New Roman" w:hAnsi="Calibri" w:cs="Calibri"/>
                <w:sz w:val="22"/>
              </w:rPr>
            </w:pPr>
          </w:p>
        </w:tc>
      </w:tr>
      <w:tr w:rsidR="00011742" w:rsidRPr="00806588" w14:paraId="26BB241A" w14:textId="77777777" w:rsidTr="00571D80">
        <w:tc>
          <w:tcPr>
            <w:tcW w:w="450" w:type="pct"/>
          </w:tcPr>
          <w:p w14:paraId="2BAD671A" w14:textId="77777777" w:rsidR="00011742" w:rsidRPr="00806588" w:rsidRDefault="00011742" w:rsidP="00806588">
            <w:pPr>
              <w:pStyle w:val="ListParagraph"/>
              <w:adjustRightInd w:val="0"/>
              <w:snapToGrid w:val="0"/>
              <w:spacing w:after="0" w:line="240" w:lineRule="auto"/>
              <w:ind w:left="0"/>
              <w:contextualSpacing w:val="0"/>
              <w:jc w:val="center"/>
              <w:rPr>
                <w:rFonts w:ascii="Calibri" w:eastAsia="Malgun Gothic" w:hAnsi="Calibri" w:cs="Calibri"/>
                <w:sz w:val="22"/>
                <w:lang w:eastAsia="ko-KR"/>
              </w:rPr>
            </w:pPr>
            <w:r w:rsidRPr="00806588">
              <w:rPr>
                <w:rFonts w:ascii="Calibri" w:eastAsia="Malgun Gothic" w:hAnsi="Calibri" w:cs="Calibri"/>
                <w:sz w:val="22"/>
                <w:lang w:eastAsia="ko-KR"/>
              </w:rPr>
              <w:lastRenderedPageBreak/>
              <w:t>5</w:t>
            </w:r>
          </w:p>
        </w:tc>
        <w:tc>
          <w:tcPr>
            <w:tcW w:w="2623" w:type="pct"/>
          </w:tcPr>
          <w:p w14:paraId="365913BB" w14:textId="77777777" w:rsidR="00011742" w:rsidRPr="00806588" w:rsidRDefault="00011742" w:rsidP="00806588">
            <w:pPr>
              <w:adjustRightInd w:val="0"/>
              <w:snapToGrid w:val="0"/>
              <w:spacing w:after="0" w:line="240" w:lineRule="auto"/>
              <w:rPr>
                <w:rFonts w:ascii="Calibri" w:eastAsia="Times New Roman" w:hAnsi="Calibri" w:cs="Calibri"/>
                <w:sz w:val="22"/>
              </w:rPr>
            </w:pPr>
            <w:r w:rsidRPr="00806588">
              <w:rPr>
                <w:rFonts w:ascii="Calibri" w:hAnsi="Calibri" w:cs="Calibri"/>
                <w:sz w:val="22"/>
                <w:lang w:val="en-AU"/>
              </w:rPr>
              <w:t>Run HCR7 with no constraint</w:t>
            </w:r>
          </w:p>
        </w:tc>
        <w:tc>
          <w:tcPr>
            <w:tcW w:w="1927" w:type="pct"/>
          </w:tcPr>
          <w:p w14:paraId="1256CB1F" w14:textId="77777777" w:rsidR="00011742" w:rsidRPr="00806588" w:rsidRDefault="00011742" w:rsidP="00806588">
            <w:pPr>
              <w:adjustRightInd w:val="0"/>
              <w:snapToGrid w:val="0"/>
              <w:spacing w:after="0" w:line="240" w:lineRule="auto"/>
              <w:rPr>
                <w:rFonts w:ascii="Calibri" w:eastAsia="Times New Roman" w:hAnsi="Calibri" w:cs="Calibri"/>
                <w:sz w:val="22"/>
              </w:rPr>
            </w:pPr>
            <w:r w:rsidRPr="00806588">
              <w:rPr>
                <w:rFonts w:ascii="Calibri" w:hAnsi="Calibri" w:cs="Calibri"/>
                <w:sz w:val="22"/>
              </w:rPr>
              <w:t>If the new baseline excludes TK and TV, #</w:t>
            </w:r>
            <w:r w:rsidRPr="00806588">
              <w:rPr>
                <w:rFonts w:ascii="Calibri" w:hAnsi="Calibri" w:cs="Calibri"/>
                <w:sz w:val="22"/>
                <w:lang w:eastAsia="ko-KR"/>
              </w:rPr>
              <w:t>1</w:t>
            </w:r>
            <w:r w:rsidRPr="00806588">
              <w:rPr>
                <w:rFonts w:ascii="Calibri" w:hAnsi="Calibri" w:cs="Calibri"/>
                <w:sz w:val="22"/>
              </w:rPr>
              <w:t xml:space="preserve"> will need to be done first </w:t>
            </w:r>
          </w:p>
        </w:tc>
      </w:tr>
      <w:tr w:rsidR="00011742" w:rsidRPr="00806588" w14:paraId="59704A9F" w14:textId="77777777" w:rsidTr="00571D80">
        <w:tc>
          <w:tcPr>
            <w:tcW w:w="450" w:type="pct"/>
          </w:tcPr>
          <w:p w14:paraId="7464C9FE" w14:textId="77777777" w:rsidR="00011742" w:rsidRPr="00806588" w:rsidRDefault="00011742" w:rsidP="00806588">
            <w:pPr>
              <w:pStyle w:val="ListParagraph"/>
              <w:adjustRightInd w:val="0"/>
              <w:snapToGrid w:val="0"/>
              <w:spacing w:after="0" w:line="240" w:lineRule="auto"/>
              <w:ind w:left="0"/>
              <w:contextualSpacing w:val="0"/>
              <w:jc w:val="center"/>
              <w:rPr>
                <w:rFonts w:ascii="Calibri" w:eastAsia="Malgun Gothic" w:hAnsi="Calibri" w:cs="Calibri"/>
                <w:sz w:val="22"/>
                <w:lang w:eastAsia="ko-KR"/>
              </w:rPr>
            </w:pPr>
            <w:r w:rsidRPr="00806588">
              <w:rPr>
                <w:rFonts w:ascii="Calibri" w:eastAsia="Malgun Gothic" w:hAnsi="Calibri" w:cs="Calibri"/>
                <w:sz w:val="22"/>
                <w:lang w:eastAsia="ko-KR"/>
              </w:rPr>
              <w:t>6</w:t>
            </w:r>
          </w:p>
        </w:tc>
        <w:tc>
          <w:tcPr>
            <w:tcW w:w="2623" w:type="pct"/>
          </w:tcPr>
          <w:p w14:paraId="59A5F93A" w14:textId="389F0C5B" w:rsidR="00011742" w:rsidRPr="00806588" w:rsidRDefault="00011742" w:rsidP="00806588">
            <w:pPr>
              <w:adjustRightInd w:val="0"/>
              <w:snapToGrid w:val="0"/>
              <w:spacing w:after="0" w:line="240" w:lineRule="auto"/>
              <w:rPr>
                <w:rFonts w:ascii="Calibri" w:hAnsi="Calibri" w:cs="Calibri"/>
                <w:sz w:val="22"/>
                <w:lang w:val="en-AU"/>
              </w:rPr>
            </w:pPr>
            <w:r w:rsidRPr="00806588">
              <w:rPr>
                <w:rFonts w:ascii="Calibri" w:hAnsi="Calibri" w:cs="Calibri"/>
                <w:sz w:val="22"/>
                <w:lang w:val="en-AU"/>
              </w:rPr>
              <w:t xml:space="preserve">Update SPAMPLE to include </w:t>
            </w:r>
            <w:r w:rsidR="00CC73D8" w:rsidRPr="00806588">
              <w:rPr>
                <w:rFonts w:ascii="Calibri" w:hAnsi="Calibri" w:cs="Calibri"/>
                <w:sz w:val="22"/>
                <w:lang w:val="en-AU"/>
              </w:rPr>
              <w:t xml:space="preserve">the </w:t>
            </w:r>
            <w:r w:rsidRPr="00806588">
              <w:rPr>
                <w:rFonts w:ascii="Calibri" w:hAnsi="Calibri" w:cs="Calibri"/>
                <w:sz w:val="22"/>
                <w:lang w:val="en-AU"/>
              </w:rPr>
              <w:t>full suite of considered MPs</w:t>
            </w:r>
          </w:p>
        </w:tc>
        <w:tc>
          <w:tcPr>
            <w:tcW w:w="1927" w:type="pct"/>
          </w:tcPr>
          <w:p w14:paraId="4F570BE6" w14:textId="77777777" w:rsidR="00011742" w:rsidRPr="00806588" w:rsidRDefault="00011742" w:rsidP="00806588">
            <w:pPr>
              <w:adjustRightInd w:val="0"/>
              <w:snapToGrid w:val="0"/>
              <w:spacing w:after="0" w:line="240" w:lineRule="auto"/>
              <w:rPr>
                <w:rFonts w:ascii="Calibri" w:hAnsi="Calibri" w:cs="Calibri"/>
                <w:sz w:val="22"/>
              </w:rPr>
            </w:pPr>
          </w:p>
        </w:tc>
      </w:tr>
      <w:tr w:rsidR="00011742" w:rsidRPr="00806588" w14:paraId="0E1DCCBF" w14:textId="77777777" w:rsidTr="00571D80">
        <w:tc>
          <w:tcPr>
            <w:tcW w:w="450" w:type="pct"/>
            <w:shd w:val="clear" w:color="auto" w:fill="D9D9D9" w:themeFill="background1" w:themeFillShade="D9"/>
          </w:tcPr>
          <w:p w14:paraId="43EBAE52" w14:textId="77777777" w:rsidR="00011742" w:rsidRPr="00806588" w:rsidRDefault="00011742" w:rsidP="00806588">
            <w:pPr>
              <w:pStyle w:val="ListParagraph"/>
              <w:adjustRightInd w:val="0"/>
              <w:snapToGrid w:val="0"/>
              <w:spacing w:after="0" w:line="240" w:lineRule="auto"/>
              <w:ind w:left="0"/>
              <w:contextualSpacing w:val="0"/>
              <w:jc w:val="center"/>
              <w:rPr>
                <w:rFonts w:ascii="Calibri" w:eastAsia="Malgun Gothic" w:hAnsi="Calibri" w:cs="Calibri"/>
                <w:sz w:val="22"/>
                <w:lang w:eastAsia="ko-KR"/>
              </w:rPr>
            </w:pPr>
          </w:p>
        </w:tc>
        <w:tc>
          <w:tcPr>
            <w:tcW w:w="2623" w:type="pct"/>
            <w:shd w:val="clear" w:color="auto" w:fill="D9D9D9" w:themeFill="background1" w:themeFillShade="D9"/>
          </w:tcPr>
          <w:p w14:paraId="438B6398" w14:textId="77777777" w:rsidR="00011742" w:rsidRPr="00806588" w:rsidRDefault="00011742" w:rsidP="00806588">
            <w:pPr>
              <w:adjustRightInd w:val="0"/>
              <w:snapToGrid w:val="0"/>
              <w:spacing w:after="0" w:line="240" w:lineRule="auto"/>
              <w:rPr>
                <w:rFonts w:ascii="Calibri" w:hAnsi="Calibri" w:cs="Calibri"/>
                <w:sz w:val="22"/>
              </w:rPr>
            </w:pPr>
            <w:r w:rsidRPr="00806588">
              <w:rPr>
                <w:rFonts w:ascii="Calibri" w:hAnsi="Calibri" w:cs="Calibri"/>
                <w:b/>
                <w:bCs/>
                <w:sz w:val="22"/>
              </w:rPr>
              <w:t>Essential SSP activities prior to WCPFC22</w:t>
            </w:r>
          </w:p>
        </w:tc>
        <w:tc>
          <w:tcPr>
            <w:tcW w:w="1927" w:type="pct"/>
            <w:shd w:val="clear" w:color="auto" w:fill="D9D9D9" w:themeFill="background1" w:themeFillShade="D9"/>
          </w:tcPr>
          <w:p w14:paraId="557895F5" w14:textId="77777777" w:rsidR="00011742" w:rsidRPr="00806588" w:rsidRDefault="00011742" w:rsidP="00806588">
            <w:pPr>
              <w:adjustRightInd w:val="0"/>
              <w:snapToGrid w:val="0"/>
              <w:spacing w:after="0" w:line="240" w:lineRule="auto"/>
              <w:jc w:val="center"/>
              <w:rPr>
                <w:rFonts w:ascii="Calibri" w:hAnsi="Calibri" w:cs="Calibri"/>
                <w:sz w:val="22"/>
              </w:rPr>
            </w:pPr>
            <w:r w:rsidRPr="00806588">
              <w:rPr>
                <w:rFonts w:ascii="Calibri" w:eastAsia="Malgun Gothic" w:hAnsi="Calibri" w:cs="Calibri"/>
                <w:b/>
                <w:bCs/>
                <w:sz w:val="22"/>
                <w:lang w:eastAsia="ko-KR"/>
              </w:rPr>
              <w:t>Notes</w:t>
            </w:r>
          </w:p>
        </w:tc>
      </w:tr>
      <w:tr w:rsidR="00011742" w:rsidRPr="00806588" w14:paraId="4BAE6D83" w14:textId="77777777" w:rsidTr="00571D80">
        <w:tc>
          <w:tcPr>
            <w:tcW w:w="450" w:type="pct"/>
          </w:tcPr>
          <w:p w14:paraId="28446EB7" w14:textId="77777777" w:rsidR="00011742" w:rsidRPr="00806588" w:rsidRDefault="00011742" w:rsidP="00806588">
            <w:pPr>
              <w:pStyle w:val="ListParagraph"/>
              <w:adjustRightInd w:val="0"/>
              <w:snapToGrid w:val="0"/>
              <w:spacing w:after="0" w:line="240" w:lineRule="auto"/>
              <w:ind w:left="0"/>
              <w:contextualSpacing w:val="0"/>
              <w:jc w:val="center"/>
              <w:rPr>
                <w:rFonts w:ascii="Calibri" w:eastAsia="Times New Roman" w:hAnsi="Calibri" w:cs="Calibri"/>
                <w:sz w:val="22"/>
              </w:rPr>
            </w:pPr>
          </w:p>
        </w:tc>
        <w:tc>
          <w:tcPr>
            <w:tcW w:w="2623" w:type="pct"/>
          </w:tcPr>
          <w:p w14:paraId="64582637" w14:textId="77777777" w:rsidR="00011742" w:rsidRPr="00806588" w:rsidRDefault="00011742" w:rsidP="00806588">
            <w:pPr>
              <w:adjustRightInd w:val="0"/>
              <w:snapToGrid w:val="0"/>
              <w:spacing w:after="0" w:line="240" w:lineRule="auto"/>
              <w:rPr>
                <w:rFonts w:ascii="Calibri" w:eastAsia="Times New Roman" w:hAnsi="Calibri" w:cs="Calibri"/>
                <w:sz w:val="22"/>
              </w:rPr>
            </w:pPr>
            <w:r w:rsidRPr="00806588">
              <w:rPr>
                <w:rFonts w:ascii="Calibri" w:hAnsi="Calibri" w:cs="Calibri"/>
                <w:sz w:val="22"/>
              </w:rPr>
              <w:t>Run the estimation method using data up to 2023 and calculate the output from all candidate MPs</w:t>
            </w:r>
          </w:p>
        </w:tc>
        <w:tc>
          <w:tcPr>
            <w:tcW w:w="1927" w:type="pct"/>
          </w:tcPr>
          <w:p w14:paraId="24BEED9D" w14:textId="77777777" w:rsidR="00011742" w:rsidRPr="00806588" w:rsidRDefault="00011742" w:rsidP="00806588">
            <w:pPr>
              <w:adjustRightInd w:val="0"/>
              <w:snapToGrid w:val="0"/>
              <w:spacing w:after="0" w:line="240" w:lineRule="auto"/>
              <w:rPr>
                <w:rFonts w:ascii="Calibri" w:eastAsia="Times New Roman" w:hAnsi="Calibri" w:cs="Calibri"/>
                <w:sz w:val="22"/>
              </w:rPr>
            </w:pPr>
            <w:r w:rsidRPr="00806588">
              <w:rPr>
                <w:rFonts w:ascii="Calibri" w:hAnsi="Calibri" w:cs="Calibri"/>
                <w:sz w:val="22"/>
              </w:rPr>
              <w:t>This needs to be done to meet the harvest strategy workplan timetable.</w:t>
            </w:r>
          </w:p>
        </w:tc>
      </w:tr>
    </w:tbl>
    <w:p w14:paraId="7DAC0D62" w14:textId="77777777" w:rsidR="00011742" w:rsidRPr="00806588" w:rsidRDefault="00011742" w:rsidP="00806588">
      <w:pPr>
        <w:adjustRightInd w:val="0"/>
        <w:snapToGrid w:val="0"/>
        <w:spacing w:after="0" w:line="240" w:lineRule="auto"/>
        <w:rPr>
          <w:rFonts w:ascii="Calibri" w:eastAsia="Malgun Gothic" w:hAnsi="Calibri" w:cs="Calibri"/>
          <w:sz w:val="22"/>
          <w:lang w:eastAsia="ko-KR"/>
        </w:rPr>
      </w:pPr>
    </w:p>
    <w:p w14:paraId="4C8A5DCA" w14:textId="6CE4CA35" w:rsidR="00011742"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hAnsi="Calibri" w:cs="Calibri"/>
          <w:sz w:val="22"/>
        </w:rPr>
        <w:t>The</w:t>
      </w:r>
      <w:r w:rsidRPr="00806588">
        <w:rPr>
          <w:rFonts w:ascii="Calibri" w:eastAsia="Malgun Gothic" w:hAnsi="Calibri" w:cs="Calibri"/>
          <w:sz w:val="22"/>
          <w:lang w:eastAsia="ko-KR"/>
        </w:rPr>
        <w:t xml:space="preserve"> Co-Chair, </w:t>
      </w:r>
      <w:r w:rsidR="00CC73D8" w:rsidRPr="00806588">
        <w:rPr>
          <w:rFonts w:ascii="Calibri" w:eastAsia="Malgun Gothic" w:hAnsi="Calibri" w:cs="Calibri"/>
          <w:sz w:val="22"/>
          <w:lang w:eastAsia="ko-KR"/>
        </w:rPr>
        <w:t xml:space="preserve">Ms </w:t>
      </w:r>
      <w:r w:rsidRPr="00806588">
        <w:rPr>
          <w:rFonts w:ascii="Calibri" w:eastAsia="Malgun Gothic" w:hAnsi="Calibri" w:cs="Calibri"/>
          <w:sz w:val="22"/>
          <w:lang w:eastAsia="ko-KR"/>
        </w:rPr>
        <w:t>Emily Crigler (USA)</w:t>
      </w:r>
      <w:r w:rsidR="00CC73D8" w:rsidRPr="00806588">
        <w:rPr>
          <w:rFonts w:ascii="Calibri" w:eastAsia="Malgun Gothic" w:hAnsi="Calibri" w:cs="Calibri"/>
          <w:sz w:val="22"/>
          <w:lang w:eastAsia="ko-KR"/>
        </w:rPr>
        <w:t>,</w:t>
      </w:r>
      <w:r w:rsidRPr="00806588">
        <w:rPr>
          <w:rFonts w:ascii="Calibri" w:eastAsia="Malgun Gothic" w:hAnsi="Calibri" w:cs="Calibri"/>
          <w:sz w:val="22"/>
          <w:lang w:eastAsia="ko-KR"/>
        </w:rPr>
        <w:t xml:space="preserve"> opened Agenda Item 2 by introducing the additional analyses of candidate </w:t>
      </w:r>
      <w:r w:rsidRPr="00571D80">
        <w:rPr>
          <w:rFonts w:ascii="Calibri" w:hAnsi="Calibri" w:cs="Calibri"/>
          <w:sz w:val="22"/>
        </w:rPr>
        <w:t>management</w:t>
      </w:r>
      <w:r w:rsidRPr="00806588">
        <w:rPr>
          <w:rFonts w:ascii="Calibri" w:eastAsia="Malgun Gothic" w:hAnsi="Calibri" w:cs="Calibri"/>
          <w:sz w:val="22"/>
          <w:lang w:eastAsia="ko-KR"/>
        </w:rPr>
        <w:t xml:space="preserve"> procedures (MPs) prepared by </w:t>
      </w:r>
      <w:r w:rsidR="00CC73D8" w:rsidRPr="00806588">
        <w:rPr>
          <w:rFonts w:ascii="Calibri" w:eastAsia="Malgun Gothic" w:hAnsi="Calibri" w:cs="Calibri"/>
          <w:sz w:val="22"/>
          <w:lang w:eastAsia="ko-KR"/>
        </w:rPr>
        <w:t xml:space="preserve">the SSP, </w:t>
      </w:r>
      <w:r w:rsidRPr="00806588">
        <w:rPr>
          <w:rFonts w:ascii="Calibri" w:eastAsia="Malgun Gothic" w:hAnsi="Calibri" w:cs="Calibri"/>
          <w:sz w:val="22"/>
          <w:lang w:eastAsia="ko-KR"/>
        </w:rPr>
        <w:t xml:space="preserve">following requests from </w:t>
      </w:r>
      <w:r w:rsidR="00806588" w:rsidRPr="00806588">
        <w:rPr>
          <w:rFonts w:ascii="Calibri" w:eastAsia="Malgun Gothic" w:hAnsi="Calibri" w:cs="Calibri"/>
          <w:sz w:val="22"/>
          <w:lang w:eastAsia="ko-KR"/>
        </w:rPr>
        <w:t>SPAMWS01</w:t>
      </w:r>
      <w:r w:rsidRPr="00806588">
        <w:rPr>
          <w:rFonts w:ascii="Calibri" w:eastAsia="Malgun Gothic" w:hAnsi="Calibri" w:cs="Calibri"/>
          <w:sz w:val="22"/>
          <w:lang w:eastAsia="ko-KR"/>
        </w:rPr>
        <w:t xml:space="preserve">. </w:t>
      </w:r>
      <w:r w:rsidR="00CC73D8" w:rsidRPr="00806588">
        <w:rPr>
          <w:rFonts w:ascii="Calibri" w:eastAsia="Malgun Gothic" w:hAnsi="Calibri" w:cs="Calibri"/>
          <w:sz w:val="22"/>
          <w:lang w:eastAsia="ko-KR"/>
        </w:rPr>
        <w:t>The SSP</w:t>
      </w:r>
      <w:r w:rsidRPr="00806588">
        <w:rPr>
          <w:rFonts w:ascii="Calibri" w:eastAsia="Malgun Gothic" w:hAnsi="Calibri" w:cs="Calibri"/>
          <w:sz w:val="22"/>
          <w:lang w:eastAsia="ko-KR"/>
        </w:rPr>
        <w:t xml:space="preserve"> presented updated evaluations contained in </w:t>
      </w:r>
      <w:hyperlink r:id="rId11" w:history="1">
        <w:r w:rsidRPr="00806588">
          <w:rPr>
            <w:rStyle w:val="Hyperlink"/>
            <w:rFonts w:ascii="Calibri" w:eastAsia="Malgun Gothic" w:hAnsi="Calibri" w:cs="Calibri"/>
            <w:sz w:val="22"/>
            <w:lang w:eastAsia="ko-KR"/>
          </w:rPr>
          <w:t>SPAMWS02-WP-01</w:t>
        </w:r>
      </w:hyperlink>
      <w:r w:rsidRPr="00806588">
        <w:rPr>
          <w:rFonts w:ascii="Calibri" w:eastAsia="Malgun Gothic" w:hAnsi="Calibri" w:cs="Calibri"/>
          <w:sz w:val="22"/>
          <w:lang w:eastAsia="ko-KR"/>
        </w:rPr>
        <w:t xml:space="preserve">. </w:t>
      </w:r>
    </w:p>
    <w:p w14:paraId="733CEB84" w14:textId="77777777" w:rsidR="00011742" w:rsidRPr="00806588" w:rsidRDefault="00011742" w:rsidP="00806588">
      <w:pPr>
        <w:adjustRightInd w:val="0"/>
        <w:snapToGrid w:val="0"/>
        <w:spacing w:after="0" w:line="240" w:lineRule="auto"/>
        <w:rPr>
          <w:rFonts w:ascii="Calibri" w:eastAsia="Malgun Gothic" w:hAnsi="Calibri" w:cs="Calibri"/>
          <w:sz w:val="22"/>
          <w:lang w:eastAsia="ko-KR"/>
        </w:rPr>
      </w:pPr>
    </w:p>
    <w:p w14:paraId="03241EB1" w14:textId="5166D1C3" w:rsidR="00011742"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hAnsi="Calibri" w:cs="Calibri"/>
          <w:sz w:val="22"/>
        </w:rPr>
        <w:t xml:space="preserve">The </w:t>
      </w:r>
      <w:r w:rsidR="00CC73D8" w:rsidRPr="00806588">
        <w:rPr>
          <w:rFonts w:ascii="Calibri" w:hAnsi="Calibri" w:cs="Calibri"/>
          <w:sz w:val="22"/>
        </w:rPr>
        <w:t xml:space="preserve">SSP’s presentation focused </w:t>
      </w:r>
      <w:r w:rsidRPr="00806588">
        <w:rPr>
          <w:rFonts w:ascii="Calibri" w:eastAsia="Malgun Gothic" w:hAnsi="Calibri" w:cs="Calibri"/>
          <w:sz w:val="22"/>
          <w:lang w:eastAsia="ko-KR"/>
        </w:rPr>
        <w:t xml:space="preserve">on three “streams” defined </w:t>
      </w:r>
      <w:r w:rsidR="00CC73D8" w:rsidRPr="00806588">
        <w:rPr>
          <w:rFonts w:ascii="Calibri" w:eastAsia="Malgun Gothic" w:hAnsi="Calibri" w:cs="Calibri"/>
          <w:sz w:val="22"/>
          <w:lang w:eastAsia="ko-KR"/>
        </w:rPr>
        <w:t xml:space="preserve">by </w:t>
      </w:r>
      <w:r w:rsidR="00CC73D8" w:rsidRPr="00806588">
        <w:rPr>
          <w:rFonts w:ascii="Calibri" w:hAnsi="Calibri" w:cs="Calibri"/>
          <w:sz w:val="22"/>
        </w:rPr>
        <w:t>the area of application of the SPA MP and the assumption made about future levels of albacore catch</w:t>
      </w:r>
      <w:r w:rsidRPr="00806588">
        <w:rPr>
          <w:rFonts w:ascii="Calibri" w:eastAsia="Malgun Gothic" w:hAnsi="Calibri" w:cs="Calibri"/>
          <w:sz w:val="22"/>
          <w:lang w:eastAsia="ko-KR"/>
        </w:rPr>
        <w:t xml:space="preserve">. The presentation </w:t>
      </w:r>
      <w:r w:rsidR="00806588">
        <w:rPr>
          <w:rFonts w:ascii="Calibri" w:eastAsia="Malgun Gothic" w:hAnsi="Calibri" w:cs="Calibri"/>
          <w:sz w:val="22"/>
          <w:lang w:eastAsia="ko-KR"/>
        </w:rPr>
        <w:t xml:space="preserve">focused on the stream that excludes the Tokelau and Tuvalu EEZ slivers south of 10°S, noting that the results were highly similar to those of </w:t>
      </w:r>
      <w:r w:rsidRPr="00806588">
        <w:rPr>
          <w:rFonts w:ascii="Calibri" w:eastAsia="Malgun Gothic" w:hAnsi="Calibri" w:cs="Calibri"/>
          <w:sz w:val="22"/>
          <w:lang w:eastAsia="ko-KR"/>
        </w:rPr>
        <w:t xml:space="preserve">the stream that includes them, allowing a common MP to be used across both. Four </w:t>
      </w:r>
      <w:r w:rsidR="00FF1867" w:rsidRPr="00806588">
        <w:rPr>
          <w:rFonts w:ascii="Calibri" w:eastAsia="Malgun Gothic" w:hAnsi="Calibri" w:cs="Calibri"/>
          <w:sz w:val="22"/>
          <w:lang w:eastAsia="ko-KR"/>
        </w:rPr>
        <w:t xml:space="preserve">main </w:t>
      </w:r>
      <w:r w:rsidRPr="00806588">
        <w:rPr>
          <w:rFonts w:ascii="Calibri" w:eastAsia="Malgun Gothic" w:hAnsi="Calibri" w:cs="Calibri"/>
          <w:sz w:val="22"/>
          <w:lang w:eastAsia="ko-KR"/>
        </w:rPr>
        <w:t>MPs were evaluated using consistent baseline assumptions for future albacore catches in the EPO (18,000 t) and the 0–10°S region (9,000 t plus 667 t for Tokelau/Tuvalu</w:t>
      </w:r>
      <w:r w:rsidR="00FF1867" w:rsidRPr="00806588">
        <w:rPr>
          <w:rFonts w:ascii="Calibri" w:eastAsia="Malgun Gothic" w:hAnsi="Calibri" w:cs="Calibri"/>
          <w:sz w:val="22"/>
          <w:lang w:eastAsia="ko-KR"/>
        </w:rPr>
        <w:t>’s southern slivers</w:t>
      </w:r>
      <w:r w:rsidRPr="00806588">
        <w:rPr>
          <w:rFonts w:ascii="Calibri" w:eastAsia="Malgun Gothic" w:hAnsi="Calibri" w:cs="Calibri"/>
          <w:sz w:val="22"/>
          <w:lang w:eastAsia="ko-KR"/>
        </w:rPr>
        <w:t xml:space="preserve">). These MPs—three catch-based and one effort-based—were each designed to achieve different target reference points (lower, upper, or interim TRP) under specified stability constraints. All four MPs maintained a probability above 0.8 of staying above the limit reference point (LRP), meeting </w:t>
      </w:r>
      <w:r w:rsidR="00806588">
        <w:rPr>
          <w:rFonts w:ascii="Calibri" w:eastAsia="Malgun Gothic" w:hAnsi="Calibri" w:cs="Calibri"/>
          <w:sz w:val="22"/>
          <w:lang w:eastAsia="ko-KR"/>
        </w:rPr>
        <w:t>the WCPFC requirements; however,</w:t>
      </w:r>
      <w:r w:rsidRPr="00806588">
        <w:rPr>
          <w:rFonts w:ascii="Calibri" w:eastAsia="Malgun Gothic" w:hAnsi="Calibri" w:cs="Calibri"/>
          <w:sz w:val="22"/>
          <w:lang w:eastAsia="ko-KR"/>
        </w:rPr>
        <w:t xml:space="preserve"> HCR10 showed the lowest probability and approached the threshold more closely. Results also demonstrated expected trade-offs between long-term catch levels and stock status indicators such as SB</w:t>
      </w:r>
      <w:r w:rsidRPr="00806588">
        <w:rPr>
          <w:rFonts w:ascii="Calibri" w:eastAsia="Malgun Gothic" w:hAnsi="Calibri" w:cs="Calibri"/>
          <w:sz w:val="22"/>
          <w:vertAlign w:val="subscript"/>
          <w:lang w:eastAsia="ko-KR"/>
        </w:rPr>
        <w:t>F=0</w:t>
      </w:r>
      <w:r w:rsidRPr="00806588">
        <w:rPr>
          <w:rFonts w:ascii="Calibri" w:eastAsia="Malgun Gothic" w:hAnsi="Calibri" w:cs="Calibri"/>
          <w:sz w:val="22"/>
          <w:lang w:eastAsia="ko-KR"/>
        </w:rPr>
        <w:t xml:space="preserve"> and vulnerable biomass.</w:t>
      </w:r>
    </w:p>
    <w:p w14:paraId="1BBA29F8" w14:textId="77777777" w:rsidR="00011742" w:rsidRPr="00806588" w:rsidRDefault="00011742" w:rsidP="00806588">
      <w:pPr>
        <w:adjustRightInd w:val="0"/>
        <w:snapToGrid w:val="0"/>
        <w:spacing w:after="0" w:line="240" w:lineRule="auto"/>
        <w:rPr>
          <w:rFonts w:ascii="Calibri" w:eastAsia="Malgun Gothic" w:hAnsi="Calibri" w:cs="Calibri"/>
          <w:sz w:val="22"/>
          <w:lang w:eastAsia="ko-KR"/>
        </w:rPr>
      </w:pPr>
    </w:p>
    <w:p w14:paraId="11708A2E" w14:textId="77777777" w:rsidR="00571D80"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A </w:t>
      </w:r>
      <w:r w:rsidRPr="00806588">
        <w:rPr>
          <w:rFonts w:ascii="Calibri" w:hAnsi="Calibri" w:cs="Calibri"/>
          <w:sz w:val="22"/>
        </w:rPr>
        <w:t>series</w:t>
      </w:r>
      <w:r w:rsidRPr="00806588">
        <w:rPr>
          <w:rFonts w:ascii="Calibri" w:eastAsia="Malgun Gothic" w:hAnsi="Calibri" w:cs="Calibri"/>
          <w:sz w:val="22"/>
          <w:lang w:eastAsia="ko-KR"/>
        </w:rPr>
        <w:t xml:space="preserve"> of sensitivity tests examined the robustness of the MPs under higher assumed future catches in the tropical longline fishery (up to 12,000 t plus 667 t) and the EPO (up to 22,500 t). These tests showed </w:t>
      </w:r>
      <w:r w:rsidRPr="00571D80">
        <w:rPr>
          <w:rFonts w:ascii="Calibri" w:hAnsi="Calibri" w:cs="Calibri"/>
          <w:sz w:val="22"/>
        </w:rPr>
        <w:t>modest</w:t>
      </w:r>
      <w:r w:rsidRPr="00806588">
        <w:rPr>
          <w:rFonts w:ascii="Calibri" w:eastAsia="Malgun Gothic" w:hAnsi="Calibri" w:cs="Calibri"/>
          <w:sz w:val="22"/>
          <w:lang w:eastAsia="ko-KR"/>
        </w:rPr>
        <w:t xml:space="preserve"> declines in SB</w:t>
      </w:r>
      <w:r w:rsidRPr="00806588">
        <w:rPr>
          <w:rFonts w:ascii="Calibri" w:eastAsia="Malgun Gothic" w:hAnsi="Calibri" w:cs="Calibri"/>
          <w:sz w:val="22"/>
          <w:vertAlign w:val="subscript"/>
          <w:lang w:eastAsia="ko-KR"/>
        </w:rPr>
        <w:t>F=0</w:t>
      </w:r>
      <w:r w:rsidRPr="00806588">
        <w:rPr>
          <w:rFonts w:ascii="Calibri" w:eastAsia="Malgun Gothic" w:hAnsi="Calibri" w:cs="Calibri"/>
          <w:sz w:val="22"/>
          <w:lang w:eastAsia="ko-KR"/>
        </w:rPr>
        <w:t xml:space="preserve"> and vulnerable biomass, especially when both catch assumptions were increased simultaneously, but MPs generally performed within acceptable bounds and remained above the LRP. </w:t>
      </w:r>
    </w:p>
    <w:p w14:paraId="2571CC79" w14:textId="77777777" w:rsidR="00571D80" w:rsidRPr="00571D80" w:rsidRDefault="00571D80" w:rsidP="00571D80">
      <w:pPr>
        <w:pStyle w:val="ListParagraph"/>
        <w:rPr>
          <w:rFonts w:ascii="Calibri" w:eastAsia="Malgun Gothic" w:hAnsi="Calibri" w:cs="Calibri"/>
          <w:sz w:val="22"/>
          <w:lang w:eastAsia="ko-KR"/>
        </w:rPr>
      </w:pPr>
    </w:p>
    <w:p w14:paraId="4FE8D561" w14:textId="202E430D" w:rsidR="00011742" w:rsidRPr="00806588" w:rsidRDefault="00571D80"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Pr>
          <w:rFonts w:ascii="Calibri" w:eastAsia="Malgun Gothic" w:hAnsi="Calibri" w:cs="Calibri"/>
          <w:sz w:val="22"/>
          <w:lang w:eastAsia="ko-KR"/>
        </w:rPr>
        <w:t>The</w:t>
      </w:r>
      <w:r>
        <w:rPr>
          <w:rFonts w:ascii="Calibri" w:eastAsia="Malgun Gothic" w:hAnsi="Calibri" w:cs="Calibri" w:hint="eastAsia"/>
          <w:sz w:val="22"/>
          <w:lang w:eastAsia="ko-KR"/>
        </w:rPr>
        <w:t xml:space="preserve"> a</w:t>
      </w:r>
      <w:r w:rsidR="00806588">
        <w:rPr>
          <w:rFonts w:ascii="Calibri" w:eastAsia="Malgun Gothic" w:hAnsi="Calibri" w:cs="Calibri"/>
          <w:sz w:val="22"/>
          <w:lang w:eastAsia="ko-KR"/>
        </w:rPr>
        <w:t>dditional</w:t>
      </w:r>
      <w:r w:rsidR="00011742" w:rsidRPr="00806588">
        <w:rPr>
          <w:rFonts w:ascii="Calibri" w:eastAsia="Malgun Gothic" w:hAnsi="Calibri" w:cs="Calibri"/>
          <w:sz w:val="22"/>
          <w:lang w:eastAsia="ko-KR"/>
        </w:rPr>
        <w:t xml:space="preserve"> </w:t>
      </w:r>
      <w:r w:rsidR="00FF1867" w:rsidRPr="00806588">
        <w:rPr>
          <w:rFonts w:ascii="Calibri" w:eastAsia="Malgun Gothic" w:hAnsi="Calibri" w:cs="Calibri"/>
          <w:sz w:val="22"/>
          <w:lang w:eastAsia="ko-KR"/>
        </w:rPr>
        <w:t xml:space="preserve">six </w:t>
      </w:r>
      <w:r w:rsidR="00011742" w:rsidRPr="00806588">
        <w:rPr>
          <w:rFonts w:ascii="Calibri" w:eastAsia="Malgun Gothic" w:hAnsi="Calibri" w:cs="Calibri"/>
          <w:sz w:val="22"/>
          <w:lang w:eastAsia="ko-KR"/>
        </w:rPr>
        <w:t>MPs requested at SC21 and SPAM</w:t>
      </w:r>
      <w:r w:rsidR="00FF1867" w:rsidRPr="00806588">
        <w:rPr>
          <w:rFonts w:ascii="Calibri" w:eastAsia="Malgun Gothic" w:hAnsi="Calibri" w:cs="Calibri"/>
          <w:sz w:val="22"/>
          <w:lang w:eastAsia="ko-KR"/>
        </w:rPr>
        <w:t>WS01</w:t>
      </w:r>
      <w:r w:rsidR="00011742" w:rsidRPr="00806588">
        <w:rPr>
          <w:rFonts w:ascii="Calibri" w:eastAsia="Malgun Gothic" w:hAnsi="Calibri" w:cs="Calibri"/>
          <w:sz w:val="22"/>
          <w:lang w:eastAsia="ko-KR"/>
        </w:rPr>
        <w:t xml:space="preserve"> were also evaluated. These MPs differed from the main set because they were specifically tuned to achieve defined objectives—mostly the interim TRP—</w:t>
      </w:r>
      <w:r w:rsidR="00011742" w:rsidRPr="00571D80">
        <w:rPr>
          <w:rFonts w:ascii="Calibri" w:hAnsi="Calibri" w:cs="Calibri"/>
          <w:sz w:val="22"/>
        </w:rPr>
        <w:t>and</w:t>
      </w:r>
      <w:r w:rsidR="00011742" w:rsidRPr="00806588">
        <w:rPr>
          <w:rFonts w:ascii="Calibri" w:eastAsia="Malgun Gothic" w:hAnsi="Calibri" w:cs="Calibri"/>
          <w:sz w:val="22"/>
          <w:lang w:eastAsia="ko-KR"/>
        </w:rPr>
        <w:t xml:space="preserve"> incorporated alternative assumptions such as fixed future longline effort levels, higher EPO catch assumptions, and scenarios where the troll fishery in the WCPFC area is not managed through the MP. Despite different underlying assumptions, all additional MPs (except the one</w:t>
      </w:r>
      <w:r>
        <w:rPr>
          <w:rFonts w:ascii="Calibri" w:eastAsia="Malgun Gothic" w:hAnsi="Calibri" w:cs="Calibri" w:hint="eastAsia"/>
          <w:sz w:val="22"/>
          <w:lang w:eastAsia="ko-KR"/>
        </w:rPr>
        <w:t>s</w:t>
      </w:r>
      <w:r w:rsidR="00011742" w:rsidRPr="00806588">
        <w:rPr>
          <w:rFonts w:ascii="Calibri" w:eastAsia="Malgun Gothic" w:hAnsi="Calibri" w:cs="Calibri"/>
          <w:sz w:val="22"/>
          <w:lang w:eastAsia="ko-KR"/>
        </w:rPr>
        <w:t xml:space="preserve"> targeting the upper TRP) produced similar biomass outcomes due to </w:t>
      </w:r>
      <w:r w:rsidR="00FF1867" w:rsidRPr="00806588">
        <w:rPr>
          <w:rFonts w:ascii="Calibri" w:eastAsia="Malgun Gothic" w:hAnsi="Calibri" w:cs="Calibri"/>
          <w:sz w:val="22"/>
          <w:lang w:eastAsia="ko-KR"/>
        </w:rPr>
        <w:t xml:space="preserve">the </w:t>
      </w:r>
      <w:r w:rsidR="00011742" w:rsidRPr="00806588">
        <w:rPr>
          <w:rFonts w:ascii="Calibri" w:eastAsia="Malgun Gothic" w:hAnsi="Calibri" w:cs="Calibri"/>
          <w:sz w:val="22"/>
          <w:lang w:eastAsia="ko-KR"/>
        </w:rPr>
        <w:t>shared tuning target</w:t>
      </w:r>
      <w:r w:rsidR="00FF1867" w:rsidRPr="00806588">
        <w:rPr>
          <w:rFonts w:ascii="Calibri" w:eastAsia="Malgun Gothic" w:hAnsi="Calibri" w:cs="Calibri"/>
          <w:sz w:val="22"/>
          <w:lang w:eastAsia="ko-KR"/>
        </w:rPr>
        <w:t xml:space="preserve"> of iTRP</w:t>
      </w:r>
      <w:r w:rsidR="00011742" w:rsidRPr="00806588">
        <w:rPr>
          <w:rFonts w:ascii="Calibri" w:eastAsia="Malgun Gothic" w:hAnsi="Calibri" w:cs="Calibri"/>
          <w:sz w:val="22"/>
          <w:lang w:eastAsia="ko-KR"/>
        </w:rPr>
        <w:t xml:space="preserve">, with </w:t>
      </w:r>
      <w:r w:rsidR="00806588">
        <w:rPr>
          <w:rFonts w:ascii="Calibri" w:eastAsia="Malgun Gothic" w:hAnsi="Calibri" w:cs="Calibri"/>
          <w:sz w:val="22"/>
          <w:lang w:eastAsia="ko-KR"/>
        </w:rPr>
        <w:t>significant</w:t>
      </w:r>
      <w:r w:rsidR="00011742" w:rsidRPr="00806588">
        <w:rPr>
          <w:rFonts w:ascii="Calibri" w:eastAsia="Malgun Gothic" w:hAnsi="Calibri" w:cs="Calibri"/>
          <w:sz w:val="22"/>
          <w:lang w:eastAsia="ko-KR"/>
        </w:rPr>
        <w:t xml:space="preserve"> differences arising primarily in projected future catches.</w:t>
      </w:r>
    </w:p>
    <w:p w14:paraId="324EC341" w14:textId="77777777" w:rsidR="00011742" w:rsidRPr="00806588" w:rsidRDefault="00011742" w:rsidP="00806588">
      <w:pPr>
        <w:adjustRightInd w:val="0"/>
        <w:snapToGrid w:val="0"/>
        <w:spacing w:after="0" w:line="240" w:lineRule="auto"/>
        <w:rPr>
          <w:rFonts w:ascii="Calibri" w:eastAsia="Malgun Gothic" w:hAnsi="Calibri" w:cs="Calibri"/>
          <w:sz w:val="22"/>
          <w:lang w:eastAsia="ko-KR"/>
        </w:rPr>
      </w:pPr>
    </w:p>
    <w:p w14:paraId="1F7E6C94" w14:textId="1B6EA87B" w:rsidR="00571D80" w:rsidRDefault="00571D80"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Pr>
          <w:rFonts w:ascii="Calibri" w:eastAsia="Malgun Gothic" w:hAnsi="Calibri" w:cs="Calibri"/>
          <w:sz w:val="22"/>
          <w:lang w:eastAsia="ko-KR"/>
        </w:rPr>
        <w:t>The estimation method was run using the most recently available data,</w:t>
      </w:r>
      <w:r w:rsidRPr="00806588">
        <w:rPr>
          <w:rFonts w:ascii="Calibri" w:eastAsia="Malgun Gothic" w:hAnsi="Calibri" w:cs="Calibri"/>
          <w:sz w:val="22"/>
          <w:lang w:eastAsia="ko-KR"/>
        </w:rPr>
        <w:t xml:space="preserve"> through 2023, </w:t>
      </w:r>
      <w:r>
        <w:rPr>
          <w:rFonts w:ascii="Calibri" w:eastAsia="Malgun Gothic" w:hAnsi="Calibri" w:cs="Calibri"/>
          <w:sz w:val="22"/>
          <w:lang w:eastAsia="ko-KR"/>
        </w:rPr>
        <w:t>and</w:t>
      </w:r>
      <w:r w:rsidRPr="00806588">
        <w:rPr>
          <w:rFonts w:ascii="Calibri" w:eastAsia="Malgun Gothic" w:hAnsi="Calibri" w:cs="Calibri"/>
          <w:sz w:val="22"/>
          <w:lang w:eastAsia="ko-KR"/>
        </w:rPr>
        <w:t xml:space="preserve"> produced a relative SB</w:t>
      </w:r>
      <w:r w:rsidRPr="00806588">
        <w:rPr>
          <w:rFonts w:ascii="Calibri" w:eastAsia="Malgun Gothic" w:hAnsi="Calibri" w:cs="Calibri"/>
          <w:sz w:val="22"/>
          <w:vertAlign w:val="subscript"/>
          <w:lang w:eastAsia="ko-KR"/>
        </w:rPr>
        <w:t>F=0</w:t>
      </w:r>
      <w:r w:rsidRPr="00806588">
        <w:rPr>
          <w:rFonts w:ascii="Calibri" w:eastAsia="Malgun Gothic" w:hAnsi="Calibri" w:cs="Calibri"/>
          <w:sz w:val="22"/>
          <w:lang w:eastAsia="ko-KR"/>
        </w:rPr>
        <w:t xml:space="preserve"> value of 1.180 (relative to 2017–2019)</w:t>
      </w:r>
      <w:r>
        <w:rPr>
          <w:rFonts w:ascii="Calibri" w:eastAsia="Malgun Gothic" w:hAnsi="Calibri" w:cs="Calibri"/>
          <w:sz w:val="22"/>
          <w:lang w:eastAsia="ko-KR"/>
        </w:rPr>
        <w:t>.</w:t>
      </w:r>
      <w:r w:rsidRPr="00806588">
        <w:rPr>
          <w:rFonts w:ascii="Calibri" w:eastAsia="Malgun Gothic" w:hAnsi="Calibri" w:cs="Calibri"/>
          <w:sz w:val="22"/>
          <w:lang w:eastAsia="ko-KR"/>
        </w:rPr>
        <w:t xml:space="preserve"> </w:t>
      </w:r>
      <w:r>
        <w:rPr>
          <w:rFonts w:ascii="Calibri" w:eastAsia="Malgun Gothic" w:hAnsi="Calibri" w:cs="Calibri"/>
          <w:sz w:val="22"/>
          <w:lang w:eastAsia="ko-KR"/>
        </w:rPr>
        <w:t xml:space="preserve">This </w:t>
      </w:r>
      <w:r w:rsidRPr="00806588">
        <w:rPr>
          <w:rFonts w:ascii="Calibri" w:eastAsia="Malgun Gothic" w:hAnsi="Calibri" w:cs="Calibri"/>
          <w:sz w:val="22"/>
          <w:lang w:eastAsia="ko-KR"/>
        </w:rPr>
        <w:t xml:space="preserve">was then applied </w:t>
      </w:r>
      <w:r>
        <w:rPr>
          <w:rFonts w:ascii="Calibri" w:eastAsia="Malgun Gothic" w:hAnsi="Calibri" w:cs="Calibri"/>
          <w:sz w:val="22"/>
          <w:lang w:eastAsia="ko-KR"/>
        </w:rPr>
        <w:t xml:space="preserve">to </w:t>
      </w:r>
      <w:r w:rsidRPr="00806588">
        <w:rPr>
          <w:rFonts w:ascii="Calibri" w:eastAsia="Malgun Gothic" w:hAnsi="Calibri" w:cs="Calibri"/>
          <w:sz w:val="22"/>
          <w:lang w:eastAsia="ko-KR"/>
        </w:rPr>
        <w:t xml:space="preserve">each </w:t>
      </w:r>
      <w:r>
        <w:rPr>
          <w:rFonts w:ascii="Calibri" w:eastAsia="Malgun Gothic" w:hAnsi="Calibri" w:cs="Calibri"/>
          <w:sz w:val="22"/>
          <w:lang w:eastAsia="ko-KR"/>
        </w:rPr>
        <w:t xml:space="preserve">candidate </w:t>
      </w:r>
      <w:r w:rsidRPr="00806588">
        <w:rPr>
          <w:rFonts w:ascii="Calibri" w:eastAsia="Malgun Gothic" w:hAnsi="Calibri" w:cs="Calibri"/>
          <w:sz w:val="22"/>
          <w:lang w:eastAsia="ko-KR"/>
        </w:rPr>
        <w:t xml:space="preserve">harvest control </w:t>
      </w:r>
      <w:r w:rsidRPr="00571D80">
        <w:rPr>
          <w:rFonts w:ascii="Calibri" w:hAnsi="Calibri" w:cs="Calibri"/>
          <w:sz w:val="22"/>
        </w:rPr>
        <w:t>rule</w:t>
      </w:r>
      <w:r w:rsidRPr="00806588">
        <w:rPr>
          <w:rFonts w:ascii="Calibri" w:eastAsia="Malgun Gothic" w:hAnsi="Calibri" w:cs="Calibri"/>
          <w:sz w:val="22"/>
          <w:lang w:eastAsia="ko-KR"/>
        </w:rPr>
        <w:t xml:space="preserve"> to generate the </w:t>
      </w:r>
      <w:r>
        <w:rPr>
          <w:rFonts w:ascii="Calibri" w:eastAsia="Malgun Gothic" w:hAnsi="Calibri" w:cs="Calibri"/>
          <w:sz w:val="22"/>
          <w:lang w:eastAsia="ko-KR"/>
        </w:rPr>
        <w:t xml:space="preserve">actual </w:t>
      </w:r>
      <w:r w:rsidRPr="00806588">
        <w:rPr>
          <w:rFonts w:ascii="Calibri" w:eastAsia="Malgun Gothic" w:hAnsi="Calibri" w:cs="Calibri"/>
          <w:sz w:val="22"/>
          <w:lang w:eastAsia="ko-KR"/>
        </w:rPr>
        <w:t xml:space="preserve">catch or effort limits </w:t>
      </w:r>
      <w:r>
        <w:rPr>
          <w:rFonts w:ascii="Calibri" w:eastAsia="Malgun Gothic" w:hAnsi="Calibri" w:cs="Calibri"/>
          <w:sz w:val="22"/>
          <w:lang w:eastAsia="ko-KR"/>
        </w:rPr>
        <w:t xml:space="preserve">that would apply </w:t>
      </w:r>
      <w:r w:rsidRPr="00806588">
        <w:rPr>
          <w:rFonts w:ascii="Calibri" w:eastAsia="Malgun Gothic" w:hAnsi="Calibri" w:cs="Calibri"/>
          <w:sz w:val="22"/>
          <w:lang w:eastAsia="ko-KR"/>
        </w:rPr>
        <w:t>for</w:t>
      </w:r>
      <w:r w:rsidR="00011742" w:rsidRPr="00806588">
        <w:rPr>
          <w:rFonts w:ascii="Calibri" w:eastAsia="Malgun Gothic" w:hAnsi="Calibri" w:cs="Calibri"/>
          <w:sz w:val="22"/>
          <w:lang w:eastAsia="ko-KR"/>
        </w:rPr>
        <w:t xml:space="preserve"> the 2026–2028 management period (with constraints applied where relevant). </w:t>
      </w:r>
    </w:p>
    <w:p w14:paraId="5018234F" w14:textId="77777777" w:rsidR="00571D80" w:rsidRPr="00571D80" w:rsidRDefault="00571D80" w:rsidP="00571D80">
      <w:pPr>
        <w:pStyle w:val="ListParagraph"/>
        <w:rPr>
          <w:rFonts w:ascii="Calibri" w:eastAsia="Malgun Gothic" w:hAnsi="Calibri" w:cs="Calibri"/>
          <w:sz w:val="22"/>
          <w:lang w:eastAsia="ko-KR"/>
        </w:rPr>
      </w:pPr>
    </w:p>
    <w:p w14:paraId="78D8214B" w14:textId="7F424667" w:rsidR="00571D80"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The presenter clarified that catch indicators include total catches south of 10°S—even when specific fisheries (e.g., troll fishery or Tokelau/Tuvalu</w:t>
      </w:r>
      <w:r w:rsidR="00FF1867" w:rsidRPr="00806588">
        <w:rPr>
          <w:rFonts w:ascii="Calibri" w:eastAsia="Malgun Gothic" w:hAnsi="Calibri" w:cs="Calibri"/>
          <w:sz w:val="22"/>
          <w:lang w:eastAsia="ko-KR"/>
        </w:rPr>
        <w:t>’s southern EEZ slivers</w:t>
      </w:r>
      <w:r w:rsidRPr="00806588">
        <w:rPr>
          <w:rFonts w:ascii="Calibri" w:eastAsia="Malgun Gothic" w:hAnsi="Calibri" w:cs="Calibri"/>
          <w:sz w:val="22"/>
          <w:lang w:eastAsia="ko-KR"/>
        </w:rPr>
        <w:t xml:space="preserve">) are not governed by the MP. </w:t>
      </w:r>
    </w:p>
    <w:p w14:paraId="16822818" w14:textId="77777777" w:rsidR="00571D80" w:rsidRPr="00571D80" w:rsidRDefault="00571D80" w:rsidP="00571D80">
      <w:pPr>
        <w:pStyle w:val="ListParagraph"/>
        <w:rPr>
          <w:rFonts w:ascii="Calibri" w:eastAsia="Malgun Gothic" w:hAnsi="Calibri" w:cs="Calibri"/>
          <w:sz w:val="22"/>
          <w:lang w:eastAsia="ko-KR"/>
        </w:rPr>
      </w:pPr>
    </w:p>
    <w:p w14:paraId="1656BDA0" w14:textId="77777777" w:rsidR="00571D80"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lastRenderedPageBreak/>
        <w:t xml:space="preserve">Additional discussion addressed questions about catch north of 10°S (which is captured within assumed longline </w:t>
      </w:r>
      <w:r w:rsidRPr="00571D80">
        <w:rPr>
          <w:rFonts w:ascii="Calibri" w:hAnsi="Calibri" w:cs="Calibri"/>
          <w:sz w:val="22"/>
        </w:rPr>
        <w:t>catch</w:t>
      </w:r>
      <w:r w:rsidRPr="00806588">
        <w:rPr>
          <w:rFonts w:ascii="Calibri" w:eastAsia="Malgun Gothic" w:hAnsi="Calibri" w:cs="Calibri"/>
          <w:sz w:val="22"/>
          <w:lang w:eastAsia="ko-KR"/>
        </w:rPr>
        <w:t xml:space="preserve"> levels), historical E</w:t>
      </w:r>
      <w:r w:rsidR="00FF1867" w:rsidRPr="00806588">
        <w:rPr>
          <w:rFonts w:ascii="Calibri" w:eastAsia="Malgun Gothic" w:hAnsi="Calibri" w:cs="Calibri"/>
          <w:sz w:val="22"/>
          <w:lang w:eastAsia="ko-KR"/>
        </w:rPr>
        <w:t>E</w:t>
      </w:r>
      <w:r w:rsidRPr="00806588">
        <w:rPr>
          <w:rFonts w:ascii="Calibri" w:eastAsia="Malgun Gothic" w:hAnsi="Calibri" w:cs="Calibri"/>
          <w:sz w:val="22"/>
          <w:lang w:eastAsia="ko-KR"/>
        </w:rPr>
        <w:t xml:space="preserve">Z/high seas distribution of catch, and the feasibility of producing further analyses requested by CCMs, including reconstructing controlled catches back to 2000 and providing caveats for older effort data. </w:t>
      </w:r>
    </w:p>
    <w:p w14:paraId="18B561B1" w14:textId="77777777" w:rsidR="00571D80" w:rsidRPr="00571D80" w:rsidRDefault="00571D80" w:rsidP="00571D80">
      <w:pPr>
        <w:pStyle w:val="ListParagraph"/>
        <w:rPr>
          <w:rFonts w:ascii="Calibri" w:eastAsia="Malgun Gothic" w:hAnsi="Calibri" w:cs="Calibri"/>
          <w:sz w:val="22"/>
          <w:lang w:eastAsia="ko-KR"/>
        </w:rPr>
      </w:pPr>
    </w:p>
    <w:p w14:paraId="12A5665D" w14:textId="1F3D8652" w:rsidR="00011742"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Further </w:t>
      </w:r>
      <w:r w:rsidRPr="00571D80">
        <w:rPr>
          <w:rFonts w:ascii="Calibri" w:hAnsi="Calibri" w:cs="Calibri"/>
          <w:sz w:val="22"/>
        </w:rPr>
        <w:t>refinements</w:t>
      </w:r>
      <w:r w:rsidRPr="00806588">
        <w:rPr>
          <w:rFonts w:ascii="Calibri" w:eastAsia="Malgun Gothic" w:hAnsi="Calibri" w:cs="Calibri"/>
          <w:sz w:val="22"/>
          <w:lang w:eastAsia="ko-KR"/>
        </w:rPr>
        <w:t xml:space="preserve"> to the </w:t>
      </w:r>
      <w:r w:rsidR="00FF1867" w:rsidRPr="00806588">
        <w:rPr>
          <w:rFonts w:ascii="Calibri" w:eastAsia="Malgun Gothic" w:hAnsi="Calibri" w:cs="Calibri"/>
          <w:sz w:val="22"/>
          <w:lang w:eastAsia="ko-KR"/>
        </w:rPr>
        <w:t xml:space="preserve">working paper </w:t>
      </w:r>
      <w:r w:rsidRPr="00806588">
        <w:rPr>
          <w:rFonts w:ascii="Calibri" w:eastAsia="Malgun Gothic" w:hAnsi="Calibri" w:cs="Calibri"/>
          <w:sz w:val="22"/>
          <w:lang w:eastAsia="ko-KR"/>
        </w:rPr>
        <w:t xml:space="preserve">will be undertaken to ensure that only harvest control rules recommended for </w:t>
      </w:r>
      <w:r w:rsidR="00806588">
        <w:rPr>
          <w:rFonts w:ascii="Calibri" w:eastAsia="Malgun Gothic" w:hAnsi="Calibri" w:cs="Calibri"/>
          <w:sz w:val="22"/>
          <w:lang w:eastAsia="ko-KR"/>
        </w:rPr>
        <w:t xml:space="preserve">the </w:t>
      </w:r>
      <w:r w:rsidRPr="00806588">
        <w:rPr>
          <w:rFonts w:ascii="Calibri" w:eastAsia="Malgun Gothic" w:hAnsi="Calibri" w:cs="Calibri"/>
          <w:sz w:val="22"/>
          <w:lang w:eastAsia="ko-KR"/>
        </w:rPr>
        <w:t>Commission</w:t>
      </w:r>
      <w:r w:rsidR="00FF1867" w:rsidRPr="00806588">
        <w:rPr>
          <w:rFonts w:ascii="Calibri" w:eastAsia="Malgun Gothic" w:hAnsi="Calibri" w:cs="Calibri"/>
          <w:sz w:val="22"/>
          <w:lang w:eastAsia="ko-KR"/>
        </w:rPr>
        <w:t>’s</w:t>
      </w:r>
      <w:r w:rsidRPr="00806588">
        <w:rPr>
          <w:rFonts w:ascii="Calibri" w:eastAsia="Malgun Gothic" w:hAnsi="Calibri" w:cs="Calibri"/>
          <w:sz w:val="22"/>
          <w:lang w:eastAsia="ko-KR"/>
        </w:rPr>
        <w:t xml:space="preserve"> consideration are carried forward to WCPFC22.</w:t>
      </w:r>
    </w:p>
    <w:p w14:paraId="11BC7ABC" w14:textId="77777777" w:rsidR="008115FB" w:rsidRPr="00806588" w:rsidRDefault="008115FB" w:rsidP="00806588">
      <w:pPr>
        <w:pStyle w:val="ListParagraph"/>
        <w:adjustRightInd w:val="0"/>
        <w:snapToGrid w:val="0"/>
        <w:spacing w:after="0" w:line="240" w:lineRule="auto"/>
        <w:contextualSpacing w:val="0"/>
        <w:rPr>
          <w:rFonts w:ascii="Calibri" w:eastAsia="Malgun Gothic" w:hAnsi="Calibri" w:cs="Calibri"/>
          <w:sz w:val="22"/>
          <w:lang w:eastAsia="ko-KR"/>
        </w:rPr>
      </w:pPr>
    </w:p>
    <w:p w14:paraId="58F84877" w14:textId="370747DA" w:rsidR="008115FB" w:rsidRPr="00806588" w:rsidRDefault="00571D80"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hAnsi="Calibri" w:cs="Calibri"/>
          <w:sz w:val="22"/>
        </w:rPr>
        <w:t>Australia</w:t>
      </w:r>
      <w:r w:rsidRPr="00806588">
        <w:rPr>
          <w:rFonts w:ascii="Calibri" w:eastAsia="Malgun Gothic" w:hAnsi="Calibri" w:cs="Calibri"/>
          <w:sz w:val="22"/>
          <w:lang w:eastAsia="ko-KR"/>
        </w:rPr>
        <w:t xml:space="preserve"> emphasized that retuning HCR7—after excluding the small Tuvalu and Tokelau EEZ portions—was a priority request from the first workshop. Australia noted that results showed HCR7 still meets the </w:t>
      </w:r>
      <w:r w:rsidRPr="00571D80">
        <w:rPr>
          <w:rFonts w:ascii="Calibri" w:hAnsi="Calibri" w:cs="Calibri"/>
          <w:sz w:val="22"/>
        </w:rPr>
        <w:t>interim</w:t>
      </w:r>
      <w:r w:rsidRPr="00806588">
        <w:rPr>
          <w:rFonts w:ascii="Calibri" w:eastAsia="Malgun Gothic" w:hAnsi="Calibri" w:cs="Calibri"/>
          <w:sz w:val="22"/>
          <w:lang w:eastAsia="ko-KR"/>
        </w:rPr>
        <w:t xml:space="preserve"> TRP, with similar long-term catch outcomes and only a </w:t>
      </w:r>
      <w:r>
        <w:rPr>
          <w:rFonts w:ascii="Calibri" w:eastAsia="Malgun Gothic" w:hAnsi="Calibri" w:cs="Calibri"/>
          <w:sz w:val="22"/>
          <w:lang w:eastAsia="ko-KR"/>
        </w:rPr>
        <w:t>slight</w:t>
      </w:r>
      <w:r w:rsidRPr="00806588">
        <w:rPr>
          <w:rFonts w:ascii="Calibri" w:eastAsia="Malgun Gothic" w:hAnsi="Calibri" w:cs="Calibri"/>
          <w:sz w:val="22"/>
          <w:lang w:eastAsia="ko-KR"/>
        </w:rPr>
        <w:t xml:space="preserve"> reduction in allowable catch when the Tokelau and Tuvalu EEZ slivers are excluded, reinforcing the robustness of HCR7 and validating the FFA’s assumptions. Australia cautioned that fixing troll catch at higher historical levels (e.g., ~5,000 t) could mask significant reductions required of longline fleets</w:t>
      </w:r>
      <w:r>
        <w:rPr>
          <w:rFonts w:ascii="Calibri" w:eastAsia="Malgun Gothic" w:hAnsi="Calibri" w:cs="Calibri"/>
          <w:sz w:val="22"/>
          <w:lang w:eastAsia="ko-KR"/>
        </w:rPr>
        <w:t>.</w:t>
      </w:r>
      <w:r w:rsidRPr="00806588">
        <w:rPr>
          <w:rFonts w:ascii="Calibri" w:eastAsia="Malgun Gothic" w:hAnsi="Calibri" w:cs="Calibri"/>
          <w:sz w:val="22"/>
          <w:lang w:eastAsia="ko-KR"/>
        </w:rPr>
        <w:t xml:space="preserve"> </w:t>
      </w:r>
      <w:r>
        <w:rPr>
          <w:rFonts w:ascii="Calibri" w:eastAsia="Malgun Gothic" w:hAnsi="Calibri" w:cs="Calibri"/>
          <w:sz w:val="22"/>
          <w:lang w:eastAsia="ko-KR"/>
        </w:rPr>
        <w:t>They requested calculation of an additional performance indicator that provides the</w:t>
      </w:r>
      <w:r w:rsidRPr="00806588">
        <w:rPr>
          <w:rFonts w:ascii="Calibri" w:eastAsia="Malgun Gothic" w:hAnsi="Calibri" w:cs="Calibri"/>
          <w:sz w:val="22"/>
          <w:lang w:eastAsia="ko-KR"/>
        </w:rPr>
        <w:t xml:space="preserve"> catch taken by fisheries directly controlled under the MP to interpret performance correctly. Australia </w:t>
      </w:r>
      <w:r>
        <w:rPr>
          <w:rFonts w:ascii="Calibri" w:eastAsia="Malgun Gothic" w:hAnsi="Calibri" w:cs="Calibri"/>
          <w:sz w:val="22"/>
          <w:lang w:eastAsia="ko-KR"/>
        </w:rPr>
        <w:t xml:space="preserve">also </w:t>
      </w:r>
      <w:r w:rsidRPr="00806588">
        <w:rPr>
          <w:rFonts w:ascii="Calibri" w:eastAsia="Malgun Gothic" w:hAnsi="Calibri" w:cs="Calibri"/>
          <w:sz w:val="22"/>
          <w:lang w:eastAsia="ko-KR"/>
        </w:rPr>
        <w:t xml:space="preserve">acknowledged </w:t>
      </w:r>
      <w:r w:rsidR="008115FB" w:rsidRPr="00806588">
        <w:rPr>
          <w:rFonts w:ascii="Calibri" w:eastAsia="Malgun Gothic" w:hAnsi="Calibri" w:cs="Calibri"/>
          <w:sz w:val="22"/>
          <w:lang w:eastAsia="ko-KR"/>
        </w:rPr>
        <w:t>data limitations for reconstructing historical effort and encouraged the SSP to include necessary caveats in its reporting.</w:t>
      </w:r>
    </w:p>
    <w:p w14:paraId="2240C034" w14:textId="1913A7FA" w:rsidR="008115FB" w:rsidRPr="00806588" w:rsidRDefault="008115FB" w:rsidP="00806588">
      <w:pPr>
        <w:pStyle w:val="ListParagraph"/>
        <w:adjustRightInd w:val="0"/>
        <w:snapToGrid w:val="0"/>
        <w:spacing w:after="0" w:line="240" w:lineRule="auto"/>
        <w:ind w:left="360"/>
        <w:contextualSpacing w:val="0"/>
        <w:jc w:val="both"/>
        <w:outlineLvl w:val="1"/>
        <w:rPr>
          <w:rFonts w:ascii="Calibri" w:eastAsia="Malgun Gothic" w:hAnsi="Calibri" w:cs="Calibri"/>
          <w:sz w:val="22"/>
          <w:lang w:eastAsia="ko-KR"/>
        </w:rPr>
      </w:pPr>
    </w:p>
    <w:p w14:paraId="4D2F0C1D" w14:textId="31FE78BD"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The </w:t>
      </w:r>
      <w:r w:rsidRPr="00806588">
        <w:rPr>
          <w:rFonts w:ascii="Calibri" w:hAnsi="Calibri" w:cs="Calibri"/>
          <w:sz w:val="22"/>
        </w:rPr>
        <w:t>United</w:t>
      </w:r>
      <w:r w:rsidRPr="00806588">
        <w:rPr>
          <w:rFonts w:ascii="Calibri" w:eastAsia="Malgun Gothic" w:hAnsi="Calibri" w:cs="Calibri"/>
          <w:sz w:val="22"/>
          <w:lang w:eastAsia="ko-KR"/>
        </w:rPr>
        <w:t xml:space="preserve"> States thanked the SSP for the analyses, including those requested by the US</w:t>
      </w:r>
      <w:r w:rsidR="00806588">
        <w:rPr>
          <w:rFonts w:ascii="Calibri" w:eastAsia="Malgun Gothic" w:hAnsi="Calibri" w:cs="Calibri"/>
          <w:sz w:val="22"/>
          <w:lang w:eastAsia="ko-KR"/>
        </w:rPr>
        <w:t>. It highlighted</w:t>
      </w:r>
      <w:r w:rsidRPr="00806588">
        <w:rPr>
          <w:rFonts w:ascii="Calibri" w:eastAsia="Malgun Gothic" w:hAnsi="Calibri" w:cs="Calibri"/>
          <w:sz w:val="22"/>
          <w:lang w:eastAsia="ko-KR"/>
        </w:rPr>
        <w:t xml:space="preserve"> that HCR18 </w:t>
      </w:r>
      <w:r w:rsidRPr="00571D80">
        <w:rPr>
          <w:rFonts w:ascii="Calibri" w:hAnsi="Calibri" w:cs="Calibri"/>
          <w:sz w:val="22"/>
        </w:rPr>
        <w:t>and</w:t>
      </w:r>
      <w:r w:rsidRPr="00806588">
        <w:rPr>
          <w:rFonts w:ascii="Calibri" w:eastAsia="Malgun Gothic" w:hAnsi="Calibri" w:cs="Calibri"/>
          <w:sz w:val="22"/>
          <w:lang w:eastAsia="ko-KR"/>
        </w:rPr>
        <w:t xml:space="preserve"> HCR19 perform virtually identically to HCR7 and HCR13</w:t>
      </w:r>
      <w:r w:rsidR="00571D80">
        <w:rPr>
          <w:rFonts w:ascii="Calibri" w:eastAsia="Malgun Gothic" w:hAnsi="Calibri" w:cs="Calibri"/>
          <w:sz w:val="22"/>
          <w:lang w:eastAsia="ko-KR"/>
        </w:rPr>
        <w:t xml:space="preserve"> for the available indicators, including that reporting total albacore catch in the WCPFC-CA, south of 10°S.</w:t>
      </w:r>
      <w:r w:rsidRPr="00806588">
        <w:rPr>
          <w:rFonts w:ascii="Calibri" w:eastAsia="Malgun Gothic" w:hAnsi="Calibri" w:cs="Calibri"/>
          <w:sz w:val="22"/>
          <w:lang w:eastAsia="ko-KR"/>
        </w:rPr>
        <w:t xml:space="preserve"> </w:t>
      </w:r>
    </w:p>
    <w:p w14:paraId="70A11903" w14:textId="77777777" w:rsidR="008115FB" w:rsidRPr="00806588" w:rsidRDefault="008115FB" w:rsidP="00806588">
      <w:pPr>
        <w:adjustRightInd w:val="0"/>
        <w:snapToGrid w:val="0"/>
        <w:spacing w:after="0" w:line="240" w:lineRule="auto"/>
        <w:jc w:val="both"/>
        <w:outlineLvl w:val="1"/>
        <w:rPr>
          <w:rFonts w:ascii="Calibri" w:eastAsia="Malgun Gothic" w:hAnsi="Calibri" w:cs="Calibri"/>
          <w:sz w:val="22"/>
          <w:lang w:eastAsia="ko-KR"/>
        </w:rPr>
      </w:pPr>
    </w:p>
    <w:p w14:paraId="6707E78B" w14:textId="3DD30ABB" w:rsidR="00571D80"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Japan</w:t>
      </w:r>
      <w:r w:rsidR="00806588">
        <w:rPr>
          <w:rFonts w:ascii="Calibri" w:eastAsia="Malgun Gothic" w:hAnsi="Calibri" w:cs="Calibri"/>
          <w:sz w:val="22"/>
          <w:lang w:eastAsia="ko-KR"/>
        </w:rPr>
        <w:t xml:space="preserve"> sought</w:t>
      </w:r>
      <w:r w:rsidRPr="00806588">
        <w:rPr>
          <w:rFonts w:ascii="Calibri" w:eastAsia="Malgun Gothic" w:hAnsi="Calibri" w:cs="Calibri"/>
          <w:sz w:val="22"/>
          <w:lang w:eastAsia="ko-KR"/>
        </w:rPr>
        <w:t xml:space="preserve"> clarification on the implications of HCR18 and HCR19, particularly whether similar outcomes would result if other fisheries—beyond troll—were excluded from the MP as long as the same 9,000 t </w:t>
      </w:r>
      <w:r w:rsidRPr="00571D80">
        <w:rPr>
          <w:rFonts w:ascii="Calibri" w:hAnsi="Calibri" w:cs="Calibri"/>
          <w:sz w:val="22"/>
        </w:rPr>
        <w:t>catch</w:t>
      </w:r>
      <w:r w:rsidRPr="00806588">
        <w:rPr>
          <w:rFonts w:ascii="Calibri" w:eastAsia="Malgun Gothic" w:hAnsi="Calibri" w:cs="Calibri"/>
          <w:sz w:val="22"/>
          <w:lang w:eastAsia="ko-KR"/>
        </w:rPr>
        <w:t xml:space="preserve"> assumption is used. They asked the SSP to confirm whether differences in average fish size between longline and troll fisheries could materially change outcomes when equal tonnages are excluded. </w:t>
      </w:r>
      <w:r w:rsidR="00571D80">
        <w:rPr>
          <w:rFonts w:ascii="Calibri" w:eastAsia="Malgun Gothic" w:hAnsi="Calibri" w:cs="Calibri"/>
          <w:sz w:val="22"/>
          <w:lang w:eastAsia="ko-KR"/>
        </w:rPr>
        <w:t>The SSP responded that troll fisheries catch smaller individuals, and for a given catch tonnage, more individuals would be removed in the troll fishery compared to the longline fishery.</w:t>
      </w:r>
    </w:p>
    <w:p w14:paraId="354ABF66" w14:textId="77777777" w:rsidR="00571D80" w:rsidRPr="00571D80" w:rsidRDefault="00571D80" w:rsidP="00571D80">
      <w:pPr>
        <w:pStyle w:val="ListParagraph"/>
        <w:rPr>
          <w:rFonts w:ascii="Calibri" w:eastAsia="Malgun Gothic" w:hAnsi="Calibri" w:cs="Calibri"/>
          <w:sz w:val="22"/>
          <w:lang w:eastAsia="ko-KR"/>
        </w:rPr>
      </w:pPr>
    </w:p>
    <w:p w14:paraId="71F22B35" w14:textId="644F8764" w:rsidR="008115FB" w:rsidRPr="00806588" w:rsidRDefault="00571D80"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Pr>
          <w:rFonts w:ascii="Calibri" w:eastAsia="Malgun Gothic" w:hAnsi="Calibri" w:cs="Calibri" w:hint="eastAsia"/>
          <w:sz w:val="22"/>
          <w:lang w:eastAsia="ko-KR"/>
        </w:rPr>
        <w:t>Some</w:t>
      </w:r>
      <w:r w:rsidRPr="00806588">
        <w:rPr>
          <w:rFonts w:ascii="Calibri" w:eastAsia="Malgun Gothic" w:hAnsi="Calibri" w:cs="Calibri"/>
          <w:sz w:val="22"/>
          <w:lang w:eastAsia="ko-KR"/>
        </w:rPr>
        <w:t xml:space="preserve"> </w:t>
      </w:r>
      <w:r w:rsidR="008115FB" w:rsidRPr="00806588">
        <w:rPr>
          <w:rFonts w:ascii="Calibri" w:eastAsia="Malgun Gothic" w:hAnsi="Calibri" w:cs="Calibri"/>
          <w:sz w:val="22"/>
          <w:lang w:eastAsia="ko-KR"/>
        </w:rPr>
        <w:t xml:space="preserve">delegations reiterated their preference for an MP area beginning at the equator, </w:t>
      </w:r>
      <w:r w:rsidR="00806588">
        <w:rPr>
          <w:rFonts w:ascii="Calibri" w:eastAsia="Malgun Gothic" w:hAnsi="Calibri" w:cs="Calibri"/>
          <w:sz w:val="22"/>
          <w:lang w:eastAsia="ko-KR"/>
        </w:rPr>
        <w:t>consistent</w:t>
      </w:r>
      <w:r w:rsidR="008115FB" w:rsidRPr="00806588">
        <w:rPr>
          <w:rFonts w:ascii="Calibri" w:eastAsia="Malgun Gothic" w:hAnsi="Calibri" w:cs="Calibri"/>
          <w:sz w:val="22"/>
          <w:lang w:eastAsia="ko-KR"/>
        </w:rPr>
        <w:t xml:space="preserve"> with previous MP practice and the biological range of the </w:t>
      </w:r>
      <w:r w:rsidR="00806588" w:rsidRPr="00806588">
        <w:rPr>
          <w:rFonts w:ascii="Calibri" w:eastAsia="Malgun Gothic" w:hAnsi="Calibri" w:cs="Calibri"/>
          <w:sz w:val="22"/>
          <w:lang w:eastAsia="ko-KR"/>
        </w:rPr>
        <w:t>stock</w:t>
      </w:r>
      <w:r w:rsidR="00806588">
        <w:rPr>
          <w:rFonts w:ascii="Calibri" w:eastAsia="Malgun Gothic" w:hAnsi="Calibri" w:cs="Calibri"/>
          <w:sz w:val="22"/>
          <w:lang w:eastAsia="ko-KR"/>
        </w:rPr>
        <w:t>. Still, they indicated</w:t>
      </w:r>
      <w:r w:rsidR="008115FB" w:rsidRPr="00806588">
        <w:rPr>
          <w:rFonts w:ascii="Calibri" w:eastAsia="Malgun Gothic" w:hAnsi="Calibri" w:cs="Calibri"/>
          <w:sz w:val="22"/>
          <w:lang w:eastAsia="ko-KR"/>
        </w:rPr>
        <w:t xml:space="preserve"> willingness to consider the FFA-proposed south-of-10°S scope in conjunction with broader implementation CMM discussions. They highlighted that restricting consideration only to HCRs applying south of 10°S is premature</w:t>
      </w:r>
      <w:r w:rsidR="00806588">
        <w:rPr>
          <w:rFonts w:ascii="Calibri" w:eastAsia="Malgun Gothic" w:hAnsi="Calibri" w:cs="Calibri"/>
          <w:sz w:val="22"/>
          <w:lang w:eastAsia="ko-KR"/>
        </w:rPr>
        <w:t>,</w:t>
      </w:r>
      <w:r w:rsidR="008115FB" w:rsidRPr="00806588">
        <w:rPr>
          <w:rFonts w:ascii="Calibri" w:eastAsia="Malgun Gothic" w:hAnsi="Calibri" w:cs="Calibri"/>
          <w:sz w:val="22"/>
          <w:lang w:eastAsia="ko-KR"/>
        </w:rPr>
        <w:t xml:space="preserve"> given differing member views on spatial scope. </w:t>
      </w:r>
    </w:p>
    <w:p w14:paraId="6E54B7C7" w14:textId="77777777" w:rsidR="00011742" w:rsidRPr="00806588" w:rsidRDefault="00011742" w:rsidP="00806588">
      <w:pPr>
        <w:adjustRightInd w:val="0"/>
        <w:snapToGrid w:val="0"/>
        <w:spacing w:after="0" w:line="240" w:lineRule="auto"/>
        <w:rPr>
          <w:rFonts w:ascii="Calibri" w:eastAsia="Malgun Gothic" w:hAnsi="Calibri" w:cs="Calibri"/>
          <w:sz w:val="22"/>
          <w:lang w:eastAsia="ko-KR"/>
        </w:rPr>
      </w:pPr>
    </w:p>
    <w:p w14:paraId="431B3DC3" w14:textId="51CF8000" w:rsidR="00011742" w:rsidRPr="00806588" w:rsidRDefault="00806588" w:rsidP="00806588">
      <w:pPr>
        <w:pStyle w:val="ListParagraph"/>
        <w:numPr>
          <w:ilvl w:val="0"/>
          <w:numId w:val="11"/>
        </w:numPr>
        <w:adjustRightInd w:val="0"/>
        <w:snapToGrid w:val="0"/>
        <w:spacing w:after="0" w:line="240" w:lineRule="auto"/>
        <w:ind w:left="540" w:hanging="540"/>
        <w:contextualSpacing w:val="0"/>
        <w:outlineLvl w:val="1"/>
        <w:rPr>
          <w:rFonts w:ascii="Calibri" w:eastAsia="Times New Roman" w:hAnsi="Calibri" w:cs="Calibri"/>
          <w:b/>
          <w:bCs/>
          <w:color w:val="0066FF"/>
          <w:szCs w:val="24"/>
        </w:rPr>
      </w:pPr>
      <w:bookmarkStart w:id="4" w:name="_Toc213678198"/>
      <w:r w:rsidRPr="00806588">
        <w:rPr>
          <w:rFonts w:ascii="Calibri" w:eastAsia="Times New Roman" w:hAnsi="Calibri" w:cs="Calibri"/>
          <w:b/>
          <w:bCs/>
          <w:color w:val="0066FF"/>
          <w:szCs w:val="24"/>
        </w:rPr>
        <w:t>CMM ON THE SPA MP</w:t>
      </w:r>
      <w:bookmarkEnd w:id="4"/>
    </w:p>
    <w:p w14:paraId="071D2E0C" w14:textId="77777777" w:rsidR="00011742" w:rsidRPr="00806588" w:rsidRDefault="00011742" w:rsidP="00806588">
      <w:pPr>
        <w:adjustRightInd w:val="0"/>
        <w:snapToGrid w:val="0"/>
        <w:spacing w:after="0" w:line="240" w:lineRule="auto"/>
        <w:rPr>
          <w:rFonts w:ascii="Calibri" w:eastAsia="Times New Roman" w:hAnsi="Calibri" w:cs="Calibri"/>
          <w:sz w:val="22"/>
        </w:rPr>
      </w:pPr>
    </w:p>
    <w:p w14:paraId="633598D4" w14:textId="32E67E60" w:rsidR="008115FB"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Under Agenda </w:t>
      </w:r>
      <w:r w:rsidRPr="00571D80">
        <w:rPr>
          <w:rFonts w:ascii="Calibri" w:hAnsi="Calibri" w:cs="Calibri"/>
          <w:sz w:val="22"/>
        </w:rPr>
        <w:t>Item</w:t>
      </w:r>
      <w:r w:rsidRPr="00806588">
        <w:rPr>
          <w:rFonts w:ascii="Calibri" w:eastAsia="Malgun Gothic" w:hAnsi="Calibri" w:cs="Calibri"/>
          <w:sz w:val="22"/>
          <w:lang w:eastAsia="ko-KR"/>
        </w:rPr>
        <w:t xml:space="preserve"> 3, the Co-Chair</w:t>
      </w:r>
      <w:r w:rsidR="00806588">
        <w:rPr>
          <w:rFonts w:ascii="Calibri" w:eastAsia="Malgun Gothic" w:hAnsi="Calibri" w:cs="Calibri"/>
          <w:sz w:val="22"/>
          <w:lang w:eastAsia="ko-KR"/>
        </w:rPr>
        <w:t>, Ms Emily Crigler,</w:t>
      </w:r>
      <w:r w:rsidR="008115FB" w:rsidRPr="00806588">
        <w:rPr>
          <w:rFonts w:ascii="Calibri" w:eastAsia="Malgun Gothic" w:hAnsi="Calibri" w:cs="Calibri"/>
          <w:sz w:val="22"/>
          <w:lang w:eastAsia="ko-KR"/>
        </w:rPr>
        <w:t xml:space="preserve"> </w:t>
      </w:r>
      <w:r w:rsidRPr="00806588">
        <w:rPr>
          <w:rFonts w:ascii="Calibri" w:eastAsia="Malgun Gothic" w:hAnsi="Calibri" w:cs="Calibri"/>
          <w:sz w:val="22"/>
          <w:lang w:eastAsia="ko-KR"/>
        </w:rPr>
        <w:t xml:space="preserve">outlined the objective of narrowing the large number of candidate MPs to be forwarded to WCPFC22. </w:t>
      </w:r>
    </w:p>
    <w:p w14:paraId="5CCDA17C" w14:textId="77777777" w:rsidR="008115FB" w:rsidRPr="00806588" w:rsidRDefault="008115FB" w:rsidP="00806588">
      <w:pPr>
        <w:pStyle w:val="ListParagraph"/>
        <w:adjustRightInd w:val="0"/>
        <w:snapToGrid w:val="0"/>
        <w:spacing w:after="0" w:line="240" w:lineRule="auto"/>
        <w:ind w:left="360"/>
        <w:contextualSpacing w:val="0"/>
        <w:jc w:val="both"/>
        <w:outlineLvl w:val="1"/>
        <w:rPr>
          <w:rFonts w:ascii="Calibri" w:eastAsia="Malgun Gothic" w:hAnsi="Calibri" w:cs="Calibri"/>
          <w:sz w:val="22"/>
          <w:lang w:eastAsia="ko-KR"/>
        </w:rPr>
      </w:pPr>
    </w:p>
    <w:p w14:paraId="4E8F017C" w14:textId="4425E30F"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hAnsi="Calibri" w:cs="Calibri"/>
          <w:sz w:val="22"/>
        </w:rPr>
        <w:t>FFA</w:t>
      </w:r>
      <w:r w:rsidRPr="00806588">
        <w:rPr>
          <w:rFonts w:ascii="Calibri" w:eastAsia="Malgun Gothic" w:hAnsi="Calibri" w:cs="Calibri"/>
          <w:sz w:val="22"/>
          <w:lang w:eastAsia="ko-KR"/>
        </w:rPr>
        <w:t xml:space="preserve"> presented a comprehensive overview of their proposal for the South Pacific Albacore Management Procedure (SPALB MP), which is posted on the Commission website as </w:t>
      </w:r>
      <w:hyperlink r:id="rId12" w:history="1">
        <w:r w:rsidRPr="00806588">
          <w:rPr>
            <w:rStyle w:val="Hyperlink"/>
            <w:rFonts w:ascii="Calibri" w:eastAsia="Malgun Gothic" w:hAnsi="Calibri" w:cs="Calibri"/>
            <w:sz w:val="22"/>
            <w:lang w:eastAsia="ko-KR"/>
          </w:rPr>
          <w:t>WCPFC22-2025-DP02a</w:t>
        </w:r>
      </w:hyperlink>
      <w:r w:rsidRPr="00806588">
        <w:rPr>
          <w:rFonts w:ascii="Calibri" w:eastAsia="Malgun Gothic" w:hAnsi="Calibri" w:cs="Calibri"/>
          <w:sz w:val="22"/>
          <w:lang w:eastAsia="ko-KR"/>
        </w:rPr>
        <w:t xml:space="preserve">. The proposal maintains the adopted interim TRP, uses an HCR tuned to that TRP, and sets a total catch level (convertible to effort where needed). On spatial assumptions, FFA stressed the principle that the MP should control as much southern albacore catch as possible, while treating catches in the EPO and equator–10°S area as external and fixed at 2014–2023 levels (18,000 t and 9,000 t, respectively). They emphasized the need to avoid conflicting requirements between the albacore MP and the future bigeye </w:t>
      </w:r>
      <w:r w:rsidRPr="00806588">
        <w:rPr>
          <w:rFonts w:ascii="Calibri" w:eastAsia="Malgun Gothic" w:hAnsi="Calibri" w:cs="Calibri"/>
          <w:sz w:val="22"/>
          <w:lang w:eastAsia="ko-KR"/>
        </w:rPr>
        <w:lastRenderedPageBreak/>
        <w:t>MP in shared tropical</w:t>
      </w:r>
      <w:r w:rsidR="00806588">
        <w:rPr>
          <w:rFonts w:ascii="Calibri" w:eastAsia="Malgun Gothic" w:hAnsi="Calibri" w:cs="Calibri"/>
          <w:sz w:val="22"/>
          <w:lang w:eastAsia="ko-KR"/>
        </w:rPr>
        <w:t xml:space="preserve"> and </w:t>
      </w:r>
      <w:r w:rsidRPr="00806588">
        <w:rPr>
          <w:rFonts w:ascii="Calibri" w:eastAsia="Malgun Gothic" w:hAnsi="Calibri" w:cs="Calibri"/>
          <w:sz w:val="22"/>
          <w:lang w:eastAsia="ko-KR"/>
        </w:rPr>
        <w:t xml:space="preserve">southern areas. To reduce operational burdens on SIDS, FFA proposed shifting the small Tokelau/Tuvalu zones south of 10°S into the tropical </w:t>
      </w:r>
      <w:r w:rsidR="00806588">
        <w:rPr>
          <w:rFonts w:ascii="Calibri" w:eastAsia="Malgun Gothic" w:hAnsi="Calibri" w:cs="Calibri"/>
          <w:sz w:val="22"/>
          <w:lang w:eastAsia="ko-KR"/>
        </w:rPr>
        <w:t>region</w:t>
      </w:r>
      <w:r w:rsidRPr="00806588">
        <w:rPr>
          <w:rFonts w:ascii="Calibri" w:eastAsia="Malgun Gothic" w:hAnsi="Calibri" w:cs="Calibri"/>
          <w:sz w:val="22"/>
          <w:lang w:eastAsia="ko-KR"/>
        </w:rPr>
        <w:t xml:space="preserve"> and fixing their catches at historical levels (667 t). They highlighted the SSP findings showing that excluding those small zones does not materially affect MP performance. FFA’s implementing </w:t>
      </w:r>
      <w:r w:rsidR="00806588">
        <w:rPr>
          <w:rFonts w:ascii="Calibri" w:eastAsia="Malgun Gothic" w:hAnsi="Calibri" w:cs="Calibri"/>
          <w:sz w:val="22"/>
          <w:lang w:eastAsia="ko-KR"/>
        </w:rPr>
        <w:t>measures include robust monitoring, such as</w:t>
      </w:r>
      <w:r w:rsidRPr="00806588">
        <w:rPr>
          <w:rFonts w:ascii="Calibri" w:eastAsia="Malgun Gothic" w:hAnsi="Calibri" w:cs="Calibri"/>
          <w:sz w:val="22"/>
          <w:lang w:eastAsia="ko-KR"/>
        </w:rPr>
        <w:t xml:space="preserve"> strengthened reporting, transshipment monitoring, observer/EM requirements, and data verification needs. The MP uses a –5% / +10% change constraint, which the FFA argues maintains stability without </w:t>
      </w:r>
      <w:r w:rsidRPr="00806588">
        <w:rPr>
          <w:rFonts w:ascii="Calibri" w:hAnsi="Calibri" w:cs="Calibri"/>
          <w:sz w:val="22"/>
        </w:rPr>
        <w:t xml:space="preserve">compromising </w:t>
      </w:r>
      <w:r w:rsidRPr="00806588">
        <w:rPr>
          <w:rFonts w:ascii="Calibri" w:eastAsia="Malgun Gothic" w:hAnsi="Calibri" w:cs="Calibri"/>
          <w:sz w:val="22"/>
          <w:lang w:eastAsia="ko-KR"/>
        </w:rPr>
        <w:t xml:space="preserve">responsiveness. They concluded by urging CCMs to support </w:t>
      </w:r>
      <w:r w:rsidR="00806588">
        <w:rPr>
          <w:rFonts w:ascii="Calibri" w:eastAsia="Malgun Gothic" w:hAnsi="Calibri" w:cs="Calibri"/>
          <w:sz w:val="22"/>
          <w:lang w:eastAsia="ko-KR"/>
        </w:rPr>
        <w:t xml:space="preserve">the </w:t>
      </w:r>
      <w:r w:rsidRPr="00806588">
        <w:rPr>
          <w:rFonts w:ascii="Calibri" w:eastAsia="Malgun Gothic" w:hAnsi="Calibri" w:cs="Calibri"/>
          <w:sz w:val="22"/>
          <w:lang w:eastAsia="ko-KR"/>
        </w:rPr>
        <w:t>adoption of the proposal at WCPFC22.</w:t>
      </w:r>
    </w:p>
    <w:p w14:paraId="6E85BAE2" w14:textId="77777777" w:rsidR="008115FB" w:rsidRPr="00806588" w:rsidRDefault="008115FB" w:rsidP="00806588">
      <w:pPr>
        <w:pStyle w:val="ListParagraph"/>
        <w:adjustRightInd w:val="0"/>
        <w:snapToGrid w:val="0"/>
        <w:spacing w:after="0" w:line="240" w:lineRule="auto"/>
        <w:ind w:left="360"/>
        <w:contextualSpacing w:val="0"/>
        <w:jc w:val="both"/>
        <w:outlineLvl w:val="1"/>
        <w:rPr>
          <w:rFonts w:ascii="Calibri" w:eastAsia="Malgun Gothic" w:hAnsi="Calibri" w:cs="Calibri"/>
          <w:sz w:val="22"/>
          <w:lang w:eastAsia="ko-KR"/>
        </w:rPr>
      </w:pPr>
    </w:p>
    <w:p w14:paraId="68A18849" w14:textId="77777777"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New </w:t>
      </w:r>
      <w:r w:rsidRPr="00806588">
        <w:rPr>
          <w:rFonts w:ascii="Calibri" w:hAnsi="Calibri" w:cs="Calibri"/>
          <w:sz w:val="22"/>
        </w:rPr>
        <w:t>Caledonia</w:t>
      </w:r>
      <w:r w:rsidRPr="00806588">
        <w:rPr>
          <w:rFonts w:ascii="Calibri" w:eastAsia="Malgun Gothic" w:hAnsi="Calibri" w:cs="Calibri"/>
          <w:sz w:val="22"/>
          <w:lang w:eastAsia="ko-KR"/>
        </w:rPr>
        <w:t xml:space="preserve"> first sought clarification on whether it was procedurally acceptable to discuss a paper that had not been posted on the South Pacific Albacore Working Group website, although it appeared on the </w:t>
      </w:r>
      <w:r w:rsidRPr="00571D80">
        <w:rPr>
          <w:rFonts w:ascii="Calibri" w:hAnsi="Calibri" w:cs="Calibri"/>
          <w:sz w:val="22"/>
        </w:rPr>
        <w:t>WCPFC22</w:t>
      </w:r>
      <w:r w:rsidRPr="00806588">
        <w:rPr>
          <w:rFonts w:ascii="Calibri" w:eastAsia="Malgun Gothic" w:hAnsi="Calibri" w:cs="Calibri"/>
          <w:sz w:val="22"/>
          <w:lang w:eastAsia="ko-KR"/>
        </w:rPr>
        <w:t xml:space="preserve"> website. After the Chair’s response, they accepted this but noted the procedural concern. </w:t>
      </w:r>
    </w:p>
    <w:p w14:paraId="17F63C1A" w14:textId="77777777" w:rsidR="008115FB" w:rsidRPr="00806588" w:rsidRDefault="008115FB" w:rsidP="00806588">
      <w:pPr>
        <w:pStyle w:val="ListParagraph"/>
        <w:adjustRightInd w:val="0"/>
        <w:snapToGrid w:val="0"/>
        <w:spacing w:after="0" w:line="240" w:lineRule="auto"/>
        <w:contextualSpacing w:val="0"/>
        <w:rPr>
          <w:rFonts w:ascii="Calibri" w:eastAsia="Malgun Gothic" w:hAnsi="Calibri" w:cs="Calibri"/>
          <w:sz w:val="22"/>
          <w:lang w:eastAsia="ko-KR"/>
        </w:rPr>
      </w:pPr>
    </w:p>
    <w:p w14:paraId="24789302" w14:textId="562D69A2" w:rsidR="00040EA1"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hAnsi="Calibri" w:cs="Calibri"/>
          <w:sz w:val="22"/>
        </w:rPr>
        <w:t>China</w:t>
      </w:r>
      <w:r w:rsidRPr="00806588">
        <w:rPr>
          <w:rFonts w:ascii="Calibri" w:eastAsia="Malgun Gothic" w:hAnsi="Calibri" w:cs="Calibri"/>
          <w:sz w:val="22"/>
          <w:lang w:eastAsia="ko-KR"/>
        </w:rPr>
        <w:t xml:space="preserve"> thanked the FFA for its comprehensive MP proposal and provided several detailed comments. China noted </w:t>
      </w:r>
      <w:r w:rsidR="00806588">
        <w:rPr>
          <w:rFonts w:ascii="Calibri" w:eastAsia="Malgun Gothic" w:hAnsi="Calibri" w:cs="Calibri"/>
          <w:sz w:val="22"/>
          <w:lang w:eastAsia="ko-KR"/>
        </w:rPr>
        <w:t>that it is still conducting internal consultations on HCR options and therefore cannot endorse HCR7 as a preferred option at this stage. Instead, it expresses</w:t>
      </w:r>
      <w:r w:rsidRPr="00806588">
        <w:rPr>
          <w:rFonts w:ascii="Calibri" w:eastAsia="Malgun Gothic" w:hAnsi="Calibri" w:cs="Calibri"/>
          <w:sz w:val="22"/>
          <w:lang w:eastAsia="ko-KR"/>
        </w:rPr>
        <w:t xml:space="preserve"> a preliminary preference for HCR13 due to its </w:t>
      </w:r>
      <w:r w:rsidRPr="00571D80">
        <w:rPr>
          <w:rFonts w:ascii="Calibri" w:hAnsi="Calibri" w:cs="Calibri"/>
          <w:sz w:val="22"/>
        </w:rPr>
        <w:t>lower</w:t>
      </w:r>
      <w:r w:rsidRPr="00806588">
        <w:rPr>
          <w:rFonts w:ascii="Calibri" w:eastAsia="Malgun Gothic" w:hAnsi="Calibri" w:cs="Calibri"/>
          <w:sz w:val="22"/>
          <w:lang w:eastAsia="ko-KR"/>
        </w:rPr>
        <w:t xml:space="preserve"> risk of dropping below the LRP. China also indicated that the EPO catch assumption of 18,000 t remains under review and that a higher level—around 22,</w:t>
      </w:r>
      <w:r w:rsidR="004C4295" w:rsidRPr="00806588">
        <w:rPr>
          <w:rFonts w:ascii="Calibri" w:eastAsia="Malgun Gothic" w:hAnsi="Calibri" w:cs="Calibri"/>
          <w:sz w:val="22"/>
          <w:lang w:eastAsia="ko-KR"/>
        </w:rPr>
        <w:t>5</w:t>
      </w:r>
      <w:r w:rsidRPr="00806588">
        <w:rPr>
          <w:rFonts w:ascii="Calibri" w:eastAsia="Malgun Gothic" w:hAnsi="Calibri" w:cs="Calibri"/>
          <w:sz w:val="22"/>
          <w:lang w:eastAsia="ko-KR"/>
        </w:rPr>
        <w:t xml:space="preserve">00 t—may be more appropriate. China has not yet reached </w:t>
      </w:r>
      <w:r w:rsidR="004C4295" w:rsidRPr="00806588">
        <w:rPr>
          <w:rFonts w:ascii="Calibri" w:eastAsia="Malgun Gothic" w:hAnsi="Calibri" w:cs="Calibri"/>
          <w:sz w:val="22"/>
          <w:lang w:eastAsia="ko-KR"/>
        </w:rPr>
        <w:t xml:space="preserve">a </w:t>
      </w:r>
      <w:r w:rsidRPr="00806588">
        <w:rPr>
          <w:rFonts w:ascii="Calibri" w:eastAsia="Malgun Gothic" w:hAnsi="Calibri" w:cs="Calibri"/>
          <w:sz w:val="22"/>
          <w:lang w:eastAsia="ko-KR"/>
        </w:rPr>
        <w:t>consensus on whether the 0–10°S area should be excluded from the MP</w:t>
      </w:r>
      <w:r w:rsidR="00806588">
        <w:rPr>
          <w:rFonts w:ascii="Calibri" w:eastAsia="Malgun Gothic" w:hAnsi="Calibri" w:cs="Calibri"/>
          <w:sz w:val="22"/>
          <w:lang w:eastAsia="ko-KR"/>
        </w:rPr>
        <w:t>, emphasizing</w:t>
      </w:r>
      <w:r w:rsidRPr="00806588">
        <w:rPr>
          <w:rFonts w:ascii="Calibri" w:eastAsia="Malgun Gothic" w:hAnsi="Calibri" w:cs="Calibri"/>
          <w:sz w:val="22"/>
          <w:lang w:eastAsia="ko-KR"/>
        </w:rPr>
        <w:t xml:space="preserve"> the importance of </w:t>
      </w:r>
      <w:r w:rsidR="004C4295" w:rsidRPr="00806588">
        <w:rPr>
          <w:rFonts w:ascii="Calibri" w:eastAsia="Malgun Gothic" w:hAnsi="Calibri" w:cs="Calibri"/>
          <w:sz w:val="22"/>
          <w:lang w:eastAsia="ko-KR"/>
        </w:rPr>
        <w:t xml:space="preserve">maintaining </w:t>
      </w:r>
      <w:r w:rsidRPr="00806588">
        <w:rPr>
          <w:rFonts w:ascii="Calibri" w:eastAsia="Malgun Gothic" w:hAnsi="Calibri" w:cs="Calibri"/>
          <w:sz w:val="22"/>
          <w:lang w:eastAsia="ko-KR"/>
        </w:rPr>
        <w:t xml:space="preserve">unified management </w:t>
      </w:r>
      <w:r w:rsidR="004C4295" w:rsidRPr="00806588">
        <w:rPr>
          <w:rFonts w:ascii="Calibri" w:eastAsia="Malgun Gothic" w:hAnsi="Calibri" w:cs="Calibri"/>
          <w:sz w:val="22"/>
          <w:lang w:eastAsia="ko-KR"/>
        </w:rPr>
        <w:t xml:space="preserve">south of </w:t>
      </w:r>
      <w:r w:rsidRPr="00806588">
        <w:rPr>
          <w:rFonts w:ascii="Calibri" w:eastAsia="Malgun Gothic" w:hAnsi="Calibri" w:cs="Calibri"/>
          <w:sz w:val="22"/>
          <w:lang w:eastAsia="ko-KR"/>
        </w:rPr>
        <w:t xml:space="preserve">the equator. After further internal consultation during the meeting break, China requested </w:t>
      </w:r>
      <w:r w:rsidR="00806588">
        <w:rPr>
          <w:rFonts w:ascii="Calibri" w:eastAsia="Malgun Gothic" w:hAnsi="Calibri" w:cs="Calibri"/>
          <w:sz w:val="22"/>
          <w:lang w:eastAsia="ko-KR"/>
        </w:rPr>
        <w:t>that HCR17 be reserved for continued consideration, while preferring that HCR10 and HCR14 remain in the narrowed list from now on and expressing flexibility in</w:t>
      </w:r>
      <w:r w:rsidRPr="00806588">
        <w:rPr>
          <w:rFonts w:ascii="Calibri" w:eastAsia="Malgun Gothic" w:hAnsi="Calibri" w:cs="Calibri"/>
          <w:sz w:val="22"/>
          <w:lang w:eastAsia="ko-KR"/>
        </w:rPr>
        <w:t xml:space="preserve"> excluding Tokelau</w:t>
      </w:r>
      <w:r w:rsidR="004C4295" w:rsidRPr="00806588">
        <w:rPr>
          <w:rFonts w:ascii="Calibri" w:eastAsia="Malgun Gothic" w:hAnsi="Calibri" w:cs="Calibri"/>
          <w:sz w:val="22"/>
          <w:lang w:eastAsia="ko-KR"/>
        </w:rPr>
        <w:t xml:space="preserve"> and Tuvalu EEZ slivers</w:t>
      </w:r>
      <w:r w:rsidRPr="00806588">
        <w:rPr>
          <w:rFonts w:ascii="Calibri" w:eastAsia="Malgun Gothic" w:hAnsi="Calibri" w:cs="Calibri"/>
          <w:sz w:val="22"/>
          <w:lang w:eastAsia="ko-KR"/>
        </w:rPr>
        <w:t xml:space="preserve"> from the MP. </w:t>
      </w:r>
      <w:bookmarkStart w:id="5" w:name="_Hlk213721352"/>
    </w:p>
    <w:p w14:paraId="5E75E527" w14:textId="77777777" w:rsidR="008115FB" w:rsidRPr="00806588" w:rsidRDefault="008115FB" w:rsidP="00806588">
      <w:pPr>
        <w:pStyle w:val="ListParagraph"/>
        <w:adjustRightInd w:val="0"/>
        <w:snapToGrid w:val="0"/>
        <w:spacing w:after="0" w:line="240" w:lineRule="auto"/>
        <w:ind w:left="360"/>
        <w:contextualSpacing w:val="0"/>
        <w:jc w:val="both"/>
        <w:outlineLvl w:val="1"/>
        <w:rPr>
          <w:rFonts w:ascii="Calibri" w:eastAsia="Malgun Gothic" w:hAnsi="Calibri" w:cs="Calibri"/>
          <w:sz w:val="22"/>
          <w:lang w:eastAsia="ko-KR"/>
        </w:rPr>
      </w:pPr>
    </w:p>
    <w:p w14:paraId="2D75CA88" w14:textId="78C2A662"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New Caledonia expressed preference for catch-based HCRs, supporting HCR 7 as proposed by FFA, and stated </w:t>
      </w:r>
      <w:r w:rsidRPr="00571D80">
        <w:rPr>
          <w:rFonts w:ascii="Calibri" w:hAnsi="Calibri" w:cs="Calibri"/>
          <w:sz w:val="22"/>
        </w:rPr>
        <w:t>preliminary</w:t>
      </w:r>
      <w:r w:rsidRPr="00806588">
        <w:rPr>
          <w:rFonts w:ascii="Calibri" w:eastAsia="Malgun Gothic" w:hAnsi="Calibri" w:cs="Calibri"/>
          <w:sz w:val="22"/>
          <w:lang w:eastAsia="ko-KR"/>
        </w:rPr>
        <w:t xml:space="preserve"> openness to a broader geographic scope, while remaining flexible. </w:t>
      </w:r>
    </w:p>
    <w:p w14:paraId="2F76953D" w14:textId="77777777" w:rsidR="008115FB" w:rsidRPr="00806588" w:rsidRDefault="008115FB" w:rsidP="00806588">
      <w:pPr>
        <w:pStyle w:val="ListParagraph"/>
        <w:adjustRightInd w:val="0"/>
        <w:snapToGrid w:val="0"/>
        <w:spacing w:after="0" w:line="240" w:lineRule="auto"/>
        <w:contextualSpacing w:val="0"/>
        <w:rPr>
          <w:rFonts w:ascii="Calibri" w:eastAsia="Malgun Gothic" w:hAnsi="Calibri" w:cs="Calibri"/>
          <w:sz w:val="22"/>
          <w:lang w:eastAsia="ko-KR"/>
        </w:rPr>
      </w:pPr>
    </w:p>
    <w:p w14:paraId="34A6206C" w14:textId="45E47D08"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Chinese </w:t>
      </w:r>
      <w:r w:rsidRPr="00806588">
        <w:rPr>
          <w:rFonts w:ascii="Calibri" w:hAnsi="Calibri" w:cs="Calibri"/>
          <w:sz w:val="22"/>
        </w:rPr>
        <w:t>Taipei</w:t>
      </w:r>
      <w:r w:rsidRPr="00806588">
        <w:rPr>
          <w:rFonts w:ascii="Calibri" w:eastAsia="Malgun Gothic" w:hAnsi="Calibri" w:cs="Calibri"/>
          <w:sz w:val="22"/>
          <w:lang w:eastAsia="ko-KR"/>
        </w:rPr>
        <w:t xml:space="preserve"> thanked FFA for the proposal and followed up on earlier comments from China. Their key concern is that several HCRs, including 7 and 13</w:t>
      </w:r>
      <w:r w:rsidR="00806588">
        <w:rPr>
          <w:rFonts w:ascii="Calibri" w:eastAsia="Malgun Gothic" w:hAnsi="Calibri" w:cs="Calibri"/>
          <w:sz w:val="22"/>
          <w:lang w:eastAsia="ko-KR"/>
        </w:rPr>
        <w:t xml:space="preserve">, </w:t>
      </w:r>
      <w:r w:rsidRPr="00806588">
        <w:rPr>
          <w:rFonts w:ascii="Calibri" w:eastAsia="Malgun Gothic" w:hAnsi="Calibri" w:cs="Calibri"/>
          <w:sz w:val="22"/>
          <w:lang w:eastAsia="ko-KR"/>
        </w:rPr>
        <w:t xml:space="preserve">may not provide sufficient total allowable catch to accommodate all CCMs, especially if some large fleets seek future entry or expansion. Because of this concern, </w:t>
      </w:r>
      <w:r w:rsidRPr="00571D80">
        <w:rPr>
          <w:rFonts w:ascii="Calibri" w:hAnsi="Calibri" w:cs="Calibri"/>
          <w:sz w:val="22"/>
        </w:rPr>
        <w:t>they</w:t>
      </w:r>
      <w:r w:rsidRPr="00806588">
        <w:rPr>
          <w:rFonts w:ascii="Calibri" w:eastAsia="Malgun Gothic" w:hAnsi="Calibri" w:cs="Calibri"/>
          <w:sz w:val="22"/>
          <w:lang w:eastAsia="ko-KR"/>
        </w:rPr>
        <w:t xml:space="preserve"> stated </w:t>
      </w:r>
      <w:r w:rsidR="00806588">
        <w:rPr>
          <w:rFonts w:ascii="Calibri" w:eastAsia="Malgun Gothic" w:hAnsi="Calibri" w:cs="Calibri"/>
          <w:sz w:val="22"/>
          <w:lang w:eastAsia="ko-KR"/>
        </w:rPr>
        <w:t xml:space="preserve">that they cannot support any HCR more conservative than HCR 7, and in fact, they do not currently </w:t>
      </w:r>
      <w:r w:rsidRPr="00806588">
        <w:rPr>
          <w:rFonts w:ascii="Calibri" w:eastAsia="Malgun Gothic" w:hAnsi="Calibri" w:cs="Calibri"/>
          <w:sz w:val="22"/>
          <w:lang w:eastAsia="ko-KR"/>
        </w:rPr>
        <w:t xml:space="preserve">support HCR 7 or 13 either. Their current preference is HCR 10, which they view as maintaining more adequate catch levels for allocation discussions. </w:t>
      </w:r>
    </w:p>
    <w:p w14:paraId="3141539D" w14:textId="77777777" w:rsidR="008115FB" w:rsidRPr="00806588" w:rsidRDefault="008115FB" w:rsidP="00806588">
      <w:pPr>
        <w:pStyle w:val="ListParagraph"/>
        <w:adjustRightInd w:val="0"/>
        <w:snapToGrid w:val="0"/>
        <w:spacing w:after="0" w:line="240" w:lineRule="auto"/>
        <w:ind w:left="360"/>
        <w:contextualSpacing w:val="0"/>
        <w:jc w:val="both"/>
        <w:outlineLvl w:val="1"/>
        <w:rPr>
          <w:rFonts w:ascii="Calibri" w:eastAsia="Malgun Gothic" w:hAnsi="Calibri" w:cs="Calibri"/>
          <w:sz w:val="22"/>
          <w:lang w:eastAsia="ko-KR"/>
        </w:rPr>
      </w:pPr>
    </w:p>
    <w:p w14:paraId="7437CD9D" w14:textId="09CDA50B"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The US reiterated its long-standing position that the MP should apply from the equator south, noting concern about proposals to remove the 0–10°S band from MP but expressing willingness to explore implications </w:t>
      </w:r>
      <w:r w:rsidRPr="00571D80">
        <w:rPr>
          <w:rFonts w:ascii="Calibri" w:hAnsi="Calibri" w:cs="Calibri"/>
          <w:sz w:val="22"/>
        </w:rPr>
        <w:t>before</w:t>
      </w:r>
      <w:r w:rsidRPr="00806588">
        <w:rPr>
          <w:rFonts w:ascii="Calibri" w:eastAsia="Malgun Gothic" w:hAnsi="Calibri" w:cs="Calibri"/>
          <w:sz w:val="22"/>
          <w:lang w:eastAsia="ko-KR"/>
        </w:rPr>
        <w:t xml:space="preserve"> WCPFC22. The US stated it is prepared to engage in detailed discussions on HCR7, 13, 18, and 19, while cautioning that HCR10 poses significant risks to vulnerable biomass that may not be acceptable to many in the Commission, including the American Territories. </w:t>
      </w:r>
    </w:p>
    <w:p w14:paraId="3CCFEC3A" w14:textId="77777777" w:rsidR="008115FB" w:rsidRPr="00806588" w:rsidRDefault="008115FB" w:rsidP="00806588">
      <w:pPr>
        <w:pStyle w:val="ListParagraph"/>
        <w:adjustRightInd w:val="0"/>
        <w:snapToGrid w:val="0"/>
        <w:spacing w:after="0" w:line="240" w:lineRule="auto"/>
        <w:ind w:left="360"/>
        <w:contextualSpacing w:val="0"/>
        <w:jc w:val="both"/>
        <w:outlineLvl w:val="1"/>
        <w:rPr>
          <w:rFonts w:ascii="Calibri" w:eastAsia="Malgun Gothic" w:hAnsi="Calibri" w:cs="Calibri"/>
          <w:sz w:val="22"/>
          <w:lang w:eastAsia="ko-KR"/>
        </w:rPr>
      </w:pPr>
    </w:p>
    <w:p w14:paraId="2429D48A" w14:textId="052C1B04" w:rsidR="008115FB" w:rsidRPr="00806588" w:rsidRDefault="00806588"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Pr>
          <w:rFonts w:ascii="Calibri" w:eastAsia="Malgun Gothic" w:hAnsi="Calibri" w:cs="Calibri"/>
          <w:sz w:val="22"/>
          <w:lang w:eastAsia="ko-KR"/>
        </w:rPr>
        <w:t xml:space="preserve">The </w:t>
      </w:r>
      <w:r w:rsidR="008115FB" w:rsidRPr="00806588">
        <w:rPr>
          <w:rFonts w:ascii="Calibri" w:eastAsia="Malgun Gothic" w:hAnsi="Calibri" w:cs="Calibri"/>
          <w:sz w:val="22"/>
          <w:lang w:eastAsia="ko-KR"/>
        </w:rPr>
        <w:t xml:space="preserve">Cook Islands provided further explanation regarding the practical considerations of applying MPs across overlapping geographic areas. They noted that the skipjack MP does not apply to the entire stock range, highlighting that MPs are sometimes implemented with geographic limitations. They argued that </w:t>
      </w:r>
      <w:r>
        <w:rPr>
          <w:rFonts w:ascii="Calibri" w:eastAsia="Malgun Gothic" w:hAnsi="Calibri" w:cs="Calibri"/>
          <w:sz w:val="22"/>
          <w:lang w:eastAsia="ko-KR"/>
        </w:rPr>
        <w:t>using</w:t>
      </w:r>
      <w:r w:rsidR="008115FB" w:rsidRPr="00806588">
        <w:rPr>
          <w:rFonts w:ascii="Calibri" w:eastAsia="Malgun Gothic" w:hAnsi="Calibri" w:cs="Calibri"/>
          <w:sz w:val="22"/>
          <w:lang w:eastAsia="ko-KR"/>
        </w:rPr>
        <w:t xml:space="preserve"> two different MPs (albacore and bigeye) over the same geographic zones would create </w:t>
      </w:r>
      <w:r w:rsidR="008115FB" w:rsidRPr="00571D80">
        <w:rPr>
          <w:rFonts w:ascii="Calibri" w:hAnsi="Calibri" w:cs="Calibri"/>
          <w:sz w:val="22"/>
        </w:rPr>
        <w:t>significant</w:t>
      </w:r>
      <w:r w:rsidR="008115FB" w:rsidRPr="00806588">
        <w:rPr>
          <w:rFonts w:ascii="Calibri" w:eastAsia="Malgun Gothic" w:hAnsi="Calibri" w:cs="Calibri"/>
          <w:sz w:val="22"/>
          <w:lang w:eastAsia="ko-KR"/>
        </w:rPr>
        <w:t xml:space="preserve"> management complexity for CCMs, especially for those with unified longline arrangements across tropical and southern waters. Therefore, they supported excluding the equator–10°S zone from the albacore MP to ensure </w:t>
      </w:r>
      <w:r>
        <w:rPr>
          <w:rFonts w:ascii="Calibri" w:eastAsia="Malgun Gothic" w:hAnsi="Calibri" w:cs="Calibri"/>
          <w:sz w:val="22"/>
          <w:lang w:eastAsia="ko-KR"/>
        </w:rPr>
        <w:t>more apparent</w:t>
      </w:r>
      <w:r w:rsidR="008115FB" w:rsidRPr="00806588">
        <w:rPr>
          <w:rFonts w:ascii="Calibri" w:eastAsia="Malgun Gothic" w:hAnsi="Calibri" w:cs="Calibri"/>
          <w:sz w:val="22"/>
          <w:lang w:eastAsia="ko-KR"/>
        </w:rPr>
        <w:t xml:space="preserve"> separation between the albacore MP and the future bigeye MP. </w:t>
      </w:r>
    </w:p>
    <w:bookmarkEnd w:id="5"/>
    <w:p w14:paraId="59E27D00" w14:textId="77777777" w:rsidR="00011742" w:rsidRPr="00806588" w:rsidRDefault="00011742" w:rsidP="00806588">
      <w:pPr>
        <w:adjustRightInd w:val="0"/>
        <w:snapToGrid w:val="0"/>
        <w:spacing w:after="0" w:line="240" w:lineRule="auto"/>
        <w:rPr>
          <w:rFonts w:ascii="Calibri" w:eastAsia="Malgun Gothic" w:hAnsi="Calibri" w:cs="Calibri"/>
          <w:sz w:val="22"/>
          <w:lang w:eastAsia="ko-KR"/>
        </w:rPr>
      </w:pPr>
    </w:p>
    <w:p w14:paraId="4D405E36" w14:textId="2D5137B0"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bookmarkStart w:id="6" w:name="_Hlk213773425"/>
      <w:r w:rsidRPr="00806588">
        <w:rPr>
          <w:rFonts w:ascii="Calibri" w:eastAsia="Malgun Gothic" w:hAnsi="Calibri" w:cs="Calibri"/>
          <w:sz w:val="22"/>
          <w:lang w:eastAsia="ko-KR"/>
        </w:rPr>
        <w:t xml:space="preserve">Members discussed key outstanding issues, including geographic scope (south of the equator vs south of 10°S), treatment of Tokelau and Tuvalu EEZ catches, constraints on inter-period changes, and preferred harvest control rules. </w:t>
      </w:r>
      <w:r w:rsidRPr="00806588">
        <w:rPr>
          <w:rFonts w:ascii="Calibri" w:eastAsia="Malgun Gothic" w:hAnsi="Calibri" w:cs="Calibri"/>
          <w:b/>
          <w:bCs/>
          <w:sz w:val="22"/>
          <w:lang w:eastAsia="ko-KR"/>
        </w:rPr>
        <w:t xml:space="preserve">After extensive interventions, the workshop agreed to forward to the Commission a </w:t>
      </w:r>
      <w:r w:rsidRPr="00571D80">
        <w:rPr>
          <w:rFonts w:ascii="Calibri" w:hAnsi="Calibri" w:cs="Calibri"/>
          <w:sz w:val="22"/>
        </w:rPr>
        <w:t>narrowed</w:t>
      </w:r>
      <w:r w:rsidRPr="00806588">
        <w:rPr>
          <w:rFonts w:ascii="Calibri" w:eastAsia="Malgun Gothic" w:hAnsi="Calibri" w:cs="Calibri"/>
          <w:b/>
          <w:bCs/>
          <w:sz w:val="22"/>
          <w:lang w:eastAsia="ko-KR"/>
        </w:rPr>
        <w:t xml:space="preserve"> set of HCRs 7, 10, 13, 14, 17, 18, and 19—applying south of 10°S and excluding </w:t>
      </w:r>
      <w:r w:rsidRPr="00806588">
        <w:rPr>
          <w:rFonts w:ascii="Calibri" w:hAnsi="Calibri" w:cs="Calibri"/>
          <w:b/>
          <w:bCs/>
          <w:sz w:val="22"/>
        </w:rPr>
        <w:t>fisheries operating in the slivers of the EEZs of</w:t>
      </w:r>
      <w:r w:rsidRPr="00806588">
        <w:rPr>
          <w:rFonts w:ascii="Calibri" w:hAnsi="Calibri" w:cs="Calibri"/>
          <w:b/>
          <w:bCs/>
          <w:sz w:val="22"/>
          <w:u w:val="single"/>
        </w:rPr>
        <w:t xml:space="preserve"> </w:t>
      </w:r>
      <w:r w:rsidRPr="00806588">
        <w:rPr>
          <w:rFonts w:ascii="Calibri" w:eastAsia="Malgun Gothic" w:hAnsi="Calibri" w:cs="Calibri"/>
          <w:b/>
          <w:bCs/>
          <w:sz w:val="22"/>
          <w:lang w:eastAsia="ko-KR"/>
        </w:rPr>
        <w:t xml:space="preserve">Tokelau and Tuvalu </w:t>
      </w:r>
      <w:r w:rsidRPr="00806588">
        <w:rPr>
          <w:rFonts w:ascii="Calibri" w:hAnsi="Calibri" w:cs="Calibri"/>
          <w:b/>
          <w:bCs/>
          <w:sz w:val="22"/>
        </w:rPr>
        <w:t>that are south of 10°S</w:t>
      </w:r>
      <w:r w:rsidRPr="00806588">
        <w:rPr>
          <w:rFonts w:ascii="Calibri" w:eastAsia="Malgun Gothic" w:hAnsi="Calibri" w:cs="Calibri"/>
          <w:b/>
          <w:bCs/>
          <w:sz w:val="22"/>
          <w:lang w:eastAsia="ko-KR"/>
        </w:rPr>
        <w:t>, along with resubmission of all previously evaluated MPs, presented at WCPFC21, covering south of the equator (including both catch- and effort-based MPs).</w:t>
      </w:r>
      <w:r w:rsidRPr="00806588">
        <w:rPr>
          <w:rFonts w:ascii="Calibri" w:eastAsia="Malgun Gothic" w:hAnsi="Calibri" w:cs="Calibri"/>
          <w:sz w:val="22"/>
          <w:lang w:eastAsia="ko-KR"/>
        </w:rPr>
        <w:t xml:space="preserve"> </w:t>
      </w:r>
    </w:p>
    <w:p w14:paraId="5CBA71D0" w14:textId="77777777" w:rsidR="008115FB" w:rsidRPr="00806588" w:rsidRDefault="008115FB" w:rsidP="00806588">
      <w:pPr>
        <w:pStyle w:val="ListParagraph"/>
        <w:adjustRightInd w:val="0"/>
        <w:snapToGrid w:val="0"/>
        <w:spacing w:after="0" w:line="240" w:lineRule="auto"/>
        <w:ind w:left="360"/>
        <w:contextualSpacing w:val="0"/>
        <w:jc w:val="both"/>
        <w:outlineLvl w:val="1"/>
        <w:rPr>
          <w:rFonts w:ascii="Calibri" w:eastAsia="Malgun Gothic" w:hAnsi="Calibri" w:cs="Calibri"/>
          <w:sz w:val="22"/>
          <w:lang w:eastAsia="ko-KR"/>
        </w:rPr>
      </w:pPr>
    </w:p>
    <w:p w14:paraId="43F9444E" w14:textId="77777777"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The SSP also </w:t>
      </w:r>
      <w:r w:rsidRPr="00571D80">
        <w:rPr>
          <w:rFonts w:ascii="Calibri" w:hAnsi="Calibri" w:cs="Calibri"/>
          <w:sz w:val="22"/>
        </w:rPr>
        <w:t>received</w:t>
      </w:r>
      <w:r w:rsidRPr="00806588">
        <w:rPr>
          <w:rFonts w:ascii="Calibri" w:eastAsia="Malgun Gothic" w:hAnsi="Calibri" w:cs="Calibri"/>
          <w:sz w:val="22"/>
          <w:lang w:eastAsia="ko-KR"/>
        </w:rPr>
        <w:t xml:space="preserve"> requests for additional information ahead of WCPFC22:</w:t>
      </w:r>
    </w:p>
    <w:p w14:paraId="16AE2396" w14:textId="77777777" w:rsidR="00806588" w:rsidRPr="00806588" w:rsidRDefault="00806588" w:rsidP="00571D80">
      <w:pPr>
        <w:pStyle w:val="ListParagraph"/>
        <w:numPr>
          <w:ilvl w:val="0"/>
          <w:numId w:val="19"/>
        </w:numPr>
        <w:adjustRightInd w:val="0"/>
        <w:snapToGrid w:val="0"/>
        <w:spacing w:after="0" w:line="240" w:lineRule="auto"/>
        <w:ind w:left="1080"/>
        <w:rPr>
          <w:rFonts w:ascii="Calibri" w:eastAsia="Malgun Gothic" w:hAnsi="Calibri" w:cs="Calibri"/>
          <w:sz w:val="22"/>
          <w:lang w:eastAsia="ko-KR"/>
        </w:rPr>
      </w:pPr>
      <w:r w:rsidRPr="00806588">
        <w:rPr>
          <w:rFonts w:ascii="Calibri" w:eastAsia="Malgun Gothic" w:hAnsi="Calibri" w:cs="Calibri"/>
          <w:sz w:val="22"/>
          <w:lang w:eastAsia="ko-KR"/>
        </w:rPr>
        <w:t>From 2000-2023, South Pacific albacore catches, broken down by EEZ and high seas, showing: total catch, catch between the Equator and 10°S, and south of 10°S; and</w:t>
      </w:r>
    </w:p>
    <w:p w14:paraId="3197F980" w14:textId="77777777" w:rsidR="00806588" w:rsidRDefault="00806588" w:rsidP="00571D80">
      <w:pPr>
        <w:pStyle w:val="ListParagraph"/>
        <w:numPr>
          <w:ilvl w:val="0"/>
          <w:numId w:val="19"/>
        </w:numPr>
        <w:adjustRightInd w:val="0"/>
        <w:snapToGrid w:val="0"/>
        <w:spacing w:after="0" w:line="240" w:lineRule="auto"/>
        <w:ind w:left="1080"/>
        <w:rPr>
          <w:rFonts w:ascii="Calibri" w:eastAsia="Malgun Gothic" w:hAnsi="Calibri" w:cs="Calibri"/>
          <w:sz w:val="22"/>
          <w:lang w:eastAsia="ko-KR"/>
        </w:rPr>
      </w:pPr>
      <w:r w:rsidRPr="00806588">
        <w:rPr>
          <w:rFonts w:ascii="Calibri" w:eastAsia="Malgun Gothic" w:hAnsi="Calibri" w:cs="Calibri"/>
          <w:sz w:val="22"/>
          <w:lang w:eastAsia="ko-KR"/>
        </w:rPr>
        <w:t>From 2000-2023, for the area between the Equator and 10°S, south of 10°S, the number of hooks (or other effort indicator) set on the high seas vs. the number of hooks set within EEZs.</w:t>
      </w:r>
    </w:p>
    <w:p w14:paraId="7F48933D" w14:textId="11527851" w:rsidR="00571D80" w:rsidRPr="00806588" w:rsidRDefault="00571D80" w:rsidP="00571D80">
      <w:pPr>
        <w:pStyle w:val="ListParagraph"/>
        <w:numPr>
          <w:ilvl w:val="0"/>
          <w:numId w:val="19"/>
        </w:numPr>
        <w:adjustRightInd w:val="0"/>
        <w:snapToGrid w:val="0"/>
        <w:spacing w:after="0" w:line="240" w:lineRule="auto"/>
        <w:ind w:left="1080"/>
        <w:rPr>
          <w:rFonts w:ascii="Calibri" w:eastAsia="Malgun Gothic" w:hAnsi="Calibri" w:cs="Calibri"/>
          <w:sz w:val="22"/>
          <w:lang w:eastAsia="ko-KR"/>
        </w:rPr>
      </w:pPr>
      <w:r>
        <w:rPr>
          <w:rFonts w:ascii="Calibri" w:eastAsia="Malgun Gothic" w:hAnsi="Calibri" w:cs="Calibri"/>
          <w:sz w:val="22"/>
          <w:lang w:eastAsia="ko-KR"/>
        </w:rPr>
        <w:t>Calculation of an additional performance indicator that reports the total albacore catch of fisheries directly managed through the MP.</w:t>
      </w:r>
    </w:p>
    <w:p w14:paraId="3BD998C5" w14:textId="73A005DB" w:rsidR="00806588" w:rsidRPr="00806588" w:rsidRDefault="00806588" w:rsidP="00806588">
      <w:pPr>
        <w:pStyle w:val="ListParagraph"/>
        <w:adjustRightInd w:val="0"/>
        <w:snapToGrid w:val="0"/>
        <w:spacing w:after="0" w:line="240" w:lineRule="auto"/>
        <w:ind w:left="1440"/>
        <w:contextualSpacing w:val="0"/>
        <w:rPr>
          <w:rFonts w:ascii="Calibri" w:eastAsia="Malgun Gothic" w:hAnsi="Calibri" w:cs="Calibri"/>
          <w:sz w:val="22"/>
          <w:lang w:eastAsia="ko-KR"/>
        </w:rPr>
      </w:pPr>
    </w:p>
    <w:p w14:paraId="49634873" w14:textId="40B1ECE0"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 The </w:t>
      </w:r>
      <w:r w:rsidRPr="00571D80">
        <w:rPr>
          <w:rFonts w:ascii="Calibri" w:hAnsi="Calibri" w:cs="Calibri"/>
          <w:sz w:val="22"/>
        </w:rPr>
        <w:t>Agenda</w:t>
      </w:r>
      <w:r w:rsidRPr="00806588">
        <w:rPr>
          <w:rFonts w:ascii="Calibri" w:eastAsia="Malgun Gothic" w:hAnsi="Calibri" w:cs="Calibri"/>
          <w:sz w:val="22"/>
          <w:lang w:eastAsia="ko-KR"/>
        </w:rPr>
        <w:t xml:space="preserve"> Item 3 closed with an acknowledgement that substantial work remains and encouragement for members to undertake bilateral consultations before the Commission meeting. </w:t>
      </w:r>
    </w:p>
    <w:bookmarkEnd w:id="6"/>
    <w:p w14:paraId="7AB7E882" w14:textId="7CCA9C96" w:rsidR="008115FB" w:rsidRPr="00806588" w:rsidRDefault="008115FB" w:rsidP="00806588">
      <w:pPr>
        <w:pStyle w:val="ListParagraph"/>
        <w:adjustRightInd w:val="0"/>
        <w:snapToGrid w:val="0"/>
        <w:spacing w:after="0" w:line="240" w:lineRule="auto"/>
        <w:ind w:left="360"/>
        <w:contextualSpacing w:val="0"/>
        <w:rPr>
          <w:rFonts w:ascii="Calibri" w:eastAsia="Malgun Gothic" w:hAnsi="Calibri" w:cs="Calibri"/>
          <w:sz w:val="22"/>
          <w:lang w:eastAsia="ko-KR"/>
        </w:rPr>
      </w:pPr>
    </w:p>
    <w:p w14:paraId="60E25D83" w14:textId="0A2A725D" w:rsidR="00011742" w:rsidRPr="00806588" w:rsidRDefault="00806588" w:rsidP="00806588">
      <w:pPr>
        <w:pStyle w:val="ListParagraph"/>
        <w:numPr>
          <w:ilvl w:val="0"/>
          <w:numId w:val="11"/>
        </w:numPr>
        <w:adjustRightInd w:val="0"/>
        <w:snapToGrid w:val="0"/>
        <w:spacing w:after="0" w:line="240" w:lineRule="auto"/>
        <w:ind w:left="540" w:hanging="540"/>
        <w:contextualSpacing w:val="0"/>
        <w:outlineLvl w:val="1"/>
        <w:rPr>
          <w:rFonts w:ascii="Calibri" w:eastAsia="Times New Roman" w:hAnsi="Calibri" w:cs="Calibri"/>
          <w:b/>
          <w:bCs/>
          <w:color w:val="0066FF"/>
          <w:szCs w:val="24"/>
        </w:rPr>
      </w:pPr>
      <w:bookmarkStart w:id="7" w:name="_Toc213678199"/>
      <w:r w:rsidRPr="00806588">
        <w:rPr>
          <w:rFonts w:ascii="Calibri" w:eastAsia="Times New Roman" w:hAnsi="Calibri" w:cs="Calibri"/>
          <w:b/>
          <w:bCs/>
          <w:color w:val="0066FF"/>
          <w:szCs w:val="24"/>
        </w:rPr>
        <w:t>CMM ON THE MANAGEMENT ARRANGEMENTS FOR IMPLEMENTING THE SPA MP</w:t>
      </w:r>
      <w:bookmarkEnd w:id="7"/>
      <w:r w:rsidRPr="00806588">
        <w:rPr>
          <w:rFonts w:ascii="Calibri" w:eastAsia="Times New Roman" w:hAnsi="Calibri" w:cs="Calibri"/>
          <w:b/>
          <w:bCs/>
          <w:color w:val="0066FF"/>
          <w:szCs w:val="24"/>
        </w:rPr>
        <w:t xml:space="preserve"> </w:t>
      </w:r>
    </w:p>
    <w:p w14:paraId="672A55BC" w14:textId="77777777" w:rsidR="00011742" w:rsidRPr="00806588" w:rsidRDefault="00011742" w:rsidP="00806588">
      <w:pPr>
        <w:adjustRightInd w:val="0"/>
        <w:snapToGrid w:val="0"/>
        <w:spacing w:after="0" w:line="240" w:lineRule="auto"/>
        <w:outlineLvl w:val="1"/>
        <w:rPr>
          <w:rFonts w:ascii="Calibri" w:eastAsia="Times New Roman" w:hAnsi="Calibri" w:cs="Calibri"/>
          <w:b/>
          <w:bCs/>
          <w:color w:val="0066FF"/>
          <w:sz w:val="22"/>
        </w:rPr>
      </w:pPr>
    </w:p>
    <w:p w14:paraId="5E2803C2" w14:textId="6C086684" w:rsidR="00011742"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hAnsi="Calibri" w:cs="Calibri"/>
          <w:sz w:val="22"/>
        </w:rPr>
        <w:t>Cook</w:t>
      </w:r>
      <w:r w:rsidRPr="00806588">
        <w:rPr>
          <w:rFonts w:ascii="Calibri" w:eastAsia="Malgun Gothic" w:hAnsi="Calibri" w:cs="Calibri"/>
          <w:sz w:val="22"/>
          <w:lang w:eastAsia="ko-KR"/>
        </w:rPr>
        <w:t xml:space="preserve"> Islands, on behalf of Tokelau and FFA, formally introduced the FFA proposal in </w:t>
      </w:r>
      <w:hyperlink r:id="rId13" w:history="1">
        <w:r w:rsidRPr="00806588">
          <w:rPr>
            <w:rStyle w:val="Hyperlink"/>
            <w:rFonts w:ascii="Calibri" w:eastAsia="Malgun Gothic" w:hAnsi="Calibri" w:cs="Calibri"/>
            <w:sz w:val="22"/>
            <w:lang w:eastAsia="ko-KR"/>
          </w:rPr>
          <w:t>WCPFC22-2025-DP02b</w:t>
        </w:r>
      </w:hyperlink>
      <w:r w:rsidRPr="00806588">
        <w:rPr>
          <w:rFonts w:ascii="Calibri" w:eastAsia="Malgun Gothic" w:hAnsi="Calibri" w:cs="Calibri"/>
          <w:sz w:val="22"/>
          <w:lang w:eastAsia="ko-KR"/>
        </w:rPr>
        <w:t xml:space="preserve">. They emphasized that the proposed measure would replace CMM 2015-02, support implementation of the albacore MP, and strengthen key management components. The proposal recognizes existing zone-based limits and high seas limits, affirms the rights and interests of coastal States, including binding zone-based allocations, and respects pre-existing national and sub-regional arrangements. It </w:t>
      </w:r>
      <w:r w:rsidRPr="00571D80">
        <w:rPr>
          <w:rFonts w:ascii="Calibri" w:hAnsi="Calibri" w:cs="Calibri"/>
          <w:sz w:val="22"/>
        </w:rPr>
        <w:t>also</w:t>
      </w:r>
      <w:r w:rsidRPr="00806588">
        <w:rPr>
          <w:rFonts w:ascii="Calibri" w:eastAsia="Malgun Gothic" w:hAnsi="Calibri" w:cs="Calibri"/>
          <w:sz w:val="22"/>
          <w:lang w:eastAsia="ko-KR"/>
        </w:rPr>
        <w:t xml:space="preserve"> incorporates flexibility tools such as transferability, multi-year reconciliation, and pooling to help manage variability in the fishery. Monitoring is strengthened through enhanced electronic reporting, improved </w:t>
      </w:r>
      <w:r w:rsidR="00806588" w:rsidRPr="00806588">
        <w:rPr>
          <w:rFonts w:ascii="Calibri" w:eastAsia="Malgun Gothic" w:hAnsi="Calibri" w:cs="Calibri"/>
          <w:sz w:val="22"/>
          <w:lang w:eastAsia="ko-KR"/>
        </w:rPr>
        <w:t>oversight</w:t>
      </w:r>
      <w:r w:rsidR="00806588">
        <w:rPr>
          <w:rFonts w:ascii="Calibri" w:eastAsia="Malgun Gothic" w:hAnsi="Calibri" w:cs="Calibri"/>
          <w:sz w:val="22"/>
          <w:lang w:eastAsia="ko-KR"/>
        </w:rPr>
        <w:t xml:space="preserve"> of </w:t>
      </w:r>
      <w:r w:rsidRPr="00806588">
        <w:rPr>
          <w:rFonts w:ascii="Calibri" w:eastAsia="Malgun Gothic" w:hAnsi="Calibri" w:cs="Calibri"/>
          <w:sz w:val="22"/>
          <w:lang w:eastAsia="ko-KR"/>
        </w:rPr>
        <w:t xml:space="preserve">transshipment, increased observer/EM coverage, and more robust unloading data submission. On allocation, they outlined a two-step process—first determining the overall EEZ/high seas proportional split, then allocating the high seas portion. They proposed 75% EEZ / 25% high seas split based on Convention principles (Articles 10(3) and 30) and the special requirements of SIDS, while acknowledging climate-related distribution shifts. They underscored that the transition to an MP will require shared adjustments but will ultimately support economic and social benefits for all CCMs. The Cook Islands concluded by noting that PNA+ will </w:t>
      </w:r>
      <w:r w:rsidR="00806588">
        <w:rPr>
          <w:rFonts w:ascii="Calibri" w:eastAsia="Malgun Gothic" w:hAnsi="Calibri" w:cs="Calibri"/>
          <w:sz w:val="22"/>
          <w:lang w:eastAsia="ko-KR"/>
        </w:rPr>
        <w:t xml:space="preserve">require further consideration regarding the application of effort-based MPs between the equator and 10°S, given the </w:t>
      </w:r>
      <w:r w:rsidRPr="00806588">
        <w:rPr>
          <w:rFonts w:ascii="Calibri" w:eastAsia="Malgun Gothic" w:hAnsi="Calibri" w:cs="Calibri"/>
          <w:sz w:val="22"/>
          <w:lang w:eastAsia="ko-KR"/>
        </w:rPr>
        <w:t>existing effort control regimes in that zone.</w:t>
      </w:r>
    </w:p>
    <w:p w14:paraId="14BE7BB7" w14:textId="77777777" w:rsidR="008115FB" w:rsidRPr="00806588" w:rsidRDefault="008115FB" w:rsidP="00806588">
      <w:pPr>
        <w:pStyle w:val="ListParagraph"/>
        <w:adjustRightInd w:val="0"/>
        <w:snapToGrid w:val="0"/>
        <w:spacing w:after="0" w:line="240" w:lineRule="auto"/>
        <w:ind w:left="360"/>
        <w:contextualSpacing w:val="0"/>
        <w:jc w:val="both"/>
        <w:outlineLvl w:val="1"/>
        <w:rPr>
          <w:rFonts w:ascii="Calibri" w:eastAsia="Malgun Gothic" w:hAnsi="Calibri" w:cs="Calibri"/>
          <w:sz w:val="22"/>
          <w:lang w:eastAsia="ko-KR"/>
        </w:rPr>
      </w:pPr>
    </w:p>
    <w:p w14:paraId="5581108D" w14:textId="5364E3DD"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Japan also queried details of the FFA’s draft allocation approach—specifically the 75% EEZ / 25% high seas split—and requested the SSP to provide long-term EEZ vs high seas catch and effort data (ideally 2000–2023) to support equitable allocation discussions at WCPFC22. </w:t>
      </w:r>
    </w:p>
    <w:p w14:paraId="5D802531" w14:textId="77777777" w:rsidR="008115FB" w:rsidRPr="00806588" w:rsidRDefault="008115FB" w:rsidP="00806588">
      <w:pPr>
        <w:pStyle w:val="ListParagraph"/>
        <w:adjustRightInd w:val="0"/>
        <w:snapToGrid w:val="0"/>
        <w:spacing w:after="0" w:line="240" w:lineRule="auto"/>
        <w:contextualSpacing w:val="0"/>
        <w:rPr>
          <w:rFonts w:ascii="Calibri" w:eastAsia="Malgun Gothic" w:hAnsi="Calibri" w:cs="Calibri"/>
          <w:sz w:val="22"/>
          <w:lang w:eastAsia="ko-KR"/>
        </w:rPr>
      </w:pPr>
    </w:p>
    <w:p w14:paraId="1FDDB640" w14:textId="67632349"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The Cook Islands confirmed that the 75/25 EEZ/high seas split appears in </w:t>
      </w:r>
      <w:hyperlink r:id="rId14" w:history="1">
        <w:r w:rsidRPr="00806588">
          <w:rPr>
            <w:rStyle w:val="Hyperlink"/>
            <w:rFonts w:ascii="Calibri" w:eastAsia="Malgun Gothic" w:hAnsi="Calibri" w:cs="Calibri"/>
            <w:sz w:val="22"/>
            <w:lang w:eastAsia="ko-KR"/>
          </w:rPr>
          <w:t>WCPFC22-2025-DP02b</w:t>
        </w:r>
      </w:hyperlink>
      <w:r w:rsidRPr="00806588">
        <w:rPr>
          <w:rFonts w:ascii="Calibri" w:eastAsia="Malgun Gothic" w:hAnsi="Calibri" w:cs="Calibri"/>
          <w:sz w:val="22"/>
          <w:lang w:eastAsia="ko-KR"/>
        </w:rPr>
        <w:t xml:space="preserve">, welcomed </w:t>
      </w:r>
      <w:r w:rsidRPr="00571D80">
        <w:rPr>
          <w:rFonts w:ascii="Calibri" w:hAnsi="Calibri" w:cs="Calibri"/>
          <w:sz w:val="22"/>
        </w:rPr>
        <w:t>comments</w:t>
      </w:r>
      <w:r w:rsidRPr="00806588">
        <w:rPr>
          <w:rFonts w:ascii="Calibri" w:eastAsia="Malgun Gothic" w:hAnsi="Calibri" w:cs="Calibri"/>
          <w:sz w:val="22"/>
          <w:lang w:eastAsia="ko-KR"/>
        </w:rPr>
        <w:t xml:space="preserve"> by email, and provided further justification for differing monitoring obligations. </w:t>
      </w:r>
    </w:p>
    <w:p w14:paraId="02DD1D43" w14:textId="77777777" w:rsidR="008115FB" w:rsidRPr="00806588" w:rsidRDefault="008115FB" w:rsidP="00806588">
      <w:pPr>
        <w:pStyle w:val="ListParagraph"/>
        <w:adjustRightInd w:val="0"/>
        <w:snapToGrid w:val="0"/>
        <w:spacing w:after="0" w:line="240" w:lineRule="auto"/>
        <w:contextualSpacing w:val="0"/>
        <w:rPr>
          <w:rFonts w:ascii="Calibri" w:eastAsia="Malgun Gothic" w:hAnsi="Calibri" w:cs="Calibri"/>
          <w:sz w:val="22"/>
          <w:lang w:eastAsia="ko-KR"/>
        </w:rPr>
      </w:pPr>
    </w:p>
    <w:p w14:paraId="3ABD95D9" w14:textId="375C7FA1"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lastRenderedPageBreak/>
        <w:t xml:space="preserve">China requested the removal of observer-related issues from the CMM that could hamper its </w:t>
      </w:r>
      <w:r w:rsidR="00806588" w:rsidRPr="00806588">
        <w:rPr>
          <w:rFonts w:ascii="Calibri" w:eastAsia="Malgun Gothic" w:hAnsi="Calibri" w:cs="Calibri"/>
          <w:sz w:val="22"/>
          <w:lang w:eastAsia="ko-KR"/>
        </w:rPr>
        <w:t>adoption and</w:t>
      </w:r>
      <w:r w:rsidRPr="00806588">
        <w:rPr>
          <w:rFonts w:ascii="Calibri" w:eastAsia="Malgun Gothic" w:hAnsi="Calibri" w:cs="Calibri"/>
          <w:sz w:val="22"/>
          <w:lang w:eastAsia="ko-KR"/>
        </w:rPr>
        <w:t xml:space="preserve"> proposed that the SSP compile comprehensive historical catch and effort data (by EEZ/high seas and by area between the equator and 10°S) to support discussions at WCPFC22.</w:t>
      </w:r>
    </w:p>
    <w:p w14:paraId="7048E1A5" w14:textId="77777777" w:rsidR="008115FB" w:rsidRPr="00806588" w:rsidRDefault="008115FB" w:rsidP="00806588">
      <w:pPr>
        <w:pStyle w:val="ListParagraph"/>
        <w:adjustRightInd w:val="0"/>
        <w:snapToGrid w:val="0"/>
        <w:spacing w:after="0" w:line="240" w:lineRule="auto"/>
        <w:contextualSpacing w:val="0"/>
        <w:rPr>
          <w:rFonts w:ascii="Calibri" w:eastAsia="Malgun Gothic" w:hAnsi="Calibri" w:cs="Calibri"/>
          <w:sz w:val="22"/>
          <w:lang w:eastAsia="ko-KR"/>
        </w:rPr>
      </w:pPr>
    </w:p>
    <w:p w14:paraId="16380BDE" w14:textId="63472CE9"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Chinese Taipei expressed broader concerns with the FFA proposal, including issues relating to allocation proportions, operational-level data submission requirements, catch-retention rules, and observer </w:t>
      </w:r>
      <w:r w:rsidRPr="00571D80">
        <w:rPr>
          <w:rFonts w:ascii="Calibri" w:hAnsi="Calibri" w:cs="Calibri"/>
          <w:sz w:val="22"/>
        </w:rPr>
        <w:t>coverage</w:t>
      </w:r>
      <w:r w:rsidRPr="00806588">
        <w:rPr>
          <w:rFonts w:ascii="Calibri" w:eastAsia="Malgun Gothic" w:hAnsi="Calibri" w:cs="Calibri"/>
          <w:sz w:val="22"/>
          <w:lang w:eastAsia="ko-KR"/>
        </w:rPr>
        <w:t xml:space="preserve"> requirements. They noted, however, their appreciation for the proposal’s inclusion of a transferable quota mechanism.</w:t>
      </w:r>
    </w:p>
    <w:p w14:paraId="65C0AF9E" w14:textId="77777777" w:rsidR="008115FB" w:rsidRPr="00806588" w:rsidRDefault="008115FB" w:rsidP="00806588">
      <w:pPr>
        <w:pStyle w:val="ListParagraph"/>
        <w:adjustRightInd w:val="0"/>
        <w:snapToGrid w:val="0"/>
        <w:spacing w:after="0" w:line="240" w:lineRule="auto"/>
        <w:contextualSpacing w:val="0"/>
        <w:rPr>
          <w:rFonts w:ascii="Calibri" w:eastAsia="Malgun Gothic" w:hAnsi="Calibri" w:cs="Calibri"/>
          <w:sz w:val="22"/>
          <w:lang w:eastAsia="ko-KR"/>
        </w:rPr>
      </w:pPr>
    </w:p>
    <w:p w14:paraId="7BDE24F6" w14:textId="4F337EE6"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Regarding the FFA’s draft CMM on allocation and implementation, the US emphasized the need to avoid diverting the SSP </w:t>
      </w:r>
      <w:r w:rsidRPr="00571D80">
        <w:rPr>
          <w:rFonts w:ascii="Calibri" w:hAnsi="Calibri" w:cs="Calibri"/>
          <w:sz w:val="22"/>
        </w:rPr>
        <w:t>resources</w:t>
      </w:r>
      <w:r w:rsidRPr="00806588">
        <w:rPr>
          <w:rFonts w:ascii="Calibri" w:eastAsia="Malgun Gothic" w:hAnsi="Calibri" w:cs="Calibri"/>
          <w:sz w:val="22"/>
          <w:lang w:eastAsia="ko-KR"/>
        </w:rPr>
        <w:t xml:space="preserve"> away from finalizing the MP and raised concerns about the zone-based allocation approach, although it welcomed certain flexibilities such as transferability. The US supported continued discussion of implementation after MP adoption.</w:t>
      </w:r>
    </w:p>
    <w:p w14:paraId="55E79940" w14:textId="77777777" w:rsidR="008115FB" w:rsidRPr="00806588" w:rsidRDefault="008115FB" w:rsidP="00806588">
      <w:pPr>
        <w:pStyle w:val="ListParagraph"/>
        <w:adjustRightInd w:val="0"/>
        <w:snapToGrid w:val="0"/>
        <w:spacing w:after="0" w:line="240" w:lineRule="auto"/>
        <w:contextualSpacing w:val="0"/>
        <w:rPr>
          <w:rFonts w:ascii="Calibri" w:eastAsia="Malgun Gothic" w:hAnsi="Calibri" w:cs="Calibri"/>
          <w:sz w:val="22"/>
          <w:lang w:eastAsia="ko-KR"/>
        </w:rPr>
      </w:pPr>
    </w:p>
    <w:p w14:paraId="35BD71E8" w14:textId="65CE3D6E"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New Caledonia raised concerns regarding several obligations in implementing CMM, especially proposals for observer coverage and discard reporting, which they felt had not been previously discussed in the relevant subsidiary bodies (e.g., TCC) and therefore required careful review. They also questioned the </w:t>
      </w:r>
      <w:r w:rsidRPr="00571D80">
        <w:rPr>
          <w:rFonts w:ascii="Calibri" w:hAnsi="Calibri" w:cs="Calibri"/>
          <w:sz w:val="22"/>
        </w:rPr>
        <w:t>rationale</w:t>
      </w:r>
      <w:r w:rsidRPr="00806588">
        <w:rPr>
          <w:rFonts w:ascii="Calibri" w:eastAsia="Malgun Gothic" w:hAnsi="Calibri" w:cs="Calibri"/>
          <w:sz w:val="22"/>
          <w:lang w:eastAsia="ko-KR"/>
        </w:rPr>
        <w:t xml:space="preserve"> for different monitoring requirements between the equator–10°S area and the area south of 10°S, particularly why obligations were not uniform across the entire management area. They </w:t>
      </w:r>
      <w:r w:rsidR="00806588">
        <w:rPr>
          <w:rFonts w:ascii="Calibri" w:eastAsia="Malgun Gothic" w:hAnsi="Calibri" w:cs="Calibri"/>
          <w:sz w:val="22"/>
          <w:lang w:eastAsia="ko-KR"/>
        </w:rPr>
        <w:t>requested clarification on the assumptions underlying</w:t>
      </w:r>
      <w:r w:rsidRPr="00806588">
        <w:rPr>
          <w:rFonts w:ascii="Calibri" w:eastAsia="Malgun Gothic" w:hAnsi="Calibri" w:cs="Calibri"/>
          <w:sz w:val="22"/>
          <w:lang w:eastAsia="ko-KR"/>
        </w:rPr>
        <w:t xml:space="preserve"> these distinctions.</w:t>
      </w:r>
    </w:p>
    <w:p w14:paraId="749D967C" w14:textId="77777777" w:rsidR="008115FB" w:rsidRPr="00806588" w:rsidRDefault="008115FB" w:rsidP="00806588">
      <w:pPr>
        <w:pStyle w:val="ListParagraph"/>
        <w:adjustRightInd w:val="0"/>
        <w:snapToGrid w:val="0"/>
        <w:spacing w:after="0" w:line="240" w:lineRule="auto"/>
        <w:contextualSpacing w:val="0"/>
        <w:rPr>
          <w:rFonts w:ascii="Calibri" w:eastAsia="Malgun Gothic" w:hAnsi="Calibri" w:cs="Calibri"/>
          <w:sz w:val="22"/>
          <w:lang w:eastAsia="ko-KR"/>
        </w:rPr>
      </w:pPr>
    </w:p>
    <w:p w14:paraId="6D0BC167" w14:textId="5B2EF55E"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Cook Islands stressed that the albacore MP south of 10°S is catch-based, requiring strong monitoring and independent verification, particularly in the high seas, where data gaps are significant. Thus, differentiated measures may be necessary. They also reminded members that tropical longline areas between the equator and 10°S will ultimately be governed under the bigeye MP through arrangements similar to the tropical tuna CMM.</w:t>
      </w:r>
    </w:p>
    <w:p w14:paraId="5B8CD7A1" w14:textId="77777777" w:rsidR="008115FB" w:rsidRPr="00806588" w:rsidRDefault="008115FB" w:rsidP="00806588">
      <w:pPr>
        <w:pStyle w:val="ListParagraph"/>
        <w:adjustRightInd w:val="0"/>
        <w:snapToGrid w:val="0"/>
        <w:spacing w:after="0" w:line="240" w:lineRule="auto"/>
        <w:contextualSpacing w:val="0"/>
        <w:rPr>
          <w:rFonts w:ascii="Calibri" w:eastAsia="Malgun Gothic" w:hAnsi="Calibri" w:cs="Calibri"/>
          <w:sz w:val="22"/>
          <w:lang w:eastAsia="ko-KR"/>
        </w:rPr>
      </w:pPr>
    </w:p>
    <w:p w14:paraId="4CFF5210" w14:textId="79FC132A" w:rsidR="008115FB" w:rsidRPr="00806588" w:rsidRDefault="008115FB"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Malgun Gothic" w:hAnsi="Calibri" w:cs="Calibri"/>
          <w:sz w:val="22"/>
          <w:lang w:eastAsia="ko-KR"/>
        </w:rPr>
      </w:pPr>
      <w:r w:rsidRPr="00806588">
        <w:rPr>
          <w:rFonts w:ascii="Calibri" w:eastAsia="Malgun Gothic" w:hAnsi="Calibri" w:cs="Calibri"/>
          <w:sz w:val="22"/>
          <w:lang w:eastAsia="ko-KR"/>
        </w:rPr>
        <w:t xml:space="preserve">Tokelau clarified that their earlier intervention was not about retaining HCR 9 for the area south of 10°S or about excluding the small portions of Tuvalu and Tokelau EEZs. They reaffirmed support for the FFA proposal, </w:t>
      </w:r>
      <w:r w:rsidRPr="00571D80">
        <w:rPr>
          <w:rFonts w:ascii="Calibri" w:hAnsi="Calibri" w:cs="Calibri"/>
          <w:sz w:val="22"/>
        </w:rPr>
        <w:t>consistent</w:t>
      </w:r>
      <w:r w:rsidRPr="00806588">
        <w:rPr>
          <w:rFonts w:ascii="Calibri" w:eastAsia="Malgun Gothic" w:hAnsi="Calibri" w:cs="Calibri"/>
          <w:sz w:val="22"/>
          <w:lang w:eastAsia="ko-KR"/>
        </w:rPr>
        <w:t xml:space="preserve"> with the co-chairs’ explanation. Their key point was </w:t>
      </w:r>
      <w:r w:rsidRPr="00806588">
        <w:rPr>
          <w:rFonts w:ascii="Calibri" w:hAnsi="Calibri" w:cs="Calibri"/>
          <w:sz w:val="22"/>
        </w:rPr>
        <w:t>that</w:t>
      </w:r>
      <w:r w:rsidRPr="00806588">
        <w:rPr>
          <w:rFonts w:ascii="Calibri" w:eastAsia="Malgun Gothic" w:hAnsi="Calibri" w:cs="Calibri"/>
          <w:sz w:val="22"/>
          <w:lang w:eastAsia="ko-KR"/>
        </w:rPr>
        <w:t xml:space="preserve"> if management proposals are being put forward for the equator–south area, then it is important to maintain effort-based HCRs for that region.</w:t>
      </w:r>
    </w:p>
    <w:p w14:paraId="402509FC" w14:textId="77777777" w:rsidR="00011742" w:rsidRPr="00806588" w:rsidRDefault="00011742" w:rsidP="00806588">
      <w:pPr>
        <w:adjustRightInd w:val="0"/>
        <w:snapToGrid w:val="0"/>
        <w:spacing w:after="0" w:line="240" w:lineRule="auto"/>
        <w:rPr>
          <w:rFonts w:ascii="Calibri" w:eastAsia="Malgun Gothic" w:hAnsi="Calibri" w:cs="Calibri"/>
          <w:sz w:val="22"/>
          <w:lang w:eastAsia="ko-KR"/>
        </w:rPr>
      </w:pPr>
    </w:p>
    <w:p w14:paraId="67FCE096" w14:textId="0860E6E0" w:rsidR="00011742" w:rsidRPr="00806588" w:rsidRDefault="00806588" w:rsidP="00806588">
      <w:pPr>
        <w:pStyle w:val="ListParagraph"/>
        <w:numPr>
          <w:ilvl w:val="0"/>
          <w:numId w:val="11"/>
        </w:numPr>
        <w:adjustRightInd w:val="0"/>
        <w:snapToGrid w:val="0"/>
        <w:spacing w:after="0" w:line="240" w:lineRule="auto"/>
        <w:ind w:left="540" w:hanging="540"/>
        <w:contextualSpacing w:val="0"/>
        <w:outlineLvl w:val="1"/>
        <w:rPr>
          <w:rFonts w:ascii="Calibri" w:eastAsia="Times New Roman" w:hAnsi="Calibri" w:cs="Calibri"/>
          <w:b/>
          <w:bCs/>
          <w:color w:val="0066FF"/>
          <w:szCs w:val="24"/>
        </w:rPr>
      </w:pPr>
      <w:bookmarkStart w:id="8" w:name="_Toc213678200"/>
      <w:r w:rsidRPr="00806588">
        <w:rPr>
          <w:rFonts w:ascii="Calibri" w:eastAsia="Times New Roman" w:hAnsi="Calibri" w:cs="Calibri"/>
          <w:b/>
          <w:bCs/>
          <w:color w:val="0066FF"/>
          <w:szCs w:val="24"/>
        </w:rPr>
        <w:t>CO-CHAIRS’ SUMMARY AND CLOSING OF THE WORKSHOP</w:t>
      </w:r>
      <w:bookmarkEnd w:id="8"/>
    </w:p>
    <w:p w14:paraId="6B40C4BD" w14:textId="77777777" w:rsidR="00011742" w:rsidRPr="00806588" w:rsidRDefault="00011742" w:rsidP="00806588">
      <w:pPr>
        <w:adjustRightInd w:val="0"/>
        <w:snapToGrid w:val="0"/>
        <w:spacing w:after="0" w:line="240" w:lineRule="auto"/>
        <w:ind w:left="720"/>
        <w:rPr>
          <w:rFonts w:ascii="Calibri" w:eastAsia="Times New Roman" w:hAnsi="Calibri" w:cs="Calibri"/>
          <w:sz w:val="22"/>
        </w:rPr>
      </w:pPr>
    </w:p>
    <w:p w14:paraId="2EC8763B" w14:textId="4D29EDC9" w:rsidR="00011742"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Times New Roman" w:hAnsi="Calibri" w:cs="Calibri"/>
          <w:sz w:val="22"/>
        </w:rPr>
      </w:pPr>
      <w:bookmarkStart w:id="9" w:name="_Toc213677625"/>
      <w:bookmarkStart w:id="10" w:name="_Toc213678201"/>
      <w:r w:rsidRPr="00806588">
        <w:rPr>
          <w:rFonts w:ascii="Calibri" w:eastAsia="Times New Roman" w:hAnsi="Calibri" w:cs="Calibri"/>
          <w:sz w:val="22"/>
        </w:rPr>
        <w:t xml:space="preserve">The </w:t>
      </w:r>
      <w:r w:rsidR="008115FB" w:rsidRPr="00806588">
        <w:rPr>
          <w:rFonts w:ascii="Calibri" w:hAnsi="Calibri" w:cs="Calibri"/>
          <w:sz w:val="22"/>
        </w:rPr>
        <w:t>Co-Chairs</w:t>
      </w:r>
      <w:r w:rsidR="008115FB" w:rsidRPr="00806588">
        <w:rPr>
          <w:rFonts w:ascii="Calibri" w:eastAsia="Times New Roman" w:hAnsi="Calibri" w:cs="Calibri"/>
          <w:sz w:val="22"/>
        </w:rPr>
        <w:t xml:space="preserve"> </w:t>
      </w:r>
      <w:r w:rsidRPr="00806588">
        <w:rPr>
          <w:rFonts w:ascii="Calibri" w:eastAsia="Times New Roman" w:hAnsi="Calibri" w:cs="Calibri"/>
          <w:sz w:val="22"/>
        </w:rPr>
        <w:t xml:space="preserve">confirmed </w:t>
      </w:r>
      <w:r w:rsidRPr="00571D80">
        <w:rPr>
          <w:rFonts w:ascii="Calibri" w:hAnsi="Calibri" w:cs="Calibri"/>
          <w:sz w:val="22"/>
        </w:rPr>
        <w:t>that</w:t>
      </w:r>
      <w:r w:rsidRPr="00806588">
        <w:rPr>
          <w:rFonts w:ascii="Calibri" w:eastAsia="Times New Roman" w:hAnsi="Calibri" w:cs="Calibri"/>
          <w:sz w:val="22"/>
        </w:rPr>
        <w:t xml:space="preserve"> the outcomes under Agenda Item 3 include </w:t>
      </w:r>
      <w:r w:rsidRPr="00806588">
        <w:rPr>
          <w:rFonts w:ascii="Calibri" w:eastAsia="Times New Roman" w:hAnsi="Calibri" w:cs="Calibri"/>
          <w:b/>
          <w:bCs/>
          <w:sz w:val="22"/>
        </w:rPr>
        <w:t xml:space="preserve">forwarding </w:t>
      </w:r>
      <w:r w:rsidR="008115FB" w:rsidRPr="00806588">
        <w:rPr>
          <w:rFonts w:ascii="Calibri" w:eastAsia="Times New Roman" w:hAnsi="Calibri" w:cs="Calibri"/>
          <w:b/>
          <w:bCs/>
          <w:sz w:val="22"/>
        </w:rPr>
        <w:t>the following to the Commission:</w:t>
      </w:r>
    </w:p>
    <w:p w14:paraId="5B6C7ABE" w14:textId="5C9404D2" w:rsidR="00011742" w:rsidRPr="00806588" w:rsidRDefault="00011742" w:rsidP="00571D80">
      <w:pPr>
        <w:pStyle w:val="ListParagraph"/>
        <w:numPr>
          <w:ilvl w:val="0"/>
          <w:numId w:val="21"/>
        </w:numPr>
        <w:adjustRightInd w:val="0"/>
        <w:snapToGrid w:val="0"/>
        <w:spacing w:after="0" w:line="240" w:lineRule="auto"/>
        <w:ind w:hanging="360"/>
        <w:contextualSpacing w:val="0"/>
        <w:jc w:val="both"/>
        <w:outlineLvl w:val="1"/>
        <w:rPr>
          <w:rFonts w:ascii="Calibri" w:eastAsia="Times New Roman" w:hAnsi="Calibri" w:cs="Calibri"/>
          <w:sz w:val="22"/>
        </w:rPr>
      </w:pPr>
      <w:r w:rsidRPr="00806588">
        <w:rPr>
          <w:rFonts w:ascii="Calibri" w:eastAsia="Times New Roman" w:hAnsi="Calibri" w:cs="Calibri"/>
          <w:b/>
          <w:bCs/>
          <w:sz w:val="22"/>
        </w:rPr>
        <w:t xml:space="preserve">HCRs 7, 10, 13, 14, 17, 18, and 19, </w:t>
      </w:r>
      <w:r w:rsidR="008115FB" w:rsidRPr="00806588">
        <w:rPr>
          <w:rFonts w:ascii="Calibri" w:eastAsia="Malgun Gothic" w:hAnsi="Calibri" w:cs="Calibri"/>
          <w:b/>
          <w:bCs/>
          <w:sz w:val="22"/>
          <w:lang w:eastAsia="ko-KR"/>
        </w:rPr>
        <w:t xml:space="preserve">applying south of 10°S and excluding </w:t>
      </w:r>
      <w:r w:rsidR="008115FB" w:rsidRPr="00806588">
        <w:rPr>
          <w:rFonts w:ascii="Calibri" w:hAnsi="Calibri" w:cs="Calibri"/>
          <w:b/>
          <w:bCs/>
          <w:sz w:val="22"/>
        </w:rPr>
        <w:t xml:space="preserve">fisheries operating in the slivers of the EEZs of </w:t>
      </w:r>
      <w:r w:rsidR="008115FB" w:rsidRPr="00806588">
        <w:rPr>
          <w:rFonts w:ascii="Calibri" w:eastAsia="Malgun Gothic" w:hAnsi="Calibri" w:cs="Calibri"/>
          <w:b/>
          <w:bCs/>
          <w:sz w:val="22"/>
          <w:lang w:eastAsia="ko-KR"/>
        </w:rPr>
        <w:t xml:space="preserve">Tokelau and Tuvalu </w:t>
      </w:r>
      <w:r w:rsidR="008115FB" w:rsidRPr="00806588">
        <w:rPr>
          <w:rFonts w:ascii="Calibri" w:hAnsi="Calibri" w:cs="Calibri"/>
          <w:b/>
          <w:bCs/>
          <w:sz w:val="22"/>
        </w:rPr>
        <w:t>that are south of 10°S</w:t>
      </w:r>
      <w:r w:rsidRPr="00806588">
        <w:rPr>
          <w:rFonts w:ascii="Calibri" w:eastAsia="Times New Roman" w:hAnsi="Calibri" w:cs="Calibri"/>
          <w:b/>
          <w:bCs/>
          <w:sz w:val="22"/>
        </w:rPr>
        <w:t xml:space="preserve">, </w:t>
      </w:r>
      <w:r w:rsidRPr="00806588">
        <w:rPr>
          <w:rFonts w:ascii="Calibri" w:eastAsia="Times New Roman" w:hAnsi="Calibri" w:cs="Calibri"/>
          <w:sz w:val="22"/>
        </w:rPr>
        <w:t xml:space="preserve">and </w:t>
      </w:r>
    </w:p>
    <w:p w14:paraId="6BADA589" w14:textId="3589CD19" w:rsidR="00011742" w:rsidRPr="00806588" w:rsidRDefault="008115FB" w:rsidP="00571D80">
      <w:pPr>
        <w:pStyle w:val="ListParagraph"/>
        <w:numPr>
          <w:ilvl w:val="0"/>
          <w:numId w:val="21"/>
        </w:numPr>
        <w:adjustRightInd w:val="0"/>
        <w:snapToGrid w:val="0"/>
        <w:spacing w:after="0" w:line="240" w:lineRule="auto"/>
        <w:ind w:hanging="360"/>
        <w:contextualSpacing w:val="0"/>
        <w:jc w:val="both"/>
        <w:outlineLvl w:val="1"/>
        <w:rPr>
          <w:rFonts w:ascii="Calibri" w:eastAsia="Times New Roman" w:hAnsi="Calibri" w:cs="Calibri"/>
          <w:b/>
          <w:bCs/>
          <w:sz w:val="22"/>
        </w:rPr>
      </w:pPr>
      <w:r w:rsidRPr="00806588">
        <w:rPr>
          <w:rFonts w:ascii="Calibri" w:eastAsia="Malgun Gothic" w:hAnsi="Calibri" w:cs="Calibri"/>
          <w:b/>
          <w:bCs/>
          <w:sz w:val="22"/>
          <w:lang w:eastAsia="ko-KR"/>
        </w:rPr>
        <w:t>all previously evaluated MPs, presented at WCPFC21, covering south of the equator, including both catch- and effort-based MPs</w:t>
      </w:r>
      <w:r w:rsidR="00011742" w:rsidRPr="00806588">
        <w:rPr>
          <w:rFonts w:ascii="Calibri" w:eastAsia="Times New Roman" w:hAnsi="Calibri" w:cs="Calibri"/>
          <w:b/>
          <w:bCs/>
          <w:sz w:val="22"/>
        </w:rPr>
        <w:t xml:space="preserve">. </w:t>
      </w:r>
    </w:p>
    <w:p w14:paraId="7FB462CA" w14:textId="77777777" w:rsidR="00011742" w:rsidRPr="00806588" w:rsidRDefault="00011742" w:rsidP="00806588">
      <w:pPr>
        <w:pStyle w:val="ListParagraph"/>
        <w:adjustRightInd w:val="0"/>
        <w:snapToGrid w:val="0"/>
        <w:spacing w:after="0" w:line="240" w:lineRule="auto"/>
        <w:ind w:left="360"/>
        <w:contextualSpacing w:val="0"/>
        <w:jc w:val="both"/>
        <w:outlineLvl w:val="1"/>
        <w:rPr>
          <w:rFonts w:ascii="Calibri" w:eastAsia="Times New Roman" w:hAnsi="Calibri" w:cs="Calibri"/>
          <w:b/>
          <w:bCs/>
          <w:sz w:val="22"/>
        </w:rPr>
      </w:pPr>
    </w:p>
    <w:p w14:paraId="463EE07C" w14:textId="12EB098F" w:rsidR="00011742"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Times New Roman" w:hAnsi="Calibri" w:cs="Calibri"/>
          <w:b/>
          <w:bCs/>
          <w:sz w:val="22"/>
        </w:rPr>
      </w:pPr>
      <w:r w:rsidRPr="00806588">
        <w:rPr>
          <w:rFonts w:ascii="Calibri" w:hAnsi="Calibri" w:cs="Calibri"/>
          <w:sz w:val="22"/>
        </w:rPr>
        <w:t xml:space="preserve">Additional </w:t>
      </w:r>
      <w:r w:rsidR="008115FB" w:rsidRPr="00806588">
        <w:rPr>
          <w:rFonts w:ascii="Calibri" w:hAnsi="Calibri" w:cs="Calibri"/>
          <w:sz w:val="22"/>
        </w:rPr>
        <w:t xml:space="preserve">information </w:t>
      </w:r>
      <w:r w:rsidRPr="00806588">
        <w:rPr>
          <w:rFonts w:ascii="Calibri" w:hAnsi="Calibri" w:cs="Calibri"/>
          <w:sz w:val="22"/>
        </w:rPr>
        <w:t>request</w:t>
      </w:r>
      <w:r w:rsidR="008115FB" w:rsidRPr="00806588">
        <w:rPr>
          <w:rFonts w:ascii="Calibri" w:hAnsi="Calibri" w:cs="Calibri"/>
          <w:sz w:val="22"/>
        </w:rPr>
        <w:t>ed</w:t>
      </w:r>
      <w:r w:rsidRPr="00806588">
        <w:rPr>
          <w:rFonts w:ascii="Calibri" w:hAnsi="Calibri" w:cs="Calibri"/>
          <w:sz w:val="22"/>
        </w:rPr>
        <w:t xml:space="preserve"> </w:t>
      </w:r>
      <w:r w:rsidR="00806588">
        <w:rPr>
          <w:rFonts w:ascii="Calibri" w:hAnsi="Calibri" w:cs="Calibri"/>
          <w:sz w:val="22"/>
        </w:rPr>
        <w:t>from</w:t>
      </w:r>
      <w:r w:rsidRPr="00806588">
        <w:rPr>
          <w:rFonts w:ascii="Calibri" w:hAnsi="Calibri" w:cs="Calibri"/>
          <w:sz w:val="22"/>
        </w:rPr>
        <w:t xml:space="preserve"> </w:t>
      </w:r>
      <w:r w:rsidR="004C4295" w:rsidRPr="00806588">
        <w:rPr>
          <w:rFonts w:ascii="Calibri" w:hAnsi="Calibri" w:cs="Calibri"/>
          <w:sz w:val="22"/>
        </w:rPr>
        <w:t>the SSP</w:t>
      </w:r>
      <w:r w:rsidRPr="00806588">
        <w:rPr>
          <w:rFonts w:ascii="Calibri" w:hAnsi="Calibri" w:cs="Calibri"/>
          <w:sz w:val="22"/>
        </w:rPr>
        <w:t xml:space="preserve"> </w:t>
      </w:r>
      <w:r w:rsidR="008115FB" w:rsidRPr="00806588">
        <w:rPr>
          <w:rFonts w:ascii="Calibri" w:hAnsi="Calibri" w:cs="Calibri"/>
          <w:sz w:val="22"/>
        </w:rPr>
        <w:t>before WCPFC22 includes</w:t>
      </w:r>
      <w:r w:rsidRPr="00806588">
        <w:rPr>
          <w:rFonts w:ascii="Calibri" w:hAnsi="Calibri" w:cs="Calibri"/>
          <w:sz w:val="22"/>
        </w:rPr>
        <w:t>:</w:t>
      </w:r>
    </w:p>
    <w:p w14:paraId="1BC1C2B6" w14:textId="066A7F6D" w:rsidR="00806588" w:rsidRDefault="00806588" w:rsidP="00806588">
      <w:pPr>
        <w:pStyle w:val="ListParagraph"/>
        <w:widowControl w:val="0"/>
        <w:numPr>
          <w:ilvl w:val="1"/>
          <w:numId w:val="20"/>
        </w:numPr>
        <w:kinsoku w:val="0"/>
        <w:overflowPunct w:val="0"/>
        <w:autoSpaceDE w:val="0"/>
        <w:autoSpaceDN w:val="0"/>
        <w:adjustRightInd w:val="0"/>
        <w:snapToGrid w:val="0"/>
        <w:spacing w:after="0" w:line="240" w:lineRule="auto"/>
        <w:contextualSpacing w:val="0"/>
        <w:rPr>
          <w:rFonts w:ascii="Calibri" w:eastAsia="Malgun Gothic" w:hAnsi="Calibri" w:cs="Calibri"/>
          <w:sz w:val="22"/>
          <w:lang w:eastAsia="ko-KR"/>
        </w:rPr>
      </w:pPr>
      <w:r w:rsidRPr="00806588">
        <w:rPr>
          <w:rFonts w:ascii="Calibri" w:eastAsia="Malgun Gothic" w:hAnsi="Calibri" w:cs="Calibri"/>
          <w:sz w:val="22"/>
          <w:lang w:eastAsia="ko-KR"/>
        </w:rPr>
        <w:t>From 2000-2023, South Pacific albacore catches, broken down by EEZ and high seas, showing: total catch, catch between the Equator and 10°S, and south of 10°S; and</w:t>
      </w:r>
    </w:p>
    <w:p w14:paraId="2E0DA9AE" w14:textId="3E56BE5B" w:rsidR="00806588" w:rsidRDefault="00806588" w:rsidP="00806588">
      <w:pPr>
        <w:pStyle w:val="ListParagraph"/>
        <w:widowControl w:val="0"/>
        <w:numPr>
          <w:ilvl w:val="1"/>
          <w:numId w:val="20"/>
        </w:numPr>
        <w:kinsoku w:val="0"/>
        <w:overflowPunct w:val="0"/>
        <w:autoSpaceDE w:val="0"/>
        <w:autoSpaceDN w:val="0"/>
        <w:adjustRightInd w:val="0"/>
        <w:snapToGrid w:val="0"/>
        <w:spacing w:after="0" w:line="240" w:lineRule="auto"/>
        <w:contextualSpacing w:val="0"/>
        <w:rPr>
          <w:rFonts w:ascii="Calibri" w:eastAsia="Malgun Gothic" w:hAnsi="Calibri" w:cs="Calibri"/>
          <w:sz w:val="22"/>
          <w:lang w:eastAsia="ko-KR"/>
        </w:rPr>
      </w:pPr>
      <w:r w:rsidRPr="00806588">
        <w:rPr>
          <w:rFonts w:ascii="Calibri" w:eastAsia="Malgun Gothic" w:hAnsi="Calibri" w:cs="Calibri"/>
          <w:sz w:val="22"/>
          <w:lang w:eastAsia="ko-KR"/>
        </w:rPr>
        <w:t>From 2000-2023, for the area between the Equator and 10°S, south of 10°S, the number of hooks (or other effort indicator) set on the high seas vs. the number of hooks set within EEZs.</w:t>
      </w:r>
    </w:p>
    <w:p w14:paraId="24CDB3A1" w14:textId="485A9099" w:rsidR="00571D80" w:rsidRPr="00806588" w:rsidRDefault="00571D80" w:rsidP="00806588">
      <w:pPr>
        <w:pStyle w:val="ListParagraph"/>
        <w:widowControl w:val="0"/>
        <w:numPr>
          <w:ilvl w:val="1"/>
          <w:numId w:val="20"/>
        </w:numPr>
        <w:kinsoku w:val="0"/>
        <w:overflowPunct w:val="0"/>
        <w:autoSpaceDE w:val="0"/>
        <w:autoSpaceDN w:val="0"/>
        <w:adjustRightInd w:val="0"/>
        <w:snapToGrid w:val="0"/>
        <w:spacing w:after="0" w:line="240" w:lineRule="auto"/>
        <w:contextualSpacing w:val="0"/>
        <w:rPr>
          <w:rFonts w:ascii="Calibri" w:eastAsia="Malgun Gothic" w:hAnsi="Calibri" w:cs="Calibri"/>
          <w:sz w:val="22"/>
          <w:lang w:eastAsia="ko-KR"/>
        </w:rPr>
      </w:pPr>
      <w:r>
        <w:rPr>
          <w:rFonts w:ascii="Calibri" w:eastAsia="Malgun Gothic" w:hAnsi="Calibri" w:cs="Calibri"/>
          <w:sz w:val="22"/>
          <w:lang w:eastAsia="ko-KR"/>
        </w:rPr>
        <w:lastRenderedPageBreak/>
        <w:t>Calculation of an additional performance indicator that reports the total albacore catch of fisheries directly managed through the MP.</w:t>
      </w:r>
    </w:p>
    <w:p w14:paraId="191219EC" w14:textId="77777777" w:rsidR="008115FB" w:rsidRPr="00806588" w:rsidRDefault="008115FB" w:rsidP="00806588">
      <w:pPr>
        <w:adjustRightInd w:val="0"/>
        <w:snapToGrid w:val="0"/>
        <w:spacing w:after="0" w:line="240" w:lineRule="auto"/>
        <w:rPr>
          <w:rFonts w:ascii="Calibri" w:hAnsi="Calibri" w:cs="Calibri"/>
          <w:sz w:val="22"/>
        </w:rPr>
      </w:pPr>
    </w:p>
    <w:p w14:paraId="663A5A87" w14:textId="23B61F72" w:rsidR="00011742"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eastAsia="Times New Roman" w:hAnsi="Calibri" w:cs="Calibri"/>
          <w:b/>
          <w:bCs/>
          <w:sz w:val="22"/>
        </w:rPr>
      </w:pPr>
      <w:bookmarkStart w:id="11" w:name="_Toc213677626"/>
      <w:bookmarkStart w:id="12" w:name="_Toc213678202"/>
      <w:bookmarkEnd w:id="9"/>
      <w:bookmarkEnd w:id="10"/>
      <w:r w:rsidRPr="00806588">
        <w:rPr>
          <w:rFonts w:ascii="Calibri" w:hAnsi="Calibri" w:cs="Calibri"/>
          <w:sz w:val="22"/>
        </w:rPr>
        <w:t>The</w:t>
      </w:r>
      <w:r w:rsidRPr="00806588">
        <w:rPr>
          <w:rFonts w:ascii="Calibri" w:eastAsia="Times New Roman" w:hAnsi="Calibri" w:cs="Calibri"/>
          <w:sz w:val="22"/>
        </w:rPr>
        <w:t xml:space="preserve"> WCPFC Chair thanked participants and emphasized that adoption of the SPA management procedure </w:t>
      </w:r>
      <w:r w:rsidRPr="00571D80">
        <w:rPr>
          <w:rFonts w:ascii="Calibri" w:hAnsi="Calibri" w:cs="Calibri"/>
          <w:sz w:val="22"/>
        </w:rPr>
        <w:t>remains</w:t>
      </w:r>
      <w:r w:rsidRPr="00806588">
        <w:rPr>
          <w:rFonts w:ascii="Calibri" w:eastAsia="Times New Roman" w:hAnsi="Calibri" w:cs="Calibri"/>
          <w:sz w:val="22"/>
        </w:rPr>
        <w:t xml:space="preserve"> a priority for WCPFC22. The WCPFC</w:t>
      </w:r>
      <w:r w:rsidRPr="00806588">
        <w:rPr>
          <w:rFonts w:ascii="Calibri" w:eastAsia="Times New Roman" w:hAnsi="Calibri" w:cs="Calibri"/>
          <w:b/>
          <w:bCs/>
          <w:sz w:val="22"/>
        </w:rPr>
        <w:t xml:space="preserve"> </w:t>
      </w:r>
      <w:r w:rsidRPr="00806588">
        <w:rPr>
          <w:rFonts w:ascii="Calibri" w:eastAsia="Times New Roman" w:hAnsi="Calibri" w:cs="Calibri"/>
          <w:sz w:val="22"/>
        </w:rPr>
        <w:t xml:space="preserve">Chair encouraged continued dialogue and bilateral </w:t>
      </w:r>
      <w:r w:rsidR="00571D80">
        <w:rPr>
          <w:rFonts w:ascii="Calibri" w:eastAsia="Times New Roman" w:hAnsi="Calibri" w:cs="Calibri"/>
          <w:sz w:val="22"/>
        </w:rPr>
        <w:t xml:space="preserve">discussions </w:t>
      </w:r>
      <w:r w:rsidRPr="00806588">
        <w:rPr>
          <w:rFonts w:ascii="Calibri" w:eastAsia="Times New Roman" w:hAnsi="Calibri" w:cs="Calibri"/>
          <w:sz w:val="22"/>
        </w:rPr>
        <w:t>before the Manila meeting to help narrow outstanding issues and support efficient decision-making</w:t>
      </w:r>
      <w:r w:rsidR="00DA25DF">
        <w:rPr>
          <w:rFonts w:ascii="Calibri" w:eastAsia="Times New Roman" w:hAnsi="Calibri" w:cs="Calibri"/>
          <w:sz w:val="22"/>
        </w:rPr>
        <w:t>,</w:t>
      </w:r>
      <w:r w:rsidRPr="00806588">
        <w:rPr>
          <w:rFonts w:ascii="Calibri" w:eastAsia="Times New Roman" w:hAnsi="Calibri" w:cs="Calibri"/>
          <w:sz w:val="22"/>
        </w:rPr>
        <w:t xml:space="preserve"> given the heavy agenda.</w:t>
      </w:r>
      <w:bookmarkEnd w:id="11"/>
      <w:bookmarkEnd w:id="12"/>
    </w:p>
    <w:p w14:paraId="67AFE8E6" w14:textId="77777777" w:rsidR="00011742" w:rsidRPr="00806588" w:rsidRDefault="00011742" w:rsidP="00806588">
      <w:pPr>
        <w:pStyle w:val="ListParagraph"/>
        <w:adjustRightInd w:val="0"/>
        <w:snapToGrid w:val="0"/>
        <w:spacing w:after="0" w:line="240" w:lineRule="auto"/>
        <w:ind w:left="360"/>
        <w:contextualSpacing w:val="0"/>
        <w:jc w:val="both"/>
        <w:outlineLvl w:val="1"/>
        <w:rPr>
          <w:rFonts w:ascii="Calibri" w:eastAsia="Times New Roman" w:hAnsi="Calibri" w:cs="Calibri"/>
          <w:b/>
          <w:bCs/>
          <w:sz w:val="22"/>
        </w:rPr>
      </w:pPr>
    </w:p>
    <w:p w14:paraId="65FFC9CC" w14:textId="2A869FF2" w:rsidR="009B409D" w:rsidRPr="00806588" w:rsidRDefault="00011742" w:rsidP="00571D80">
      <w:pPr>
        <w:pStyle w:val="ListParagraph"/>
        <w:numPr>
          <w:ilvl w:val="0"/>
          <w:numId w:val="15"/>
        </w:numPr>
        <w:adjustRightInd w:val="0"/>
        <w:snapToGrid w:val="0"/>
        <w:spacing w:after="0" w:line="240" w:lineRule="auto"/>
        <w:ind w:left="0" w:firstLine="0"/>
        <w:contextualSpacing w:val="0"/>
        <w:jc w:val="both"/>
        <w:outlineLvl w:val="1"/>
        <w:rPr>
          <w:rFonts w:ascii="Calibri" w:hAnsi="Calibri" w:cs="Calibri"/>
          <w:sz w:val="22"/>
        </w:rPr>
      </w:pPr>
      <w:r w:rsidRPr="00806588">
        <w:rPr>
          <w:rFonts w:ascii="Calibri" w:hAnsi="Calibri" w:cs="Calibri"/>
          <w:sz w:val="22"/>
        </w:rPr>
        <w:t xml:space="preserve">The workshop adjourned at </w:t>
      </w:r>
      <w:r w:rsidR="00571D80">
        <w:rPr>
          <w:rFonts w:ascii="Calibri" w:hAnsi="Calibri" w:cs="Calibri"/>
          <w:sz w:val="22"/>
        </w:rPr>
        <w:t>12:38 PM</w:t>
      </w:r>
      <w:r w:rsidRPr="00806588">
        <w:rPr>
          <w:rFonts w:ascii="Calibri" w:hAnsi="Calibri" w:cs="Calibri"/>
          <w:sz w:val="22"/>
        </w:rPr>
        <w:t xml:space="preserve"> (PNI time) with appreciation to participants and the Science Service Provider for their contributions and to the Co</w:t>
      </w:r>
      <w:r w:rsidRPr="00806588">
        <w:rPr>
          <w:rFonts w:ascii="Cambria Math" w:hAnsi="Cambria Math" w:cs="Cambria Math"/>
          <w:sz w:val="22"/>
        </w:rPr>
        <w:t>‑</w:t>
      </w:r>
      <w:r w:rsidRPr="00806588">
        <w:rPr>
          <w:rFonts w:ascii="Calibri" w:hAnsi="Calibri" w:cs="Calibri"/>
          <w:sz w:val="22"/>
        </w:rPr>
        <w:t>Chairs for guidance.</w:t>
      </w:r>
    </w:p>
    <w:sectPr w:rsidR="009B409D" w:rsidRPr="00806588" w:rsidSect="00806588">
      <w:footerReference w:type="defaul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E4D3D" w14:textId="77777777" w:rsidR="00370416" w:rsidRDefault="00370416">
      <w:pPr>
        <w:spacing w:after="0" w:line="240" w:lineRule="auto"/>
      </w:pPr>
      <w:r>
        <w:separator/>
      </w:r>
    </w:p>
  </w:endnote>
  <w:endnote w:type="continuationSeparator" w:id="0">
    <w:p w14:paraId="618DF01B" w14:textId="77777777" w:rsidR="00370416" w:rsidRDefault="00370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5126"/>
      <w:docPartObj>
        <w:docPartGallery w:val="Page Numbers (Bottom of Page)"/>
        <w:docPartUnique/>
      </w:docPartObj>
    </w:sdtPr>
    <w:sdtEndPr>
      <w:rPr>
        <w:noProof/>
      </w:rPr>
    </w:sdtEndPr>
    <w:sdtContent>
      <w:p w14:paraId="0C3BD680" w14:textId="77777777" w:rsidR="00011742" w:rsidRDefault="000117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091E3" w14:textId="77777777" w:rsidR="00011742" w:rsidRDefault="00011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EB46" w14:textId="77777777" w:rsidR="00370416" w:rsidRDefault="00370416">
      <w:pPr>
        <w:spacing w:after="0" w:line="240" w:lineRule="auto"/>
      </w:pPr>
      <w:r>
        <w:separator/>
      </w:r>
    </w:p>
  </w:footnote>
  <w:footnote w:type="continuationSeparator" w:id="0">
    <w:p w14:paraId="61395888" w14:textId="77777777" w:rsidR="00370416" w:rsidRDefault="00370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1E6F6B"/>
    <w:multiLevelType w:val="multilevel"/>
    <w:tmpl w:val="0624E8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AD033B"/>
    <w:multiLevelType w:val="hybridMultilevel"/>
    <w:tmpl w:val="57245C9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C274F6"/>
    <w:multiLevelType w:val="hybridMultilevel"/>
    <w:tmpl w:val="E5EC3714"/>
    <w:lvl w:ilvl="0" w:tplc="0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486DE1"/>
    <w:multiLevelType w:val="hybridMultilevel"/>
    <w:tmpl w:val="46047D5A"/>
    <w:lvl w:ilvl="0" w:tplc="E1DC6A86">
      <w:start w:val="1"/>
      <w:numFmt w:val="decimal"/>
      <w:lvlText w:val="%1)"/>
      <w:lvlJc w:val="left"/>
      <w:pPr>
        <w:ind w:left="1440" w:hanging="360"/>
      </w:pPr>
      <w:rPr>
        <w:rFonts w:ascii="Calibri" w:hAnsi="Calibri" w:cs="Times New Roman" w:hint="default"/>
        <w:b w:val="0"/>
        <w:bCs w:val="0"/>
        <w:i w:val="0"/>
        <w:iCs w:val="0"/>
        <w:spacing w:val="0"/>
        <w:w w:val="100"/>
        <w:sz w:val="22"/>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6B56EB8"/>
    <w:multiLevelType w:val="multilevel"/>
    <w:tmpl w:val="C862F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516BC"/>
    <w:multiLevelType w:val="hybridMultilevel"/>
    <w:tmpl w:val="AB8E05FE"/>
    <w:lvl w:ilvl="0" w:tplc="FF96C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505769"/>
    <w:multiLevelType w:val="hybridMultilevel"/>
    <w:tmpl w:val="4BBCE1AC"/>
    <w:lvl w:ilvl="0" w:tplc="0409001B">
      <w:start w:val="1"/>
      <w:numFmt w:val="lowerRoman"/>
      <w:lvlText w:val="%1."/>
      <w:lvlJc w:val="righ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4E8217D2"/>
    <w:multiLevelType w:val="hybridMultilevel"/>
    <w:tmpl w:val="A866F3C2"/>
    <w:lvl w:ilvl="0" w:tplc="FFFFFFFF">
      <w:start w:val="1"/>
      <w:numFmt w:val="decimal"/>
      <w:lvlText w:val="%1."/>
      <w:lvlJc w:val="left"/>
      <w:pPr>
        <w:ind w:left="360" w:hanging="360"/>
      </w:pPr>
      <w:rPr>
        <w:b w:val="0"/>
        <w:bCs w:val="0"/>
      </w:rPr>
    </w:lvl>
    <w:lvl w:ilvl="1" w:tplc="04090011">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9DD2F49"/>
    <w:multiLevelType w:val="multilevel"/>
    <w:tmpl w:val="B81A2BCE"/>
    <w:lvl w:ilvl="0">
      <w:start w:val="1"/>
      <w:numFmt w:val="upperRoman"/>
      <w:lvlText w:val="%1."/>
      <w:lvlJc w:val="righ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4BE09CF"/>
    <w:multiLevelType w:val="hybridMultilevel"/>
    <w:tmpl w:val="A82C40D6"/>
    <w:lvl w:ilvl="0" w:tplc="6AE65A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37CA2"/>
    <w:multiLevelType w:val="hybridMultilevel"/>
    <w:tmpl w:val="6EA4E3BE"/>
    <w:lvl w:ilvl="0" w:tplc="A832252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CC5B67"/>
    <w:multiLevelType w:val="multilevel"/>
    <w:tmpl w:val="ECC0447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256409215">
    <w:abstractNumId w:val="8"/>
  </w:num>
  <w:num w:numId="2" w16cid:durableId="172569202">
    <w:abstractNumId w:val="6"/>
  </w:num>
  <w:num w:numId="3" w16cid:durableId="1582182175">
    <w:abstractNumId w:val="5"/>
  </w:num>
  <w:num w:numId="4" w16cid:durableId="112599959">
    <w:abstractNumId w:val="4"/>
  </w:num>
  <w:num w:numId="5" w16cid:durableId="820923926">
    <w:abstractNumId w:val="7"/>
  </w:num>
  <w:num w:numId="6" w16cid:durableId="92091153">
    <w:abstractNumId w:val="3"/>
  </w:num>
  <w:num w:numId="7" w16cid:durableId="1261259734">
    <w:abstractNumId w:val="2"/>
  </w:num>
  <w:num w:numId="8" w16cid:durableId="1785342811">
    <w:abstractNumId w:val="1"/>
  </w:num>
  <w:num w:numId="9" w16cid:durableId="909922054">
    <w:abstractNumId w:val="0"/>
  </w:num>
  <w:num w:numId="10" w16cid:durableId="235938954">
    <w:abstractNumId w:val="14"/>
  </w:num>
  <w:num w:numId="11" w16cid:durableId="326440659">
    <w:abstractNumId w:val="17"/>
  </w:num>
  <w:num w:numId="12" w16cid:durableId="898976767">
    <w:abstractNumId w:val="9"/>
  </w:num>
  <w:num w:numId="13" w16cid:durableId="790168413">
    <w:abstractNumId w:val="10"/>
  </w:num>
  <w:num w:numId="14" w16cid:durableId="1899396443">
    <w:abstractNumId w:val="15"/>
  </w:num>
  <w:num w:numId="15" w16cid:durableId="1811290255">
    <w:abstractNumId w:val="19"/>
  </w:num>
  <w:num w:numId="16" w16cid:durableId="1163620174">
    <w:abstractNumId w:val="13"/>
  </w:num>
  <w:num w:numId="17" w16cid:durableId="971135187">
    <w:abstractNumId w:val="20"/>
  </w:num>
  <w:num w:numId="18" w16cid:durableId="255090235">
    <w:abstractNumId w:val="18"/>
  </w:num>
  <w:num w:numId="19" w16cid:durableId="893926167">
    <w:abstractNumId w:val="12"/>
  </w:num>
  <w:num w:numId="20" w16cid:durableId="423578770">
    <w:abstractNumId w:val="16"/>
  </w:num>
  <w:num w:numId="21" w16cid:durableId="1193107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MzA3MzM3MDMwMTNR0lEKTi0uzszPAykwqQUAKoFXniwAAAA="/>
  </w:docVars>
  <w:rsids>
    <w:rsidRoot w:val="00011742"/>
    <w:rsid w:val="00011742"/>
    <w:rsid w:val="00040EA1"/>
    <w:rsid w:val="000C2C73"/>
    <w:rsid w:val="0025214A"/>
    <w:rsid w:val="00370416"/>
    <w:rsid w:val="004C4295"/>
    <w:rsid w:val="005023A9"/>
    <w:rsid w:val="00571D80"/>
    <w:rsid w:val="006F7740"/>
    <w:rsid w:val="00766E30"/>
    <w:rsid w:val="007B01BA"/>
    <w:rsid w:val="00806588"/>
    <w:rsid w:val="008115FB"/>
    <w:rsid w:val="00861A9D"/>
    <w:rsid w:val="009B409D"/>
    <w:rsid w:val="009D5FD5"/>
    <w:rsid w:val="00B761B7"/>
    <w:rsid w:val="00B96FA9"/>
    <w:rsid w:val="00BD0BBE"/>
    <w:rsid w:val="00BD6D52"/>
    <w:rsid w:val="00C30769"/>
    <w:rsid w:val="00C927EA"/>
    <w:rsid w:val="00CC73D8"/>
    <w:rsid w:val="00D73FE4"/>
    <w:rsid w:val="00DA25DF"/>
    <w:rsid w:val="00F67FA0"/>
    <w:rsid w:val="00F86FD7"/>
    <w:rsid w:val="00FF18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EAA599"/>
  <w15:chartTrackingRefBased/>
  <w15:docId w15:val="{14429C32-9838-450B-A369-9A28030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heme="minorBidi"/>
        <w:kern w:val="2"/>
        <w:sz w:val="22"/>
        <w:szCs w:val="22"/>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42"/>
    <w:pPr>
      <w:spacing w:after="200" w:line="276" w:lineRule="auto"/>
    </w:pPr>
    <w:rPr>
      <w:rFonts w:ascii="Times New Roman" w:eastAsiaTheme="minorEastAsia" w:hAnsi="Times New Roman"/>
      <w:kern w:val="0"/>
      <w:sz w:val="24"/>
      <w:lang w:eastAsia="en-US"/>
    </w:rPr>
  </w:style>
  <w:style w:type="paragraph" w:styleId="Heading1">
    <w:name w:val="heading 1"/>
    <w:basedOn w:val="Normal"/>
    <w:next w:val="Normal"/>
    <w:link w:val="Heading1Char"/>
    <w:uiPriority w:val="9"/>
    <w:qFormat/>
    <w:rsid w:val="00011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1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17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7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17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17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17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17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17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1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17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7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17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17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17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17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17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1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7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7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1742"/>
    <w:pPr>
      <w:spacing w:before="160"/>
      <w:jc w:val="center"/>
    </w:pPr>
    <w:rPr>
      <w:i/>
      <w:iCs/>
      <w:color w:val="404040" w:themeColor="text1" w:themeTint="BF"/>
    </w:rPr>
  </w:style>
  <w:style w:type="character" w:customStyle="1" w:styleId="QuoteChar">
    <w:name w:val="Quote Char"/>
    <w:basedOn w:val="DefaultParagraphFont"/>
    <w:link w:val="Quote"/>
    <w:uiPriority w:val="29"/>
    <w:rsid w:val="00011742"/>
    <w:rPr>
      <w:i/>
      <w:iCs/>
      <w:color w:val="404040" w:themeColor="text1" w:themeTint="BF"/>
    </w:rPr>
  </w:style>
  <w:style w:type="paragraph" w:styleId="ListParagraph">
    <w:name w:val="List Paragraph"/>
    <w:basedOn w:val="Normal"/>
    <w:uiPriority w:val="1"/>
    <w:qFormat/>
    <w:rsid w:val="00011742"/>
    <w:pPr>
      <w:ind w:left="720"/>
      <w:contextualSpacing/>
    </w:pPr>
  </w:style>
  <w:style w:type="character" w:styleId="IntenseEmphasis">
    <w:name w:val="Intense Emphasis"/>
    <w:basedOn w:val="DefaultParagraphFont"/>
    <w:uiPriority w:val="21"/>
    <w:qFormat/>
    <w:rsid w:val="00011742"/>
    <w:rPr>
      <w:i/>
      <w:iCs/>
      <w:color w:val="0F4761" w:themeColor="accent1" w:themeShade="BF"/>
    </w:rPr>
  </w:style>
  <w:style w:type="paragraph" w:styleId="IntenseQuote">
    <w:name w:val="Intense Quote"/>
    <w:basedOn w:val="Normal"/>
    <w:next w:val="Normal"/>
    <w:link w:val="IntenseQuoteChar"/>
    <w:uiPriority w:val="30"/>
    <w:qFormat/>
    <w:rsid w:val="00011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742"/>
    <w:rPr>
      <w:i/>
      <w:iCs/>
      <w:color w:val="0F4761" w:themeColor="accent1" w:themeShade="BF"/>
    </w:rPr>
  </w:style>
  <w:style w:type="character" w:styleId="IntenseReference">
    <w:name w:val="Intense Reference"/>
    <w:basedOn w:val="DefaultParagraphFont"/>
    <w:uiPriority w:val="32"/>
    <w:qFormat/>
    <w:rsid w:val="00011742"/>
    <w:rPr>
      <w:b/>
      <w:bCs/>
      <w:smallCaps/>
      <w:color w:val="0F4761" w:themeColor="accent1" w:themeShade="BF"/>
      <w:spacing w:val="5"/>
    </w:rPr>
  </w:style>
  <w:style w:type="paragraph" w:styleId="Header">
    <w:name w:val="header"/>
    <w:basedOn w:val="Normal"/>
    <w:link w:val="HeaderChar"/>
    <w:uiPriority w:val="99"/>
    <w:unhideWhenUsed/>
    <w:rsid w:val="00011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742"/>
    <w:rPr>
      <w:rFonts w:ascii="Times New Roman" w:eastAsiaTheme="minorEastAsia" w:hAnsi="Times New Roman"/>
      <w:kern w:val="0"/>
      <w:sz w:val="24"/>
      <w:lang w:eastAsia="en-US"/>
    </w:rPr>
  </w:style>
  <w:style w:type="paragraph" w:styleId="Footer">
    <w:name w:val="footer"/>
    <w:basedOn w:val="Normal"/>
    <w:link w:val="FooterChar"/>
    <w:uiPriority w:val="99"/>
    <w:unhideWhenUsed/>
    <w:rsid w:val="00011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742"/>
    <w:rPr>
      <w:rFonts w:ascii="Times New Roman" w:eastAsiaTheme="minorEastAsia" w:hAnsi="Times New Roman"/>
      <w:kern w:val="0"/>
      <w:sz w:val="24"/>
      <w:lang w:eastAsia="en-US"/>
    </w:rPr>
  </w:style>
  <w:style w:type="paragraph" w:styleId="NoSpacing">
    <w:name w:val="No Spacing"/>
    <w:uiPriority w:val="1"/>
    <w:qFormat/>
    <w:rsid w:val="00011742"/>
    <w:pPr>
      <w:spacing w:after="0" w:line="240" w:lineRule="auto"/>
    </w:pPr>
    <w:rPr>
      <w:rFonts w:asciiTheme="minorHAnsi" w:eastAsiaTheme="minorEastAsia" w:hAnsiTheme="minorHAnsi"/>
      <w:kern w:val="0"/>
      <w:lang w:eastAsia="en-US"/>
    </w:rPr>
  </w:style>
  <w:style w:type="paragraph" w:styleId="BodyText">
    <w:name w:val="Body Text"/>
    <w:basedOn w:val="Normal"/>
    <w:link w:val="BodyTextChar"/>
    <w:uiPriority w:val="99"/>
    <w:unhideWhenUsed/>
    <w:rsid w:val="00011742"/>
    <w:pPr>
      <w:spacing w:after="120"/>
    </w:pPr>
  </w:style>
  <w:style w:type="character" w:customStyle="1" w:styleId="BodyTextChar">
    <w:name w:val="Body Text Char"/>
    <w:basedOn w:val="DefaultParagraphFont"/>
    <w:link w:val="BodyText"/>
    <w:uiPriority w:val="99"/>
    <w:rsid w:val="00011742"/>
    <w:rPr>
      <w:rFonts w:ascii="Times New Roman" w:eastAsiaTheme="minorEastAsia" w:hAnsi="Times New Roman"/>
      <w:kern w:val="0"/>
      <w:sz w:val="24"/>
      <w:lang w:eastAsia="en-US"/>
    </w:rPr>
  </w:style>
  <w:style w:type="paragraph" w:styleId="BodyText2">
    <w:name w:val="Body Text 2"/>
    <w:basedOn w:val="Normal"/>
    <w:link w:val="BodyText2Char"/>
    <w:uiPriority w:val="99"/>
    <w:unhideWhenUsed/>
    <w:rsid w:val="00011742"/>
    <w:pPr>
      <w:spacing w:after="120" w:line="480" w:lineRule="auto"/>
    </w:pPr>
  </w:style>
  <w:style w:type="character" w:customStyle="1" w:styleId="BodyText2Char">
    <w:name w:val="Body Text 2 Char"/>
    <w:basedOn w:val="DefaultParagraphFont"/>
    <w:link w:val="BodyText2"/>
    <w:uiPriority w:val="99"/>
    <w:rsid w:val="00011742"/>
    <w:rPr>
      <w:rFonts w:ascii="Times New Roman" w:eastAsiaTheme="minorEastAsia" w:hAnsi="Times New Roman"/>
      <w:kern w:val="0"/>
      <w:sz w:val="24"/>
      <w:lang w:eastAsia="en-US"/>
    </w:rPr>
  </w:style>
  <w:style w:type="paragraph" w:styleId="BodyText3">
    <w:name w:val="Body Text 3"/>
    <w:basedOn w:val="Normal"/>
    <w:link w:val="BodyText3Char"/>
    <w:uiPriority w:val="99"/>
    <w:unhideWhenUsed/>
    <w:rsid w:val="00011742"/>
    <w:pPr>
      <w:spacing w:after="120"/>
    </w:pPr>
    <w:rPr>
      <w:sz w:val="16"/>
      <w:szCs w:val="16"/>
    </w:rPr>
  </w:style>
  <w:style w:type="character" w:customStyle="1" w:styleId="BodyText3Char">
    <w:name w:val="Body Text 3 Char"/>
    <w:basedOn w:val="DefaultParagraphFont"/>
    <w:link w:val="BodyText3"/>
    <w:uiPriority w:val="99"/>
    <w:rsid w:val="00011742"/>
    <w:rPr>
      <w:rFonts w:ascii="Times New Roman" w:eastAsiaTheme="minorEastAsia" w:hAnsi="Times New Roman"/>
      <w:kern w:val="0"/>
      <w:sz w:val="16"/>
      <w:szCs w:val="16"/>
      <w:lang w:eastAsia="en-US"/>
    </w:rPr>
  </w:style>
  <w:style w:type="paragraph" w:styleId="List">
    <w:name w:val="List"/>
    <w:basedOn w:val="Normal"/>
    <w:uiPriority w:val="99"/>
    <w:unhideWhenUsed/>
    <w:rsid w:val="00011742"/>
    <w:pPr>
      <w:ind w:left="360" w:hanging="360"/>
      <w:contextualSpacing/>
    </w:pPr>
  </w:style>
  <w:style w:type="paragraph" w:styleId="List2">
    <w:name w:val="List 2"/>
    <w:basedOn w:val="Normal"/>
    <w:uiPriority w:val="99"/>
    <w:unhideWhenUsed/>
    <w:rsid w:val="00011742"/>
    <w:pPr>
      <w:ind w:left="720" w:hanging="360"/>
      <w:contextualSpacing/>
    </w:pPr>
  </w:style>
  <w:style w:type="paragraph" w:styleId="List3">
    <w:name w:val="List 3"/>
    <w:basedOn w:val="Normal"/>
    <w:uiPriority w:val="99"/>
    <w:unhideWhenUsed/>
    <w:rsid w:val="00011742"/>
    <w:pPr>
      <w:ind w:left="1080" w:hanging="360"/>
      <w:contextualSpacing/>
    </w:pPr>
  </w:style>
  <w:style w:type="paragraph" w:styleId="ListBullet">
    <w:name w:val="List Bullet"/>
    <w:basedOn w:val="Normal"/>
    <w:uiPriority w:val="99"/>
    <w:unhideWhenUsed/>
    <w:rsid w:val="00011742"/>
    <w:pPr>
      <w:numPr>
        <w:numId w:val="1"/>
      </w:numPr>
      <w:tabs>
        <w:tab w:val="clear" w:pos="360"/>
      </w:tabs>
      <w:ind w:left="0" w:firstLine="0"/>
      <w:contextualSpacing/>
    </w:pPr>
  </w:style>
  <w:style w:type="paragraph" w:styleId="ListBullet2">
    <w:name w:val="List Bullet 2"/>
    <w:basedOn w:val="Normal"/>
    <w:uiPriority w:val="99"/>
    <w:unhideWhenUsed/>
    <w:rsid w:val="00011742"/>
    <w:pPr>
      <w:numPr>
        <w:numId w:val="2"/>
      </w:numPr>
      <w:tabs>
        <w:tab w:val="clear" w:pos="720"/>
      </w:tabs>
      <w:ind w:left="0" w:firstLine="0"/>
      <w:contextualSpacing/>
    </w:pPr>
  </w:style>
  <w:style w:type="paragraph" w:styleId="ListBullet3">
    <w:name w:val="List Bullet 3"/>
    <w:basedOn w:val="Normal"/>
    <w:uiPriority w:val="99"/>
    <w:unhideWhenUsed/>
    <w:rsid w:val="00011742"/>
    <w:pPr>
      <w:numPr>
        <w:numId w:val="3"/>
      </w:numPr>
      <w:tabs>
        <w:tab w:val="clear" w:pos="1080"/>
      </w:tabs>
      <w:ind w:left="0" w:firstLine="0"/>
      <w:contextualSpacing/>
    </w:pPr>
  </w:style>
  <w:style w:type="paragraph" w:styleId="ListNumber">
    <w:name w:val="List Number"/>
    <w:basedOn w:val="Normal"/>
    <w:uiPriority w:val="99"/>
    <w:unhideWhenUsed/>
    <w:rsid w:val="00011742"/>
    <w:pPr>
      <w:numPr>
        <w:numId w:val="5"/>
      </w:numPr>
      <w:tabs>
        <w:tab w:val="clear" w:pos="360"/>
      </w:tabs>
      <w:ind w:left="0" w:firstLine="0"/>
      <w:contextualSpacing/>
    </w:pPr>
  </w:style>
  <w:style w:type="paragraph" w:styleId="ListNumber2">
    <w:name w:val="List Number 2"/>
    <w:basedOn w:val="Normal"/>
    <w:uiPriority w:val="99"/>
    <w:unhideWhenUsed/>
    <w:rsid w:val="00011742"/>
    <w:pPr>
      <w:numPr>
        <w:numId w:val="6"/>
      </w:numPr>
      <w:tabs>
        <w:tab w:val="clear" w:pos="720"/>
      </w:tabs>
      <w:ind w:left="0" w:firstLine="0"/>
      <w:contextualSpacing/>
    </w:pPr>
  </w:style>
  <w:style w:type="paragraph" w:styleId="ListNumber3">
    <w:name w:val="List Number 3"/>
    <w:basedOn w:val="Normal"/>
    <w:uiPriority w:val="99"/>
    <w:unhideWhenUsed/>
    <w:rsid w:val="00011742"/>
    <w:pPr>
      <w:numPr>
        <w:numId w:val="7"/>
      </w:numPr>
      <w:tabs>
        <w:tab w:val="clear" w:pos="1080"/>
      </w:tabs>
      <w:ind w:left="0" w:firstLine="0"/>
      <w:contextualSpacing/>
    </w:pPr>
  </w:style>
  <w:style w:type="paragraph" w:styleId="ListContinue">
    <w:name w:val="List Continue"/>
    <w:basedOn w:val="Normal"/>
    <w:uiPriority w:val="99"/>
    <w:unhideWhenUsed/>
    <w:rsid w:val="00011742"/>
    <w:pPr>
      <w:spacing w:after="120"/>
      <w:ind w:left="360"/>
      <w:contextualSpacing/>
    </w:pPr>
  </w:style>
  <w:style w:type="paragraph" w:styleId="ListContinue2">
    <w:name w:val="List Continue 2"/>
    <w:basedOn w:val="Normal"/>
    <w:uiPriority w:val="99"/>
    <w:unhideWhenUsed/>
    <w:rsid w:val="00011742"/>
    <w:pPr>
      <w:spacing w:after="120"/>
      <w:ind w:left="720"/>
      <w:contextualSpacing/>
    </w:pPr>
  </w:style>
  <w:style w:type="paragraph" w:styleId="ListContinue3">
    <w:name w:val="List Continue 3"/>
    <w:basedOn w:val="Normal"/>
    <w:uiPriority w:val="99"/>
    <w:unhideWhenUsed/>
    <w:rsid w:val="00011742"/>
    <w:pPr>
      <w:spacing w:after="120"/>
      <w:ind w:left="1080"/>
      <w:contextualSpacing/>
    </w:pPr>
  </w:style>
  <w:style w:type="paragraph" w:styleId="MacroText">
    <w:name w:val="macro"/>
    <w:link w:val="MacroTextChar"/>
    <w:uiPriority w:val="99"/>
    <w:unhideWhenUsed/>
    <w:rsid w:val="00011742"/>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eastAsia="en-US"/>
    </w:rPr>
  </w:style>
  <w:style w:type="character" w:customStyle="1" w:styleId="MacroTextChar">
    <w:name w:val="Macro Text Char"/>
    <w:basedOn w:val="DefaultParagraphFont"/>
    <w:link w:val="MacroText"/>
    <w:uiPriority w:val="99"/>
    <w:rsid w:val="00011742"/>
    <w:rPr>
      <w:rFonts w:ascii="Courier" w:eastAsiaTheme="minorEastAsia" w:hAnsi="Courier"/>
      <w:kern w:val="0"/>
      <w:sz w:val="20"/>
      <w:szCs w:val="20"/>
      <w:lang w:eastAsia="en-US"/>
    </w:rPr>
  </w:style>
  <w:style w:type="paragraph" w:styleId="Caption">
    <w:name w:val="caption"/>
    <w:basedOn w:val="Normal"/>
    <w:next w:val="Normal"/>
    <w:uiPriority w:val="35"/>
    <w:semiHidden/>
    <w:unhideWhenUsed/>
    <w:qFormat/>
    <w:rsid w:val="00011742"/>
    <w:pPr>
      <w:spacing w:line="240" w:lineRule="auto"/>
    </w:pPr>
    <w:rPr>
      <w:b/>
      <w:bCs/>
      <w:color w:val="156082" w:themeColor="accent1"/>
      <w:sz w:val="18"/>
      <w:szCs w:val="18"/>
    </w:rPr>
  </w:style>
  <w:style w:type="character" w:styleId="Strong">
    <w:name w:val="Strong"/>
    <w:basedOn w:val="DefaultParagraphFont"/>
    <w:uiPriority w:val="22"/>
    <w:qFormat/>
    <w:rsid w:val="00011742"/>
    <w:rPr>
      <w:b/>
      <w:bCs/>
    </w:rPr>
  </w:style>
  <w:style w:type="character" w:styleId="Emphasis">
    <w:name w:val="Emphasis"/>
    <w:basedOn w:val="DefaultParagraphFont"/>
    <w:uiPriority w:val="20"/>
    <w:qFormat/>
    <w:rsid w:val="00011742"/>
    <w:rPr>
      <w:i/>
      <w:iCs/>
    </w:rPr>
  </w:style>
  <w:style w:type="character" w:styleId="SubtleEmphasis">
    <w:name w:val="Subtle Emphasis"/>
    <w:basedOn w:val="DefaultParagraphFont"/>
    <w:uiPriority w:val="19"/>
    <w:qFormat/>
    <w:rsid w:val="00011742"/>
    <w:rPr>
      <w:i/>
      <w:iCs/>
      <w:color w:val="808080" w:themeColor="text1" w:themeTint="7F"/>
    </w:rPr>
  </w:style>
  <w:style w:type="character" w:styleId="SubtleReference">
    <w:name w:val="Subtle Reference"/>
    <w:basedOn w:val="DefaultParagraphFont"/>
    <w:uiPriority w:val="31"/>
    <w:qFormat/>
    <w:rsid w:val="00011742"/>
    <w:rPr>
      <w:smallCaps/>
      <w:color w:val="E97132" w:themeColor="accent2"/>
      <w:u w:val="single"/>
    </w:rPr>
  </w:style>
  <w:style w:type="character" w:styleId="BookTitle">
    <w:name w:val="Book Title"/>
    <w:basedOn w:val="DefaultParagraphFont"/>
    <w:uiPriority w:val="33"/>
    <w:qFormat/>
    <w:rsid w:val="00011742"/>
    <w:rPr>
      <w:b/>
      <w:bCs/>
      <w:smallCaps/>
      <w:spacing w:val="5"/>
    </w:rPr>
  </w:style>
  <w:style w:type="paragraph" w:styleId="TOCHeading">
    <w:name w:val="TOC Heading"/>
    <w:basedOn w:val="Heading1"/>
    <w:next w:val="Normal"/>
    <w:uiPriority w:val="39"/>
    <w:semiHidden/>
    <w:unhideWhenUsed/>
    <w:qFormat/>
    <w:rsid w:val="00011742"/>
    <w:pPr>
      <w:spacing w:before="480" w:after="0"/>
      <w:outlineLvl w:val="9"/>
    </w:pPr>
    <w:rPr>
      <w:b/>
      <w:bCs/>
      <w:sz w:val="28"/>
      <w:szCs w:val="28"/>
    </w:rPr>
  </w:style>
  <w:style w:type="table" w:styleId="TableGrid">
    <w:name w:val="Table Grid"/>
    <w:basedOn w:val="TableNormal"/>
    <w:uiPriority w:val="39"/>
    <w:rsid w:val="00011742"/>
    <w:pPr>
      <w:spacing w:after="0" w:line="240" w:lineRule="auto"/>
    </w:pPr>
    <w:rPr>
      <w:rFonts w:asciiTheme="minorHAnsi" w:eastAsiaTheme="minorEastAsia" w:hAnsiTheme="minorHAns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11742"/>
    <w:pPr>
      <w:spacing w:after="0" w:line="240" w:lineRule="auto"/>
    </w:pPr>
    <w:rPr>
      <w:rFonts w:asciiTheme="minorHAnsi" w:eastAsiaTheme="minorEastAsia" w:hAnsiTheme="minorHAnsi"/>
      <w:color w:val="000000" w:themeColor="text1" w:themeShade="BF"/>
      <w:kern w:val="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11742"/>
    <w:pPr>
      <w:spacing w:after="0" w:line="240" w:lineRule="auto"/>
    </w:pPr>
    <w:rPr>
      <w:rFonts w:asciiTheme="minorHAnsi" w:eastAsiaTheme="minorEastAsia" w:hAnsiTheme="minorHAnsi"/>
      <w:color w:val="0F4761" w:themeColor="accent1" w:themeShade="BF"/>
      <w:kern w:val="0"/>
      <w:lang w:eastAsia="en-US"/>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011742"/>
    <w:pPr>
      <w:spacing w:after="0" w:line="240" w:lineRule="auto"/>
    </w:pPr>
    <w:rPr>
      <w:rFonts w:asciiTheme="minorHAnsi" w:eastAsiaTheme="minorEastAsia" w:hAnsiTheme="minorHAnsi"/>
      <w:color w:val="BF4E14" w:themeColor="accent2" w:themeShade="BF"/>
      <w:kern w:val="0"/>
      <w:lang w:eastAsia="en-US"/>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011742"/>
    <w:pPr>
      <w:spacing w:after="0" w:line="240" w:lineRule="auto"/>
    </w:pPr>
    <w:rPr>
      <w:rFonts w:asciiTheme="minorHAnsi" w:eastAsiaTheme="minorEastAsia" w:hAnsiTheme="minorHAnsi"/>
      <w:color w:val="124F1A" w:themeColor="accent3" w:themeShade="BF"/>
      <w:kern w:val="0"/>
      <w:lang w:eastAsia="en-US"/>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011742"/>
    <w:pPr>
      <w:spacing w:after="0" w:line="240" w:lineRule="auto"/>
    </w:pPr>
    <w:rPr>
      <w:rFonts w:asciiTheme="minorHAnsi" w:eastAsiaTheme="minorEastAsia" w:hAnsiTheme="minorHAnsi"/>
      <w:color w:val="0B769F" w:themeColor="accent4" w:themeShade="BF"/>
      <w:kern w:val="0"/>
      <w:lang w:eastAsia="en-US"/>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011742"/>
    <w:pPr>
      <w:spacing w:after="0" w:line="240" w:lineRule="auto"/>
    </w:pPr>
    <w:rPr>
      <w:rFonts w:asciiTheme="minorHAnsi" w:eastAsiaTheme="minorEastAsia" w:hAnsiTheme="minorHAnsi"/>
      <w:color w:val="77206D" w:themeColor="accent5" w:themeShade="BF"/>
      <w:kern w:val="0"/>
      <w:lang w:eastAsia="en-US"/>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011742"/>
    <w:pPr>
      <w:spacing w:after="0" w:line="240" w:lineRule="auto"/>
    </w:pPr>
    <w:rPr>
      <w:rFonts w:asciiTheme="minorHAnsi" w:eastAsiaTheme="minorEastAsia" w:hAnsiTheme="minorHAnsi"/>
      <w:color w:val="3A7C22" w:themeColor="accent6" w:themeShade="BF"/>
      <w:kern w:val="0"/>
      <w:lang w:eastAsia="en-US"/>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11742"/>
    <w:pPr>
      <w:spacing w:after="0" w:line="240" w:lineRule="auto"/>
    </w:pPr>
    <w:rPr>
      <w:rFonts w:asciiTheme="majorHAnsi" w:eastAsiaTheme="majorEastAsia" w:hAnsiTheme="majorHAnsi" w:cstheme="majorBidi"/>
      <w:color w:val="000000" w:themeColor="text1"/>
      <w:kern w:val="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011742"/>
    <w:pPr>
      <w:spacing w:after="0" w:line="240" w:lineRule="auto"/>
    </w:pPr>
    <w:rPr>
      <w:rFonts w:asciiTheme="minorHAnsi" w:eastAsiaTheme="minorEastAsia" w:hAnsiTheme="minorHAnsi"/>
      <w:kern w:val="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011742"/>
    <w:pPr>
      <w:spacing w:after="0" w:line="240" w:lineRule="auto"/>
    </w:pPr>
    <w:rPr>
      <w:rFonts w:asciiTheme="minorHAnsi" w:eastAsiaTheme="minorEastAsia" w:hAnsiTheme="minorHAnsi"/>
      <w:color w:val="FFFFFF" w:themeColor="background1"/>
      <w:kern w:val="0"/>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11742"/>
    <w:pPr>
      <w:spacing w:after="0" w:line="240" w:lineRule="auto"/>
    </w:pPr>
    <w:rPr>
      <w:rFonts w:asciiTheme="minorHAnsi" w:eastAsiaTheme="minorEastAsia" w:hAnsiTheme="minorHAnsi"/>
      <w:color w:val="FFFFFF" w:themeColor="background1"/>
      <w:kern w:val="0"/>
      <w:lang w:eastAsia="en-US"/>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011742"/>
    <w:pPr>
      <w:spacing w:after="0" w:line="240" w:lineRule="auto"/>
    </w:pPr>
    <w:rPr>
      <w:rFonts w:asciiTheme="minorHAnsi" w:eastAsiaTheme="minorEastAsia" w:hAnsiTheme="minorHAnsi"/>
      <w:color w:val="FFFFFF" w:themeColor="background1"/>
      <w:kern w:val="0"/>
      <w:lang w:eastAsia="en-US"/>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011742"/>
    <w:pPr>
      <w:spacing w:after="0" w:line="240" w:lineRule="auto"/>
    </w:pPr>
    <w:rPr>
      <w:rFonts w:asciiTheme="minorHAnsi" w:eastAsiaTheme="minorEastAsia" w:hAnsiTheme="minorHAnsi"/>
      <w:color w:val="FFFFFF" w:themeColor="background1"/>
      <w:kern w:val="0"/>
      <w:lang w:eastAsia="en-US"/>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011742"/>
    <w:pPr>
      <w:spacing w:after="0" w:line="240" w:lineRule="auto"/>
    </w:pPr>
    <w:rPr>
      <w:rFonts w:asciiTheme="minorHAnsi" w:eastAsiaTheme="minorEastAsia" w:hAnsiTheme="minorHAnsi"/>
      <w:color w:val="FFFFFF" w:themeColor="background1"/>
      <w:kern w:val="0"/>
      <w:lang w:eastAsia="en-US"/>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011742"/>
    <w:pPr>
      <w:spacing w:after="0" w:line="240" w:lineRule="auto"/>
    </w:pPr>
    <w:rPr>
      <w:rFonts w:asciiTheme="minorHAnsi" w:eastAsiaTheme="minorEastAsia" w:hAnsiTheme="minorHAnsi"/>
      <w:color w:val="FFFFFF" w:themeColor="background1"/>
      <w:kern w:val="0"/>
      <w:lang w:eastAsia="en-US"/>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011742"/>
    <w:pPr>
      <w:spacing w:after="0" w:line="240" w:lineRule="auto"/>
    </w:pPr>
    <w:rPr>
      <w:rFonts w:asciiTheme="minorHAnsi" w:eastAsiaTheme="minorEastAsia" w:hAnsiTheme="minorHAnsi"/>
      <w:color w:val="FFFFFF" w:themeColor="background1"/>
      <w:kern w:val="0"/>
      <w:lang w:eastAsia="en-US"/>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011742"/>
    <w:pPr>
      <w:spacing w:after="0" w:line="240" w:lineRule="auto"/>
    </w:pPr>
    <w:rPr>
      <w:rFonts w:asciiTheme="minorHAnsi" w:eastAsiaTheme="minorEastAsia" w:hAnsiTheme="minorHAnsi"/>
      <w:color w:val="000000" w:themeColor="text1"/>
      <w:kern w:val="0"/>
      <w:lang w:eastAsia="en-US"/>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TOC2">
    <w:name w:val="toc 2"/>
    <w:basedOn w:val="Normal"/>
    <w:next w:val="Normal"/>
    <w:autoRedefine/>
    <w:uiPriority w:val="39"/>
    <w:unhideWhenUsed/>
    <w:rsid w:val="00011742"/>
    <w:pPr>
      <w:spacing w:after="100" w:line="259" w:lineRule="auto"/>
      <w:ind w:left="220"/>
    </w:pPr>
    <w:rPr>
      <w:rFonts w:asciiTheme="minorHAnsi" w:eastAsiaTheme="minorHAnsi" w:hAnsiTheme="minorHAnsi"/>
      <w:kern w:val="2"/>
      <w:sz w:val="22"/>
      <w:lang w:val="en-NZ"/>
      <w14:ligatures w14:val="standardContextual"/>
    </w:rPr>
  </w:style>
  <w:style w:type="character" w:styleId="Hyperlink">
    <w:name w:val="Hyperlink"/>
    <w:basedOn w:val="DefaultParagraphFont"/>
    <w:uiPriority w:val="99"/>
    <w:unhideWhenUsed/>
    <w:rsid w:val="00011742"/>
    <w:rPr>
      <w:color w:val="467886" w:themeColor="hyperlink"/>
      <w:u w:val="single"/>
    </w:rPr>
  </w:style>
  <w:style w:type="character" w:customStyle="1" w:styleId="cf01">
    <w:name w:val="cf01"/>
    <w:basedOn w:val="DefaultParagraphFont"/>
    <w:rsid w:val="00011742"/>
    <w:rPr>
      <w:rFonts w:ascii="Segoe UI" w:hAnsi="Segoe UI" w:cs="Segoe UI" w:hint="default"/>
      <w:sz w:val="18"/>
      <w:szCs w:val="18"/>
    </w:rPr>
  </w:style>
  <w:style w:type="character" w:styleId="UnresolvedMention">
    <w:name w:val="Unresolved Mention"/>
    <w:basedOn w:val="DefaultParagraphFont"/>
    <w:uiPriority w:val="99"/>
    <w:semiHidden/>
    <w:unhideWhenUsed/>
    <w:rsid w:val="00011742"/>
    <w:rPr>
      <w:color w:val="605E5C"/>
      <w:shd w:val="clear" w:color="auto" w:fill="E1DFDD"/>
    </w:rPr>
  </w:style>
  <w:style w:type="paragraph" w:styleId="TOC1">
    <w:name w:val="toc 1"/>
    <w:basedOn w:val="Normal"/>
    <w:next w:val="Normal"/>
    <w:autoRedefine/>
    <w:uiPriority w:val="39"/>
    <w:unhideWhenUsed/>
    <w:rsid w:val="00011742"/>
    <w:pPr>
      <w:spacing w:after="100"/>
    </w:pPr>
  </w:style>
  <w:style w:type="paragraph" w:styleId="Revision">
    <w:name w:val="Revision"/>
    <w:hidden/>
    <w:uiPriority w:val="99"/>
    <w:semiHidden/>
    <w:rsid w:val="00011742"/>
    <w:pPr>
      <w:spacing w:after="0" w:line="240" w:lineRule="auto"/>
    </w:pPr>
    <w:rPr>
      <w:rFonts w:ascii="Times New Roman" w:eastAsiaTheme="minorEastAsia" w:hAnsi="Times New Roman"/>
      <w:kern w:val="0"/>
      <w:sz w:val="24"/>
      <w:lang w:eastAsia="en-US"/>
    </w:rPr>
  </w:style>
  <w:style w:type="paragraph" w:styleId="FootnoteText">
    <w:name w:val="footnote text"/>
    <w:basedOn w:val="Normal"/>
    <w:link w:val="FootnoteTextChar"/>
    <w:uiPriority w:val="99"/>
    <w:semiHidden/>
    <w:unhideWhenUsed/>
    <w:rsid w:val="00D73F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3FE4"/>
    <w:rPr>
      <w:rFonts w:ascii="Times New Roman" w:eastAsiaTheme="minorEastAsia" w:hAnsi="Times New Roman"/>
      <w:kern w:val="0"/>
      <w:sz w:val="20"/>
      <w:szCs w:val="20"/>
      <w:lang w:eastAsia="en-US"/>
    </w:rPr>
  </w:style>
  <w:style w:type="character" w:styleId="FootnoteReference">
    <w:name w:val="footnote reference"/>
    <w:basedOn w:val="DefaultParagraphFont"/>
    <w:uiPriority w:val="99"/>
    <w:semiHidden/>
    <w:unhideWhenUsed/>
    <w:rsid w:val="00D73FE4"/>
    <w:rPr>
      <w:vertAlign w:val="superscript"/>
    </w:rPr>
  </w:style>
  <w:style w:type="paragraph" w:styleId="NormalWeb">
    <w:name w:val="Normal (Web)"/>
    <w:basedOn w:val="Normal"/>
    <w:uiPriority w:val="99"/>
    <w:unhideWhenUsed/>
    <w:rsid w:val="00D73FE4"/>
    <w:pPr>
      <w:spacing w:before="100" w:beforeAutospacing="1" w:after="100" w:afterAutospacing="1" w:line="240" w:lineRule="auto"/>
    </w:pPr>
    <w:rPr>
      <w:rFonts w:eastAsia="Times New Roman" w:cs="Times New Roman"/>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etings.wcpfc.int/node/281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ings.wcpfc.int/node/281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ings.wcpfc.int/node/2808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etings.wcpfc.int/node/27513" TargetMode="External"/><Relationship Id="rId4" Type="http://schemas.openxmlformats.org/officeDocument/2006/relationships/settings" Target="settings.xml"/><Relationship Id="rId9" Type="http://schemas.openxmlformats.org/officeDocument/2006/relationships/hyperlink" Target="https://meetings.wcpfc.int/node/27513" TargetMode="External"/><Relationship Id="rId14" Type="http://schemas.openxmlformats.org/officeDocument/2006/relationships/hyperlink" Target="https://meetings.wcpfc.int/node/28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0F69A-54DE-4131-A6B9-3BFDA92F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3346</Words>
  <Characters>18572</Characters>
  <Application>Microsoft Office Word</Application>
  <DocSecurity>0</DocSecurity>
  <Lines>357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SungKwon Soh</dc:creator>
  <cp:keywords/>
  <dc:description/>
  <cp:lastModifiedBy>SungKwon Soh</cp:lastModifiedBy>
  <cp:revision>2</cp:revision>
  <dcterms:created xsi:type="dcterms:W3CDTF">2025-11-12T22:40:00Z</dcterms:created>
  <dcterms:modified xsi:type="dcterms:W3CDTF">2025-11-12T22:40:00Z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548853db-239c-4db7-ae9d-0e391c63ac18</vt:lpwstr>
  </property>
</Properties>
</file>