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021D6" w14:textId="77777777" w:rsidR="00655272" w:rsidRPr="00E9225A" w:rsidRDefault="00655272" w:rsidP="00655272">
      <w:pPr>
        <w:widowControl w:val="0"/>
        <w:adjustRightInd w:val="0"/>
        <w:snapToGrid w:val="0"/>
        <w:spacing w:after="0"/>
        <w:ind w:left="49"/>
        <w:jc w:val="center"/>
        <w:rPr>
          <w:lang w:val="fr-FR"/>
        </w:rPr>
      </w:pPr>
      <w:r>
        <w:rPr>
          <w:noProof/>
        </w:rPr>
        <w:drawing>
          <wp:inline distT="0" distB="0" distL="0" distR="0" wp14:anchorId="433B3201" wp14:editId="4EE0FA59">
            <wp:extent cx="2476500" cy="861695"/>
            <wp:effectExtent l="0" t="0" r="0" b="0"/>
            <wp:docPr id="221" name="Picture 221" descr="A blue and black logo&#10;&#10;AI-generated content may be incorrect."/>
            <wp:cNvGraphicFramePr/>
            <a:graphic xmlns:a="http://schemas.openxmlformats.org/drawingml/2006/main">
              <a:graphicData uri="http://schemas.openxmlformats.org/drawingml/2006/picture">
                <pic:pic xmlns:pic="http://schemas.openxmlformats.org/drawingml/2006/picture">
                  <pic:nvPicPr>
                    <pic:cNvPr id="221" name="Picture 221" descr="A blue and black logo&#10;&#10;AI-generated content may be incorrect."/>
                    <pic:cNvPicPr/>
                  </pic:nvPicPr>
                  <pic:blipFill>
                    <a:blip r:embed="rId8"/>
                    <a:stretch>
                      <a:fillRect/>
                    </a:stretch>
                  </pic:blipFill>
                  <pic:spPr>
                    <a:xfrm>
                      <a:off x="0" y="0"/>
                      <a:ext cx="2476500" cy="861695"/>
                    </a:xfrm>
                    <a:prstGeom prst="rect">
                      <a:avLst/>
                    </a:prstGeom>
                  </pic:spPr>
                </pic:pic>
              </a:graphicData>
            </a:graphic>
          </wp:inline>
        </w:drawing>
      </w:r>
      <w:r w:rsidRPr="00E9225A">
        <w:rPr>
          <w:lang w:val="fr-FR"/>
        </w:rPr>
        <w:t xml:space="preserve"> </w:t>
      </w:r>
    </w:p>
    <w:p w14:paraId="55EEBE05" w14:textId="77777777" w:rsidR="00655272" w:rsidRPr="00A473D6" w:rsidRDefault="00655272" w:rsidP="00655272">
      <w:pPr>
        <w:widowControl w:val="0"/>
        <w:adjustRightInd w:val="0"/>
        <w:snapToGrid w:val="0"/>
        <w:spacing w:after="0"/>
        <w:jc w:val="center"/>
        <w:rPr>
          <w:b/>
          <w:sz w:val="24"/>
        </w:rPr>
      </w:pPr>
      <w:r w:rsidRPr="00A473D6">
        <w:rPr>
          <w:b/>
          <w:sz w:val="24"/>
        </w:rPr>
        <w:t>The Commission for the Conservation and Management of</w:t>
      </w:r>
    </w:p>
    <w:p w14:paraId="42FCB742" w14:textId="77777777" w:rsidR="00655272" w:rsidRPr="00A473D6" w:rsidRDefault="00655272" w:rsidP="00655272">
      <w:pPr>
        <w:widowControl w:val="0"/>
        <w:adjustRightInd w:val="0"/>
        <w:snapToGrid w:val="0"/>
        <w:spacing w:after="0"/>
        <w:jc w:val="center"/>
        <w:rPr>
          <w:b/>
          <w:sz w:val="24"/>
        </w:rPr>
      </w:pPr>
      <w:r w:rsidRPr="00A473D6">
        <w:rPr>
          <w:b/>
          <w:sz w:val="24"/>
        </w:rPr>
        <w:t>Highly Migratory Fish Stocks in the Western and Central Pacific Ocean</w:t>
      </w:r>
    </w:p>
    <w:p w14:paraId="740F38F6" w14:textId="77777777" w:rsidR="00655272" w:rsidRDefault="00655272" w:rsidP="00655272">
      <w:pPr>
        <w:widowControl w:val="0"/>
        <w:adjustRightInd w:val="0"/>
        <w:snapToGrid w:val="0"/>
        <w:spacing w:after="0"/>
        <w:jc w:val="center"/>
        <w:rPr>
          <w:b/>
          <w:bCs/>
          <w:sz w:val="24"/>
          <w:szCs w:val="28"/>
        </w:rPr>
      </w:pPr>
    </w:p>
    <w:p w14:paraId="07093B58" w14:textId="1548A41B" w:rsidR="00655272" w:rsidRDefault="00524BEB" w:rsidP="00655272">
      <w:pPr>
        <w:widowControl w:val="0"/>
        <w:adjustRightInd w:val="0"/>
        <w:snapToGrid w:val="0"/>
        <w:spacing w:after="0"/>
        <w:jc w:val="center"/>
        <w:rPr>
          <w:b/>
          <w:bCs/>
          <w:sz w:val="24"/>
          <w:szCs w:val="28"/>
        </w:rPr>
      </w:pPr>
      <w:r>
        <w:rPr>
          <w:b/>
          <w:bCs/>
          <w:sz w:val="24"/>
          <w:szCs w:val="28"/>
        </w:rPr>
        <w:t>SOUTH PACIFIC ALBACORE MANAGEMENT WORKSHOP</w:t>
      </w:r>
      <w:r w:rsidR="00655272" w:rsidRPr="00144FF0">
        <w:rPr>
          <w:b/>
          <w:bCs/>
          <w:sz w:val="24"/>
          <w:szCs w:val="28"/>
        </w:rPr>
        <w:t xml:space="preserve"> </w:t>
      </w:r>
      <w:r w:rsidR="002E7C0C">
        <w:rPr>
          <w:b/>
          <w:bCs/>
          <w:sz w:val="24"/>
          <w:szCs w:val="28"/>
        </w:rPr>
        <w:t>(SPAMWS)</w:t>
      </w:r>
    </w:p>
    <w:p w14:paraId="083649C2" w14:textId="4D43CD58" w:rsidR="00655272" w:rsidRPr="00144FF0" w:rsidRDefault="00524BEB" w:rsidP="00655272">
      <w:pPr>
        <w:widowControl w:val="0"/>
        <w:adjustRightInd w:val="0"/>
        <w:snapToGrid w:val="0"/>
        <w:spacing w:after="0"/>
        <w:jc w:val="center"/>
        <w:rPr>
          <w:b/>
          <w:bCs/>
          <w:sz w:val="24"/>
          <w:szCs w:val="28"/>
        </w:rPr>
      </w:pPr>
      <w:r>
        <w:rPr>
          <w:b/>
          <w:bCs/>
          <w:sz w:val="24"/>
          <w:szCs w:val="28"/>
        </w:rPr>
        <w:t>FIRST</w:t>
      </w:r>
      <w:r w:rsidR="00655272">
        <w:rPr>
          <w:b/>
          <w:bCs/>
          <w:sz w:val="24"/>
          <w:szCs w:val="28"/>
        </w:rPr>
        <w:t xml:space="preserve"> SESSION</w:t>
      </w:r>
    </w:p>
    <w:p w14:paraId="25B84017" w14:textId="77777777" w:rsidR="00655272" w:rsidRDefault="00655272" w:rsidP="00655272">
      <w:pPr>
        <w:widowControl w:val="0"/>
        <w:kinsoku w:val="0"/>
        <w:overflowPunct w:val="0"/>
        <w:autoSpaceDE w:val="0"/>
        <w:autoSpaceDN w:val="0"/>
        <w:adjustRightInd w:val="0"/>
        <w:snapToGrid w:val="0"/>
        <w:spacing w:after="0"/>
        <w:jc w:val="center"/>
        <w:rPr>
          <w:bCs/>
          <w:sz w:val="24"/>
          <w:lang w:eastAsia="ko-KR"/>
        </w:rPr>
      </w:pPr>
    </w:p>
    <w:p w14:paraId="287F7711" w14:textId="77777777" w:rsidR="00655272" w:rsidRPr="00DA58A6" w:rsidRDefault="00655272" w:rsidP="00655272">
      <w:pPr>
        <w:widowControl w:val="0"/>
        <w:kinsoku w:val="0"/>
        <w:overflowPunct w:val="0"/>
        <w:autoSpaceDE w:val="0"/>
        <w:autoSpaceDN w:val="0"/>
        <w:adjustRightInd w:val="0"/>
        <w:snapToGrid w:val="0"/>
        <w:spacing w:after="0"/>
        <w:jc w:val="center"/>
        <w:rPr>
          <w:b/>
          <w:sz w:val="24"/>
          <w:lang w:eastAsia="ko-KR"/>
        </w:rPr>
      </w:pPr>
      <w:r w:rsidRPr="00DA58A6">
        <w:rPr>
          <w:b/>
          <w:sz w:val="24"/>
          <w:lang w:eastAsia="ko-KR"/>
        </w:rPr>
        <w:t>Electronic Meeting</w:t>
      </w:r>
    </w:p>
    <w:p w14:paraId="3D07904E" w14:textId="622204C5" w:rsidR="00655272" w:rsidRPr="00DA58A6" w:rsidRDefault="00655272" w:rsidP="00655272">
      <w:pPr>
        <w:widowControl w:val="0"/>
        <w:kinsoku w:val="0"/>
        <w:overflowPunct w:val="0"/>
        <w:autoSpaceDE w:val="0"/>
        <w:autoSpaceDN w:val="0"/>
        <w:adjustRightInd w:val="0"/>
        <w:snapToGrid w:val="0"/>
        <w:spacing w:after="0"/>
        <w:jc w:val="center"/>
        <w:rPr>
          <w:b/>
          <w:sz w:val="24"/>
          <w:lang w:eastAsia="ko-KR"/>
        </w:rPr>
      </w:pPr>
      <w:r w:rsidRPr="00DA58A6">
        <w:rPr>
          <w:rFonts w:hint="eastAsia"/>
          <w:b/>
          <w:sz w:val="24"/>
          <w:lang w:eastAsia="ko-KR"/>
        </w:rPr>
        <w:t xml:space="preserve">10:00 </w:t>
      </w:r>
      <w:r w:rsidRPr="00DA58A6">
        <w:rPr>
          <w:b/>
          <w:sz w:val="24"/>
          <w:lang w:eastAsia="ko-KR"/>
        </w:rPr>
        <w:t>–</w:t>
      </w:r>
      <w:r w:rsidRPr="00DA58A6">
        <w:rPr>
          <w:rFonts w:hint="eastAsia"/>
          <w:b/>
          <w:sz w:val="24"/>
          <w:lang w:eastAsia="ko-KR"/>
        </w:rPr>
        <w:t xml:space="preserve"> 1</w:t>
      </w:r>
      <w:r w:rsidR="00524BEB" w:rsidRPr="00DA58A6">
        <w:rPr>
          <w:b/>
          <w:sz w:val="24"/>
          <w:lang w:eastAsia="ko-KR"/>
        </w:rPr>
        <w:t>4</w:t>
      </w:r>
      <w:r w:rsidRPr="00DA58A6">
        <w:rPr>
          <w:rFonts w:hint="eastAsia"/>
          <w:b/>
          <w:sz w:val="24"/>
          <w:lang w:eastAsia="ko-KR"/>
        </w:rPr>
        <w:t xml:space="preserve">:00, Pohnpei Time, </w:t>
      </w:r>
      <w:r w:rsidRPr="00DA58A6">
        <w:rPr>
          <w:b/>
          <w:sz w:val="24"/>
          <w:lang w:eastAsia="ko-KR"/>
        </w:rPr>
        <w:t>1</w:t>
      </w:r>
      <w:r w:rsidR="00524BEB" w:rsidRPr="00DA58A6">
        <w:rPr>
          <w:b/>
          <w:sz w:val="24"/>
          <w:lang w:eastAsia="ko-KR"/>
        </w:rPr>
        <w:t>1</w:t>
      </w:r>
      <w:r w:rsidRPr="00DA58A6">
        <w:rPr>
          <w:b/>
          <w:sz w:val="24"/>
          <w:lang w:eastAsia="ko-KR"/>
        </w:rPr>
        <w:t>-12 September 202</w:t>
      </w:r>
      <w:r w:rsidR="00524BEB" w:rsidRPr="00DA58A6">
        <w:rPr>
          <w:b/>
          <w:sz w:val="24"/>
          <w:lang w:eastAsia="ko-KR"/>
        </w:rPr>
        <w:t>5</w:t>
      </w:r>
    </w:p>
    <w:p w14:paraId="6637E4F6" w14:textId="77777777" w:rsidR="00655272" w:rsidRDefault="00655272" w:rsidP="00655272">
      <w:pPr>
        <w:widowControl w:val="0"/>
        <w:kinsoku w:val="0"/>
        <w:overflowPunct w:val="0"/>
        <w:autoSpaceDE w:val="0"/>
        <w:autoSpaceDN w:val="0"/>
        <w:adjustRightInd w:val="0"/>
        <w:snapToGrid w:val="0"/>
        <w:spacing w:after="0"/>
        <w:jc w:val="center"/>
        <w:rPr>
          <w:b/>
          <w:sz w:val="24"/>
          <w:lang w:eastAsia="ko-KR"/>
        </w:rPr>
      </w:pPr>
    </w:p>
    <w:p w14:paraId="0957AF66" w14:textId="77777777" w:rsidR="00655272" w:rsidRDefault="00655272" w:rsidP="00655272">
      <w:pPr>
        <w:widowControl w:val="0"/>
        <w:kinsoku w:val="0"/>
        <w:overflowPunct w:val="0"/>
        <w:autoSpaceDE w:val="0"/>
        <w:autoSpaceDN w:val="0"/>
        <w:adjustRightInd w:val="0"/>
        <w:snapToGrid w:val="0"/>
        <w:spacing w:after="0"/>
        <w:jc w:val="center"/>
        <w:rPr>
          <w:b/>
          <w:sz w:val="24"/>
          <w:lang w:eastAsia="ko-KR"/>
        </w:rPr>
      </w:pPr>
    </w:p>
    <w:p w14:paraId="03F0A377" w14:textId="77777777" w:rsidR="00655272" w:rsidRDefault="00655272" w:rsidP="00655272">
      <w:pPr>
        <w:widowControl w:val="0"/>
        <w:kinsoku w:val="0"/>
        <w:overflowPunct w:val="0"/>
        <w:autoSpaceDE w:val="0"/>
        <w:autoSpaceDN w:val="0"/>
        <w:adjustRightInd w:val="0"/>
        <w:snapToGrid w:val="0"/>
        <w:spacing w:after="0"/>
        <w:jc w:val="center"/>
        <w:rPr>
          <w:b/>
          <w:sz w:val="24"/>
          <w:lang w:eastAsia="ko-KR"/>
        </w:rPr>
      </w:pPr>
    </w:p>
    <w:p w14:paraId="41BBC3AD" w14:textId="77777777" w:rsidR="00655272" w:rsidRDefault="00655272" w:rsidP="00655272">
      <w:pPr>
        <w:widowControl w:val="0"/>
        <w:kinsoku w:val="0"/>
        <w:overflowPunct w:val="0"/>
        <w:autoSpaceDE w:val="0"/>
        <w:autoSpaceDN w:val="0"/>
        <w:adjustRightInd w:val="0"/>
        <w:snapToGrid w:val="0"/>
        <w:spacing w:after="0"/>
        <w:jc w:val="center"/>
        <w:rPr>
          <w:b/>
          <w:sz w:val="24"/>
          <w:lang w:eastAsia="ko-KR"/>
        </w:rPr>
      </w:pPr>
    </w:p>
    <w:p w14:paraId="5B4EAD92" w14:textId="77777777" w:rsidR="00655272" w:rsidRDefault="00655272" w:rsidP="00655272">
      <w:pPr>
        <w:widowControl w:val="0"/>
        <w:kinsoku w:val="0"/>
        <w:overflowPunct w:val="0"/>
        <w:autoSpaceDE w:val="0"/>
        <w:autoSpaceDN w:val="0"/>
        <w:adjustRightInd w:val="0"/>
        <w:snapToGrid w:val="0"/>
        <w:spacing w:after="0"/>
        <w:jc w:val="center"/>
        <w:rPr>
          <w:b/>
          <w:sz w:val="24"/>
          <w:lang w:eastAsia="ko-KR"/>
        </w:rPr>
      </w:pPr>
    </w:p>
    <w:p w14:paraId="74659F30" w14:textId="77777777" w:rsidR="00655272" w:rsidRDefault="00655272" w:rsidP="00655272">
      <w:pPr>
        <w:widowControl w:val="0"/>
        <w:kinsoku w:val="0"/>
        <w:overflowPunct w:val="0"/>
        <w:autoSpaceDE w:val="0"/>
        <w:autoSpaceDN w:val="0"/>
        <w:adjustRightInd w:val="0"/>
        <w:snapToGrid w:val="0"/>
        <w:spacing w:after="0"/>
        <w:jc w:val="center"/>
        <w:rPr>
          <w:b/>
          <w:sz w:val="24"/>
          <w:lang w:eastAsia="ko-KR"/>
        </w:rPr>
      </w:pPr>
    </w:p>
    <w:p w14:paraId="7998FCE1" w14:textId="77777777" w:rsidR="00655272" w:rsidRDefault="00655272" w:rsidP="00655272">
      <w:pPr>
        <w:widowControl w:val="0"/>
        <w:kinsoku w:val="0"/>
        <w:overflowPunct w:val="0"/>
        <w:autoSpaceDE w:val="0"/>
        <w:autoSpaceDN w:val="0"/>
        <w:adjustRightInd w:val="0"/>
        <w:snapToGrid w:val="0"/>
        <w:spacing w:after="0"/>
        <w:jc w:val="center"/>
        <w:rPr>
          <w:b/>
          <w:sz w:val="24"/>
          <w:lang w:eastAsia="ko-KR"/>
        </w:rPr>
      </w:pPr>
    </w:p>
    <w:p w14:paraId="7D2A3B18" w14:textId="77777777" w:rsidR="00655272" w:rsidRDefault="00655272" w:rsidP="00655272">
      <w:pPr>
        <w:widowControl w:val="0"/>
        <w:kinsoku w:val="0"/>
        <w:overflowPunct w:val="0"/>
        <w:autoSpaceDE w:val="0"/>
        <w:autoSpaceDN w:val="0"/>
        <w:adjustRightInd w:val="0"/>
        <w:snapToGrid w:val="0"/>
        <w:spacing w:after="0"/>
        <w:jc w:val="center"/>
        <w:rPr>
          <w:b/>
          <w:sz w:val="24"/>
          <w:lang w:eastAsia="ko-KR"/>
        </w:rPr>
      </w:pPr>
    </w:p>
    <w:p w14:paraId="582A158F" w14:textId="77777777" w:rsidR="00655272" w:rsidRDefault="00655272" w:rsidP="00655272">
      <w:pPr>
        <w:widowControl w:val="0"/>
        <w:kinsoku w:val="0"/>
        <w:overflowPunct w:val="0"/>
        <w:autoSpaceDE w:val="0"/>
        <w:autoSpaceDN w:val="0"/>
        <w:adjustRightInd w:val="0"/>
        <w:snapToGrid w:val="0"/>
        <w:spacing w:after="0"/>
        <w:jc w:val="center"/>
        <w:rPr>
          <w:b/>
          <w:sz w:val="24"/>
          <w:lang w:eastAsia="ko-KR"/>
        </w:rPr>
      </w:pPr>
    </w:p>
    <w:p w14:paraId="6189E2F1" w14:textId="64223594" w:rsidR="00655272" w:rsidRPr="00144FF0" w:rsidRDefault="00524BEB" w:rsidP="00655272">
      <w:pPr>
        <w:widowControl w:val="0"/>
        <w:kinsoku w:val="0"/>
        <w:overflowPunct w:val="0"/>
        <w:autoSpaceDE w:val="0"/>
        <w:autoSpaceDN w:val="0"/>
        <w:adjustRightInd w:val="0"/>
        <w:snapToGrid w:val="0"/>
        <w:spacing w:after="0"/>
        <w:jc w:val="center"/>
        <w:rPr>
          <w:b/>
          <w:sz w:val="24"/>
          <w:lang w:eastAsia="ko-KR"/>
        </w:rPr>
      </w:pPr>
      <w:r>
        <w:rPr>
          <w:b/>
          <w:sz w:val="24"/>
          <w:lang w:eastAsia="ko-KR"/>
        </w:rPr>
        <w:t xml:space="preserve">CHAIRS’ </w:t>
      </w:r>
      <w:r w:rsidR="00655272">
        <w:rPr>
          <w:b/>
          <w:sz w:val="24"/>
          <w:lang w:eastAsia="ko-KR"/>
        </w:rPr>
        <w:t>SUMMARY REPORT</w:t>
      </w:r>
    </w:p>
    <w:p w14:paraId="01D42925" w14:textId="77777777" w:rsidR="00655272" w:rsidRDefault="00655272" w:rsidP="00655272">
      <w:pPr>
        <w:widowControl w:val="0"/>
        <w:adjustRightInd w:val="0"/>
        <w:snapToGrid w:val="0"/>
        <w:spacing w:after="0" w:line="278" w:lineRule="auto"/>
        <w:rPr>
          <w:b/>
        </w:rPr>
      </w:pPr>
      <w:r>
        <w:rPr>
          <w:b/>
        </w:rPr>
        <w:br w:type="page"/>
      </w:r>
    </w:p>
    <w:p w14:paraId="536AA69F" w14:textId="77777777" w:rsidR="002E7C0C" w:rsidRDefault="002E7C0C" w:rsidP="002E7C0C">
      <w:pPr>
        <w:pStyle w:val="Heading2"/>
        <w:rPr>
          <w:b/>
          <w:bCs/>
        </w:rPr>
      </w:pPr>
    </w:p>
    <w:sdt>
      <w:sdtPr>
        <w:rPr>
          <w:rFonts w:asciiTheme="minorHAnsi" w:eastAsiaTheme="minorHAnsi" w:hAnsiTheme="minorHAnsi" w:cstheme="minorBidi"/>
          <w:b/>
          <w:bCs/>
          <w:color w:val="auto"/>
          <w:kern w:val="2"/>
          <w:sz w:val="22"/>
          <w:szCs w:val="22"/>
          <w:lang w:val="en-NZ"/>
          <w14:ligatures w14:val="standardContextual"/>
        </w:rPr>
        <w:id w:val="-1138255966"/>
        <w:docPartObj>
          <w:docPartGallery w:val="Table of Contents"/>
          <w:docPartUnique/>
        </w:docPartObj>
      </w:sdtPr>
      <w:sdtEndPr>
        <w:rPr>
          <w:noProof/>
        </w:rPr>
      </w:sdtEndPr>
      <w:sdtContent>
        <w:p w14:paraId="6ED1C632" w14:textId="0726298A" w:rsidR="002E7C0C" w:rsidRPr="002E7C0C" w:rsidRDefault="002E7C0C">
          <w:pPr>
            <w:pStyle w:val="TOCHeading"/>
            <w:rPr>
              <w:b/>
              <w:bCs/>
            </w:rPr>
          </w:pPr>
          <w:r w:rsidRPr="002E7C0C">
            <w:rPr>
              <w:b/>
              <w:bCs/>
            </w:rPr>
            <w:t>Table of Contents</w:t>
          </w:r>
        </w:p>
        <w:p w14:paraId="458B574D" w14:textId="0BB3967D" w:rsidR="002E7C0C" w:rsidRDefault="002E7C0C">
          <w:pPr>
            <w:pStyle w:val="TOC2"/>
            <w:tabs>
              <w:tab w:val="left" w:pos="720"/>
              <w:tab w:val="right" w:leader="dot" w:pos="9016"/>
            </w:tabs>
            <w:rPr>
              <w:noProof/>
            </w:rPr>
          </w:pPr>
          <w:r>
            <w:fldChar w:fldCharType="begin"/>
          </w:r>
          <w:r>
            <w:instrText xml:space="preserve"> TOC \o "1-3" \h \z \u </w:instrText>
          </w:r>
          <w:r>
            <w:fldChar w:fldCharType="separate"/>
          </w:r>
          <w:hyperlink w:anchor="_Toc208768276" w:history="1">
            <w:r w:rsidRPr="00143AE0">
              <w:rPr>
                <w:rStyle w:val="Hyperlink"/>
                <w:b/>
                <w:bCs/>
                <w:noProof/>
              </w:rPr>
              <w:t>1.</w:t>
            </w:r>
            <w:r>
              <w:rPr>
                <w:noProof/>
              </w:rPr>
              <w:tab/>
            </w:r>
            <w:r w:rsidRPr="00143AE0">
              <w:rPr>
                <w:rStyle w:val="Hyperlink"/>
                <w:b/>
                <w:bCs/>
                <w:noProof/>
              </w:rPr>
              <w:t>OPENING OF THE MEETING</w:t>
            </w:r>
            <w:r>
              <w:rPr>
                <w:noProof/>
                <w:webHidden/>
              </w:rPr>
              <w:tab/>
            </w:r>
            <w:r>
              <w:rPr>
                <w:noProof/>
                <w:webHidden/>
              </w:rPr>
              <w:fldChar w:fldCharType="begin"/>
            </w:r>
            <w:r>
              <w:rPr>
                <w:noProof/>
                <w:webHidden/>
              </w:rPr>
              <w:instrText xml:space="preserve"> PAGEREF _Toc208768276 \h </w:instrText>
            </w:r>
            <w:r>
              <w:rPr>
                <w:noProof/>
                <w:webHidden/>
              </w:rPr>
            </w:r>
            <w:r>
              <w:rPr>
                <w:noProof/>
                <w:webHidden/>
              </w:rPr>
              <w:fldChar w:fldCharType="separate"/>
            </w:r>
            <w:r w:rsidR="00B804E5">
              <w:rPr>
                <w:noProof/>
                <w:webHidden/>
              </w:rPr>
              <w:t>3</w:t>
            </w:r>
            <w:r>
              <w:rPr>
                <w:noProof/>
                <w:webHidden/>
              </w:rPr>
              <w:fldChar w:fldCharType="end"/>
            </w:r>
          </w:hyperlink>
        </w:p>
        <w:p w14:paraId="0DA0F7FF" w14:textId="4DDABB8A" w:rsidR="002E7C0C" w:rsidRDefault="002E7C0C">
          <w:pPr>
            <w:pStyle w:val="TOC2"/>
            <w:tabs>
              <w:tab w:val="left" w:pos="720"/>
              <w:tab w:val="right" w:leader="dot" w:pos="9016"/>
            </w:tabs>
            <w:rPr>
              <w:noProof/>
            </w:rPr>
          </w:pPr>
          <w:hyperlink w:anchor="_Toc208768277" w:history="1">
            <w:r w:rsidRPr="00143AE0">
              <w:rPr>
                <w:rStyle w:val="Hyperlink"/>
                <w:b/>
                <w:bCs/>
                <w:noProof/>
              </w:rPr>
              <w:t>2.</w:t>
            </w:r>
            <w:r>
              <w:rPr>
                <w:noProof/>
              </w:rPr>
              <w:tab/>
            </w:r>
            <w:r w:rsidRPr="00143AE0">
              <w:rPr>
                <w:rStyle w:val="Hyperlink"/>
                <w:b/>
                <w:bCs/>
                <w:noProof/>
              </w:rPr>
              <w:t>ADOPTION OF THE AGENDA</w:t>
            </w:r>
            <w:r>
              <w:rPr>
                <w:noProof/>
                <w:webHidden/>
              </w:rPr>
              <w:tab/>
            </w:r>
            <w:r>
              <w:rPr>
                <w:noProof/>
                <w:webHidden/>
              </w:rPr>
              <w:fldChar w:fldCharType="begin"/>
            </w:r>
            <w:r>
              <w:rPr>
                <w:noProof/>
                <w:webHidden/>
              </w:rPr>
              <w:instrText xml:space="preserve"> PAGEREF _Toc208768277 \h </w:instrText>
            </w:r>
            <w:r>
              <w:rPr>
                <w:noProof/>
                <w:webHidden/>
              </w:rPr>
            </w:r>
            <w:r>
              <w:rPr>
                <w:noProof/>
                <w:webHidden/>
              </w:rPr>
              <w:fldChar w:fldCharType="separate"/>
            </w:r>
            <w:r w:rsidR="00B804E5">
              <w:rPr>
                <w:noProof/>
                <w:webHidden/>
              </w:rPr>
              <w:t>3</w:t>
            </w:r>
            <w:r>
              <w:rPr>
                <w:noProof/>
                <w:webHidden/>
              </w:rPr>
              <w:fldChar w:fldCharType="end"/>
            </w:r>
          </w:hyperlink>
        </w:p>
        <w:p w14:paraId="7356AF00" w14:textId="12052255" w:rsidR="002E7C0C" w:rsidRDefault="002E7C0C">
          <w:pPr>
            <w:pStyle w:val="TOC2"/>
            <w:tabs>
              <w:tab w:val="left" w:pos="720"/>
              <w:tab w:val="right" w:leader="dot" w:pos="9016"/>
            </w:tabs>
            <w:rPr>
              <w:noProof/>
            </w:rPr>
          </w:pPr>
          <w:hyperlink w:anchor="_Toc208768278" w:history="1">
            <w:r w:rsidRPr="00143AE0">
              <w:rPr>
                <w:rStyle w:val="Hyperlink"/>
                <w:b/>
                <w:bCs/>
                <w:noProof/>
              </w:rPr>
              <w:t>3.</w:t>
            </w:r>
            <w:r>
              <w:rPr>
                <w:noProof/>
              </w:rPr>
              <w:tab/>
            </w:r>
            <w:r w:rsidRPr="00143AE0">
              <w:rPr>
                <w:rStyle w:val="Hyperlink"/>
                <w:b/>
                <w:bCs/>
                <w:noProof/>
              </w:rPr>
              <w:t>OVERVIEW OF THE WORKSHOP OBJECTIVES</w:t>
            </w:r>
            <w:r>
              <w:rPr>
                <w:noProof/>
                <w:webHidden/>
              </w:rPr>
              <w:tab/>
            </w:r>
            <w:r>
              <w:rPr>
                <w:noProof/>
                <w:webHidden/>
              </w:rPr>
              <w:fldChar w:fldCharType="begin"/>
            </w:r>
            <w:r>
              <w:rPr>
                <w:noProof/>
                <w:webHidden/>
              </w:rPr>
              <w:instrText xml:space="preserve"> PAGEREF _Toc208768278 \h </w:instrText>
            </w:r>
            <w:r>
              <w:rPr>
                <w:noProof/>
                <w:webHidden/>
              </w:rPr>
            </w:r>
            <w:r>
              <w:rPr>
                <w:noProof/>
                <w:webHidden/>
              </w:rPr>
              <w:fldChar w:fldCharType="separate"/>
            </w:r>
            <w:r w:rsidR="00B804E5">
              <w:rPr>
                <w:noProof/>
                <w:webHidden/>
              </w:rPr>
              <w:t>3</w:t>
            </w:r>
            <w:r>
              <w:rPr>
                <w:noProof/>
                <w:webHidden/>
              </w:rPr>
              <w:fldChar w:fldCharType="end"/>
            </w:r>
          </w:hyperlink>
        </w:p>
        <w:p w14:paraId="5F848A22" w14:textId="0708C305" w:rsidR="002E7C0C" w:rsidRDefault="002E7C0C">
          <w:pPr>
            <w:pStyle w:val="TOC2"/>
            <w:tabs>
              <w:tab w:val="left" w:pos="720"/>
              <w:tab w:val="right" w:leader="dot" w:pos="9016"/>
            </w:tabs>
            <w:rPr>
              <w:noProof/>
            </w:rPr>
          </w:pPr>
          <w:hyperlink w:anchor="_Toc208768279" w:history="1">
            <w:r w:rsidRPr="00143AE0">
              <w:rPr>
                <w:rStyle w:val="Hyperlink"/>
                <w:b/>
                <w:bCs/>
                <w:noProof/>
              </w:rPr>
              <w:t>4.</w:t>
            </w:r>
            <w:r>
              <w:rPr>
                <w:noProof/>
              </w:rPr>
              <w:tab/>
            </w:r>
            <w:r w:rsidRPr="00143AE0">
              <w:rPr>
                <w:rStyle w:val="Hyperlink"/>
                <w:b/>
                <w:bCs/>
                <w:noProof/>
              </w:rPr>
              <w:t>SOUTH PACIFIC ALBACORE MANAGEMENT PROCEDURE (MP)</w:t>
            </w:r>
            <w:r>
              <w:rPr>
                <w:noProof/>
                <w:webHidden/>
              </w:rPr>
              <w:tab/>
            </w:r>
            <w:r>
              <w:rPr>
                <w:noProof/>
                <w:webHidden/>
              </w:rPr>
              <w:fldChar w:fldCharType="begin"/>
            </w:r>
            <w:r>
              <w:rPr>
                <w:noProof/>
                <w:webHidden/>
              </w:rPr>
              <w:instrText xml:space="preserve"> PAGEREF _Toc208768279 \h </w:instrText>
            </w:r>
            <w:r>
              <w:rPr>
                <w:noProof/>
                <w:webHidden/>
              </w:rPr>
            </w:r>
            <w:r>
              <w:rPr>
                <w:noProof/>
                <w:webHidden/>
              </w:rPr>
              <w:fldChar w:fldCharType="separate"/>
            </w:r>
            <w:r w:rsidR="00B804E5">
              <w:rPr>
                <w:noProof/>
                <w:webHidden/>
              </w:rPr>
              <w:t>4</w:t>
            </w:r>
            <w:r>
              <w:rPr>
                <w:noProof/>
                <w:webHidden/>
              </w:rPr>
              <w:fldChar w:fldCharType="end"/>
            </w:r>
          </w:hyperlink>
        </w:p>
        <w:p w14:paraId="7AB4335C" w14:textId="6A01841D" w:rsidR="002E7C0C" w:rsidRDefault="002E7C0C">
          <w:pPr>
            <w:pStyle w:val="TOC2"/>
            <w:tabs>
              <w:tab w:val="left" w:pos="720"/>
              <w:tab w:val="right" w:leader="dot" w:pos="9016"/>
            </w:tabs>
            <w:rPr>
              <w:noProof/>
            </w:rPr>
          </w:pPr>
          <w:hyperlink w:anchor="_Toc208768280" w:history="1">
            <w:r w:rsidRPr="00143AE0">
              <w:rPr>
                <w:rStyle w:val="Hyperlink"/>
                <w:b/>
                <w:bCs/>
                <w:noProof/>
              </w:rPr>
              <w:t>5.</w:t>
            </w:r>
            <w:r>
              <w:rPr>
                <w:noProof/>
              </w:rPr>
              <w:tab/>
            </w:r>
            <w:r w:rsidRPr="00143AE0">
              <w:rPr>
                <w:rStyle w:val="Hyperlink"/>
                <w:b/>
                <w:bCs/>
                <w:noProof/>
              </w:rPr>
              <w:t>MANAGEMENT ARRANGEMENTS FOR IMPLEMENTING THE SPA MP</w:t>
            </w:r>
            <w:r>
              <w:rPr>
                <w:noProof/>
                <w:webHidden/>
              </w:rPr>
              <w:tab/>
            </w:r>
            <w:r>
              <w:rPr>
                <w:noProof/>
                <w:webHidden/>
              </w:rPr>
              <w:fldChar w:fldCharType="begin"/>
            </w:r>
            <w:r>
              <w:rPr>
                <w:noProof/>
                <w:webHidden/>
              </w:rPr>
              <w:instrText xml:space="preserve"> PAGEREF _Toc208768280 \h </w:instrText>
            </w:r>
            <w:r>
              <w:rPr>
                <w:noProof/>
                <w:webHidden/>
              </w:rPr>
            </w:r>
            <w:r>
              <w:rPr>
                <w:noProof/>
                <w:webHidden/>
              </w:rPr>
              <w:fldChar w:fldCharType="separate"/>
            </w:r>
            <w:r w:rsidR="00B804E5">
              <w:rPr>
                <w:noProof/>
                <w:webHidden/>
              </w:rPr>
              <w:t>5</w:t>
            </w:r>
            <w:r>
              <w:rPr>
                <w:noProof/>
                <w:webHidden/>
              </w:rPr>
              <w:fldChar w:fldCharType="end"/>
            </w:r>
          </w:hyperlink>
        </w:p>
        <w:p w14:paraId="6E2337AC" w14:textId="55762B02" w:rsidR="002E7C0C" w:rsidRDefault="002E7C0C">
          <w:pPr>
            <w:pStyle w:val="TOC2"/>
            <w:tabs>
              <w:tab w:val="left" w:pos="720"/>
              <w:tab w:val="right" w:leader="dot" w:pos="9016"/>
            </w:tabs>
            <w:rPr>
              <w:noProof/>
            </w:rPr>
          </w:pPr>
          <w:hyperlink w:anchor="_Toc208768281" w:history="1">
            <w:r w:rsidRPr="00143AE0">
              <w:rPr>
                <w:rStyle w:val="Hyperlink"/>
                <w:b/>
                <w:bCs/>
                <w:noProof/>
              </w:rPr>
              <w:t>6.</w:t>
            </w:r>
            <w:r>
              <w:rPr>
                <w:noProof/>
              </w:rPr>
              <w:tab/>
            </w:r>
            <w:r w:rsidRPr="00143AE0">
              <w:rPr>
                <w:rStyle w:val="Hyperlink"/>
                <w:b/>
                <w:bCs/>
                <w:noProof/>
              </w:rPr>
              <w:t>CONSIDERATION OF MIXED FISHERY ISSUES AND COMPATIBILITY BETWEEN BET AND SPA MANAGEMENT PROCEDURES</w:t>
            </w:r>
            <w:r>
              <w:rPr>
                <w:noProof/>
                <w:webHidden/>
              </w:rPr>
              <w:tab/>
            </w:r>
            <w:r>
              <w:rPr>
                <w:noProof/>
                <w:webHidden/>
              </w:rPr>
              <w:fldChar w:fldCharType="begin"/>
            </w:r>
            <w:r>
              <w:rPr>
                <w:noProof/>
                <w:webHidden/>
              </w:rPr>
              <w:instrText xml:space="preserve"> PAGEREF _Toc208768281 \h </w:instrText>
            </w:r>
            <w:r>
              <w:rPr>
                <w:noProof/>
                <w:webHidden/>
              </w:rPr>
            </w:r>
            <w:r>
              <w:rPr>
                <w:noProof/>
                <w:webHidden/>
              </w:rPr>
              <w:fldChar w:fldCharType="separate"/>
            </w:r>
            <w:r w:rsidR="00B804E5">
              <w:rPr>
                <w:noProof/>
                <w:webHidden/>
              </w:rPr>
              <w:t>6</w:t>
            </w:r>
            <w:r>
              <w:rPr>
                <w:noProof/>
                <w:webHidden/>
              </w:rPr>
              <w:fldChar w:fldCharType="end"/>
            </w:r>
          </w:hyperlink>
        </w:p>
        <w:p w14:paraId="581BA703" w14:textId="51980061" w:rsidR="002E7C0C" w:rsidRDefault="002E7C0C">
          <w:pPr>
            <w:pStyle w:val="TOC2"/>
            <w:tabs>
              <w:tab w:val="left" w:pos="720"/>
              <w:tab w:val="right" w:leader="dot" w:pos="9016"/>
            </w:tabs>
            <w:rPr>
              <w:noProof/>
            </w:rPr>
          </w:pPr>
          <w:hyperlink w:anchor="_Toc208768282" w:history="1">
            <w:r w:rsidRPr="00143AE0">
              <w:rPr>
                <w:rStyle w:val="Hyperlink"/>
                <w:b/>
                <w:bCs/>
                <w:noProof/>
              </w:rPr>
              <w:t>7.</w:t>
            </w:r>
            <w:r>
              <w:rPr>
                <w:noProof/>
              </w:rPr>
              <w:tab/>
            </w:r>
            <w:r w:rsidRPr="00143AE0">
              <w:rPr>
                <w:rStyle w:val="Hyperlink"/>
                <w:b/>
                <w:bCs/>
                <w:noProof/>
              </w:rPr>
              <w:t>REVIEW OF OUTSTANDING ISSUES AND WORKPLAN</w:t>
            </w:r>
            <w:r>
              <w:rPr>
                <w:noProof/>
                <w:webHidden/>
              </w:rPr>
              <w:tab/>
            </w:r>
            <w:r>
              <w:rPr>
                <w:noProof/>
                <w:webHidden/>
              </w:rPr>
              <w:fldChar w:fldCharType="begin"/>
            </w:r>
            <w:r>
              <w:rPr>
                <w:noProof/>
                <w:webHidden/>
              </w:rPr>
              <w:instrText xml:space="preserve"> PAGEREF _Toc208768282 \h </w:instrText>
            </w:r>
            <w:r>
              <w:rPr>
                <w:noProof/>
                <w:webHidden/>
              </w:rPr>
            </w:r>
            <w:r>
              <w:rPr>
                <w:noProof/>
                <w:webHidden/>
              </w:rPr>
              <w:fldChar w:fldCharType="separate"/>
            </w:r>
            <w:r w:rsidR="00B804E5">
              <w:rPr>
                <w:noProof/>
                <w:webHidden/>
              </w:rPr>
              <w:t>6</w:t>
            </w:r>
            <w:r>
              <w:rPr>
                <w:noProof/>
                <w:webHidden/>
              </w:rPr>
              <w:fldChar w:fldCharType="end"/>
            </w:r>
          </w:hyperlink>
        </w:p>
        <w:p w14:paraId="37E2FCBA" w14:textId="4C9F8CDA" w:rsidR="002E7C0C" w:rsidRDefault="002E7C0C">
          <w:pPr>
            <w:pStyle w:val="TOC2"/>
            <w:tabs>
              <w:tab w:val="left" w:pos="720"/>
              <w:tab w:val="right" w:leader="dot" w:pos="9016"/>
            </w:tabs>
            <w:rPr>
              <w:noProof/>
            </w:rPr>
          </w:pPr>
          <w:hyperlink w:anchor="_Toc208768283" w:history="1">
            <w:r w:rsidRPr="00143AE0">
              <w:rPr>
                <w:rStyle w:val="Hyperlink"/>
                <w:b/>
                <w:bCs/>
                <w:noProof/>
              </w:rPr>
              <w:t>8.</w:t>
            </w:r>
            <w:r>
              <w:rPr>
                <w:noProof/>
              </w:rPr>
              <w:tab/>
            </w:r>
            <w:r w:rsidRPr="00143AE0">
              <w:rPr>
                <w:rStyle w:val="Hyperlink"/>
                <w:b/>
                <w:bCs/>
                <w:noProof/>
              </w:rPr>
              <w:t>WORKSHOP WRAP-UP</w:t>
            </w:r>
            <w:r>
              <w:rPr>
                <w:noProof/>
                <w:webHidden/>
              </w:rPr>
              <w:tab/>
            </w:r>
            <w:r>
              <w:rPr>
                <w:noProof/>
                <w:webHidden/>
              </w:rPr>
              <w:fldChar w:fldCharType="begin"/>
            </w:r>
            <w:r>
              <w:rPr>
                <w:noProof/>
                <w:webHidden/>
              </w:rPr>
              <w:instrText xml:space="preserve"> PAGEREF _Toc208768283 \h </w:instrText>
            </w:r>
            <w:r>
              <w:rPr>
                <w:noProof/>
                <w:webHidden/>
              </w:rPr>
            </w:r>
            <w:r>
              <w:rPr>
                <w:noProof/>
                <w:webHidden/>
              </w:rPr>
              <w:fldChar w:fldCharType="separate"/>
            </w:r>
            <w:r w:rsidR="00B804E5">
              <w:rPr>
                <w:noProof/>
                <w:webHidden/>
              </w:rPr>
              <w:t>7</w:t>
            </w:r>
            <w:r>
              <w:rPr>
                <w:noProof/>
                <w:webHidden/>
              </w:rPr>
              <w:fldChar w:fldCharType="end"/>
            </w:r>
          </w:hyperlink>
        </w:p>
        <w:p w14:paraId="1A062EDC" w14:textId="245DE34A" w:rsidR="002E7C0C" w:rsidRDefault="002E7C0C">
          <w:pPr>
            <w:pStyle w:val="TOC2"/>
            <w:tabs>
              <w:tab w:val="left" w:pos="720"/>
              <w:tab w:val="right" w:leader="dot" w:pos="9016"/>
            </w:tabs>
            <w:rPr>
              <w:noProof/>
            </w:rPr>
          </w:pPr>
          <w:hyperlink w:anchor="_Toc208768284" w:history="1">
            <w:r w:rsidRPr="00143AE0">
              <w:rPr>
                <w:rStyle w:val="Hyperlink"/>
                <w:b/>
                <w:bCs/>
                <w:noProof/>
              </w:rPr>
              <w:t>9.</w:t>
            </w:r>
            <w:r>
              <w:rPr>
                <w:noProof/>
              </w:rPr>
              <w:tab/>
            </w:r>
            <w:r w:rsidRPr="00143AE0">
              <w:rPr>
                <w:rStyle w:val="Hyperlink"/>
                <w:b/>
                <w:bCs/>
                <w:noProof/>
              </w:rPr>
              <w:t>OTHER MATTERS</w:t>
            </w:r>
            <w:r>
              <w:rPr>
                <w:noProof/>
                <w:webHidden/>
              </w:rPr>
              <w:tab/>
            </w:r>
            <w:r>
              <w:rPr>
                <w:noProof/>
                <w:webHidden/>
              </w:rPr>
              <w:fldChar w:fldCharType="begin"/>
            </w:r>
            <w:r>
              <w:rPr>
                <w:noProof/>
                <w:webHidden/>
              </w:rPr>
              <w:instrText xml:space="preserve"> PAGEREF _Toc208768284 \h </w:instrText>
            </w:r>
            <w:r>
              <w:rPr>
                <w:noProof/>
                <w:webHidden/>
              </w:rPr>
            </w:r>
            <w:r>
              <w:rPr>
                <w:noProof/>
                <w:webHidden/>
              </w:rPr>
              <w:fldChar w:fldCharType="separate"/>
            </w:r>
            <w:r w:rsidR="00B804E5">
              <w:rPr>
                <w:noProof/>
                <w:webHidden/>
              </w:rPr>
              <w:t>7</w:t>
            </w:r>
            <w:r>
              <w:rPr>
                <w:noProof/>
                <w:webHidden/>
              </w:rPr>
              <w:fldChar w:fldCharType="end"/>
            </w:r>
          </w:hyperlink>
        </w:p>
        <w:p w14:paraId="7A4065BD" w14:textId="36BB7014" w:rsidR="002E7C0C" w:rsidRDefault="002E7C0C">
          <w:pPr>
            <w:pStyle w:val="TOC2"/>
            <w:tabs>
              <w:tab w:val="left" w:pos="960"/>
              <w:tab w:val="right" w:leader="dot" w:pos="9016"/>
            </w:tabs>
            <w:rPr>
              <w:noProof/>
            </w:rPr>
          </w:pPr>
          <w:hyperlink w:anchor="_Toc208768285" w:history="1">
            <w:r w:rsidRPr="00143AE0">
              <w:rPr>
                <w:rStyle w:val="Hyperlink"/>
                <w:b/>
                <w:bCs/>
                <w:noProof/>
              </w:rPr>
              <w:t>10.</w:t>
            </w:r>
            <w:r>
              <w:rPr>
                <w:noProof/>
              </w:rPr>
              <w:tab/>
            </w:r>
            <w:r w:rsidRPr="00143AE0">
              <w:rPr>
                <w:rStyle w:val="Hyperlink"/>
                <w:b/>
                <w:bCs/>
                <w:noProof/>
              </w:rPr>
              <w:t>SUMMARY OF KEY AGREEMENTS AND NEXT STEPS</w:t>
            </w:r>
            <w:r>
              <w:rPr>
                <w:noProof/>
                <w:webHidden/>
              </w:rPr>
              <w:tab/>
            </w:r>
            <w:r>
              <w:rPr>
                <w:noProof/>
                <w:webHidden/>
              </w:rPr>
              <w:fldChar w:fldCharType="begin"/>
            </w:r>
            <w:r>
              <w:rPr>
                <w:noProof/>
                <w:webHidden/>
              </w:rPr>
              <w:instrText xml:space="preserve"> PAGEREF _Toc208768285 \h </w:instrText>
            </w:r>
            <w:r>
              <w:rPr>
                <w:noProof/>
                <w:webHidden/>
              </w:rPr>
            </w:r>
            <w:r>
              <w:rPr>
                <w:noProof/>
                <w:webHidden/>
              </w:rPr>
              <w:fldChar w:fldCharType="separate"/>
            </w:r>
            <w:r w:rsidR="00B804E5">
              <w:rPr>
                <w:noProof/>
                <w:webHidden/>
              </w:rPr>
              <w:t>7</w:t>
            </w:r>
            <w:r>
              <w:rPr>
                <w:noProof/>
                <w:webHidden/>
              </w:rPr>
              <w:fldChar w:fldCharType="end"/>
            </w:r>
          </w:hyperlink>
        </w:p>
        <w:p w14:paraId="138C103B" w14:textId="3106CEF8" w:rsidR="002E7C0C" w:rsidRDefault="002E7C0C">
          <w:pPr>
            <w:pStyle w:val="TOC2"/>
            <w:tabs>
              <w:tab w:val="left" w:pos="960"/>
              <w:tab w:val="right" w:leader="dot" w:pos="9016"/>
            </w:tabs>
            <w:rPr>
              <w:noProof/>
            </w:rPr>
          </w:pPr>
          <w:hyperlink w:anchor="_Toc208768286" w:history="1">
            <w:r w:rsidRPr="00143AE0">
              <w:rPr>
                <w:rStyle w:val="Hyperlink"/>
                <w:b/>
                <w:bCs/>
                <w:noProof/>
              </w:rPr>
              <w:t>11.</w:t>
            </w:r>
            <w:r>
              <w:rPr>
                <w:noProof/>
              </w:rPr>
              <w:tab/>
            </w:r>
            <w:r w:rsidRPr="00143AE0">
              <w:rPr>
                <w:rStyle w:val="Hyperlink"/>
                <w:b/>
                <w:bCs/>
                <w:noProof/>
              </w:rPr>
              <w:t>CLOSING OF THE WORKSHOP</w:t>
            </w:r>
            <w:r>
              <w:rPr>
                <w:noProof/>
                <w:webHidden/>
              </w:rPr>
              <w:tab/>
            </w:r>
            <w:r>
              <w:rPr>
                <w:noProof/>
                <w:webHidden/>
              </w:rPr>
              <w:fldChar w:fldCharType="begin"/>
            </w:r>
            <w:r>
              <w:rPr>
                <w:noProof/>
                <w:webHidden/>
              </w:rPr>
              <w:instrText xml:space="preserve"> PAGEREF _Toc208768286 \h </w:instrText>
            </w:r>
            <w:r>
              <w:rPr>
                <w:noProof/>
                <w:webHidden/>
              </w:rPr>
            </w:r>
            <w:r>
              <w:rPr>
                <w:noProof/>
                <w:webHidden/>
              </w:rPr>
              <w:fldChar w:fldCharType="separate"/>
            </w:r>
            <w:r w:rsidR="00B804E5">
              <w:rPr>
                <w:noProof/>
                <w:webHidden/>
              </w:rPr>
              <w:t>7</w:t>
            </w:r>
            <w:r>
              <w:rPr>
                <w:noProof/>
                <w:webHidden/>
              </w:rPr>
              <w:fldChar w:fldCharType="end"/>
            </w:r>
          </w:hyperlink>
        </w:p>
        <w:p w14:paraId="7F57519D" w14:textId="1EE53B61" w:rsidR="002E7C0C" w:rsidRDefault="002E7C0C">
          <w:pPr>
            <w:pStyle w:val="TOC2"/>
            <w:tabs>
              <w:tab w:val="right" w:leader="dot" w:pos="9016"/>
            </w:tabs>
            <w:rPr>
              <w:noProof/>
            </w:rPr>
          </w:pPr>
          <w:hyperlink w:anchor="_Toc208768287" w:history="1">
            <w:r w:rsidRPr="00143AE0">
              <w:rPr>
                <w:rStyle w:val="Hyperlink"/>
                <w:b/>
                <w:bCs/>
                <w:noProof/>
              </w:rPr>
              <w:t>Annex A</w:t>
            </w:r>
            <w:r>
              <w:rPr>
                <w:noProof/>
                <w:webHidden/>
              </w:rPr>
              <w:tab/>
            </w:r>
            <w:r>
              <w:rPr>
                <w:noProof/>
                <w:webHidden/>
              </w:rPr>
              <w:fldChar w:fldCharType="begin"/>
            </w:r>
            <w:r>
              <w:rPr>
                <w:noProof/>
                <w:webHidden/>
              </w:rPr>
              <w:instrText xml:space="preserve"> PAGEREF _Toc208768287 \h </w:instrText>
            </w:r>
            <w:r>
              <w:rPr>
                <w:noProof/>
                <w:webHidden/>
              </w:rPr>
            </w:r>
            <w:r>
              <w:rPr>
                <w:noProof/>
                <w:webHidden/>
              </w:rPr>
              <w:fldChar w:fldCharType="separate"/>
            </w:r>
            <w:r w:rsidR="00B804E5">
              <w:rPr>
                <w:noProof/>
                <w:webHidden/>
              </w:rPr>
              <w:t>8</w:t>
            </w:r>
            <w:r>
              <w:rPr>
                <w:noProof/>
                <w:webHidden/>
              </w:rPr>
              <w:fldChar w:fldCharType="end"/>
            </w:r>
          </w:hyperlink>
        </w:p>
        <w:p w14:paraId="00AD6B79" w14:textId="4BC2B1A7" w:rsidR="002E7C0C" w:rsidRDefault="002E7C0C">
          <w:r>
            <w:rPr>
              <w:b/>
              <w:bCs/>
              <w:noProof/>
            </w:rPr>
            <w:fldChar w:fldCharType="end"/>
          </w:r>
        </w:p>
      </w:sdtContent>
    </w:sdt>
    <w:p w14:paraId="2EEC4B06" w14:textId="218055DC" w:rsidR="00963F46" w:rsidRDefault="00963F46" w:rsidP="002E7C0C">
      <w:pPr>
        <w:pStyle w:val="Heading2"/>
        <w:rPr>
          <w:b/>
          <w:bCs/>
        </w:rPr>
      </w:pPr>
      <w:r>
        <w:rPr>
          <w:b/>
          <w:bCs/>
        </w:rPr>
        <w:br w:type="page"/>
      </w:r>
    </w:p>
    <w:p w14:paraId="5838AE6A" w14:textId="77777777" w:rsidR="002E7C0C" w:rsidRPr="00A473D6" w:rsidRDefault="002E7C0C" w:rsidP="002E7C0C">
      <w:pPr>
        <w:widowControl w:val="0"/>
        <w:adjustRightInd w:val="0"/>
        <w:snapToGrid w:val="0"/>
        <w:spacing w:after="0"/>
        <w:jc w:val="center"/>
        <w:rPr>
          <w:b/>
          <w:sz w:val="24"/>
        </w:rPr>
      </w:pPr>
      <w:r w:rsidRPr="00A473D6">
        <w:rPr>
          <w:b/>
          <w:sz w:val="24"/>
        </w:rPr>
        <w:lastRenderedPageBreak/>
        <w:t>The Commission for the Conservation and Management of</w:t>
      </w:r>
    </w:p>
    <w:p w14:paraId="1187EFBA" w14:textId="77777777" w:rsidR="002E7C0C" w:rsidRPr="00A473D6" w:rsidRDefault="002E7C0C" w:rsidP="002E7C0C">
      <w:pPr>
        <w:widowControl w:val="0"/>
        <w:adjustRightInd w:val="0"/>
        <w:snapToGrid w:val="0"/>
        <w:spacing w:after="0"/>
        <w:jc w:val="center"/>
        <w:rPr>
          <w:b/>
          <w:sz w:val="24"/>
        </w:rPr>
      </w:pPr>
      <w:r w:rsidRPr="00A473D6">
        <w:rPr>
          <w:b/>
          <w:sz w:val="24"/>
        </w:rPr>
        <w:t>Highly Migratory Fish Stocks in the Western and Central Pacific Ocean</w:t>
      </w:r>
    </w:p>
    <w:p w14:paraId="27047688" w14:textId="77777777" w:rsidR="002E7C0C" w:rsidRDefault="002E7C0C" w:rsidP="002E7C0C">
      <w:pPr>
        <w:widowControl w:val="0"/>
        <w:adjustRightInd w:val="0"/>
        <w:snapToGrid w:val="0"/>
        <w:spacing w:after="0"/>
        <w:jc w:val="center"/>
        <w:rPr>
          <w:b/>
          <w:bCs/>
          <w:sz w:val="24"/>
          <w:szCs w:val="28"/>
        </w:rPr>
      </w:pPr>
    </w:p>
    <w:p w14:paraId="71440F94" w14:textId="1E209E8B" w:rsidR="002E7C0C" w:rsidRDefault="002E7C0C" w:rsidP="002E7C0C">
      <w:pPr>
        <w:widowControl w:val="0"/>
        <w:adjustRightInd w:val="0"/>
        <w:snapToGrid w:val="0"/>
        <w:spacing w:after="0"/>
        <w:jc w:val="center"/>
        <w:rPr>
          <w:b/>
          <w:bCs/>
          <w:sz w:val="24"/>
          <w:szCs w:val="28"/>
        </w:rPr>
      </w:pPr>
      <w:r>
        <w:rPr>
          <w:b/>
          <w:bCs/>
          <w:sz w:val="24"/>
          <w:szCs w:val="28"/>
        </w:rPr>
        <w:t>SOUTH PACIFIC ALBACORE MANAGEMENT WORKSHOP</w:t>
      </w:r>
      <w:r w:rsidRPr="00144FF0">
        <w:rPr>
          <w:b/>
          <w:bCs/>
          <w:sz w:val="24"/>
          <w:szCs w:val="28"/>
        </w:rPr>
        <w:t xml:space="preserve"> </w:t>
      </w:r>
      <w:r>
        <w:rPr>
          <w:b/>
          <w:bCs/>
          <w:sz w:val="24"/>
          <w:szCs w:val="28"/>
        </w:rPr>
        <w:t>(SPAMWS)</w:t>
      </w:r>
    </w:p>
    <w:p w14:paraId="5B16883E" w14:textId="0BC388B8" w:rsidR="002E7C0C" w:rsidRPr="00144FF0" w:rsidRDefault="002E7C0C" w:rsidP="002E7C0C">
      <w:pPr>
        <w:widowControl w:val="0"/>
        <w:adjustRightInd w:val="0"/>
        <w:snapToGrid w:val="0"/>
        <w:spacing w:after="0"/>
        <w:jc w:val="center"/>
        <w:rPr>
          <w:b/>
          <w:bCs/>
          <w:sz w:val="24"/>
          <w:szCs w:val="28"/>
        </w:rPr>
      </w:pPr>
      <w:r>
        <w:rPr>
          <w:b/>
          <w:bCs/>
          <w:sz w:val="24"/>
          <w:szCs w:val="28"/>
        </w:rPr>
        <w:t>FIRST SESSION</w:t>
      </w:r>
    </w:p>
    <w:p w14:paraId="0A758686" w14:textId="77777777" w:rsidR="002E7C0C" w:rsidRDefault="002E7C0C" w:rsidP="002E7C0C">
      <w:pPr>
        <w:widowControl w:val="0"/>
        <w:kinsoku w:val="0"/>
        <w:overflowPunct w:val="0"/>
        <w:autoSpaceDE w:val="0"/>
        <w:autoSpaceDN w:val="0"/>
        <w:adjustRightInd w:val="0"/>
        <w:snapToGrid w:val="0"/>
        <w:spacing w:after="0"/>
        <w:jc w:val="center"/>
        <w:rPr>
          <w:bCs/>
          <w:sz w:val="24"/>
          <w:lang w:eastAsia="ko-KR"/>
        </w:rPr>
      </w:pPr>
    </w:p>
    <w:p w14:paraId="59B6678B" w14:textId="77777777" w:rsidR="002E7C0C" w:rsidRPr="00524BEB" w:rsidRDefault="002E7C0C" w:rsidP="002E7C0C">
      <w:pPr>
        <w:widowControl w:val="0"/>
        <w:kinsoku w:val="0"/>
        <w:overflowPunct w:val="0"/>
        <w:autoSpaceDE w:val="0"/>
        <w:autoSpaceDN w:val="0"/>
        <w:adjustRightInd w:val="0"/>
        <w:snapToGrid w:val="0"/>
        <w:spacing w:after="0"/>
        <w:jc w:val="center"/>
        <w:rPr>
          <w:bCs/>
          <w:sz w:val="24"/>
          <w:lang w:eastAsia="ko-KR"/>
        </w:rPr>
      </w:pPr>
      <w:r w:rsidRPr="00524BEB">
        <w:rPr>
          <w:bCs/>
          <w:sz w:val="24"/>
          <w:lang w:eastAsia="ko-KR"/>
        </w:rPr>
        <w:t>Electronic Meeting</w:t>
      </w:r>
    </w:p>
    <w:p w14:paraId="45AF276C" w14:textId="77777777" w:rsidR="002E7C0C" w:rsidRPr="00524BEB" w:rsidRDefault="002E7C0C" w:rsidP="002E7C0C">
      <w:pPr>
        <w:widowControl w:val="0"/>
        <w:kinsoku w:val="0"/>
        <w:overflowPunct w:val="0"/>
        <w:autoSpaceDE w:val="0"/>
        <w:autoSpaceDN w:val="0"/>
        <w:adjustRightInd w:val="0"/>
        <w:snapToGrid w:val="0"/>
        <w:spacing w:after="0"/>
        <w:jc w:val="center"/>
        <w:rPr>
          <w:bCs/>
          <w:sz w:val="24"/>
          <w:lang w:eastAsia="ko-KR"/>
        </w:rPr>
      </w:pPr>
      <w:r w:rsidRPr="00524BEB">
        <w:rPr>
          <w:rFonts w:hint="eastAsia"/>
          <w:bCs/>
          <w:sz w:val="24"/>
          <w:lang w:eastAsia="ko-KR"/>
        </w:rPr>
        <w:t xml:space="preserve">10:00 </w:t>
      </w:r>
      <w:r w:rsidRPr="00524BEB">
        <w:rPr>
          <w:bCs/>
          <w:sz w:val="24"/>
          <w:lang w:eastAsia="ko-KR"/>
        </w:rPr>
        <w:t>–</w:t>
      </w:r>
      <w:r w:rsidRPr="00524BEB">
        <w:rPr>
          <w:rFonts w:hint="eastAsia"/>
          <w:bCs/>
          <w:sz w:val="24"/>
          <w:lang w:eastAsia="ko-KR"/>
        </w:rPr>
        <w:t xml:space="preserve"> 1</w:t>
      </w:r>
      <w:r w:rsidRPr="00524BEB">
        <w:rPr>
          <w:bCs/>
          <w:sz w:val="24"/>
          <w:lang w:eastAsia="ko-KR"/>
        </w:rPr>
        <w:t>4</w:t>
      </w:r>
      <w:r w:rsidRPr="00524BEB">
        <w:rPr>
          <w:rFonts w:hint="eastAsia"/>
          <w:bCs/>
          <w:sz w:val="24"/>
          <w:lang w:eastAsia="ko-KR"/>
        </w:rPr>
        <w:t xml:space="preserve">:00, Pohnpei Time, </w:t>
      </w:r>
      <w:r w:rsidRPr="00524BEB">
        <w:rPr>
          <w:bCs/>
          <w:sz w:val="24"/>
          <w:lang w:eastAsia="ko-KR"/>
        </w:rPr>
        <w:t>11-12 September 2025</w:t>
      </w:r>
    </w:p>
    <w:tbl>
      <w:tblPr>
        <w:tblStyle w:val="TableGrid"/>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016"/>
      </w:tblGrid>
      <w:tr w:rsidR="002E7C0C" w14:paraId="6B34D795" w14:textId="77777777" w:rsidTr="002E7C0C">
        <w:tc>
          <w:tcPr>
            <w:tcW w:w="9016" w:type="dxa"/>
          </w:tcPr>
          <w:p w14:paraId="6AAC3331" w14:textId="10E503BD" w:rsidR="002E7C0C" w:rsidRDefault="002E7C0C" w:rsidP="002E7C0C">
            <w:pPr>
              <w:widowControl w:val="0"/>
              <w:kinsoku w:val="0"/>
              <w:overflowPunct w:val="0"/>
              <w:autoSpaceDE w:val="0"/>
              <w:autoSpaceDN w:val="0"/>
              <w:adjustRightInd w:val="0"/>
              <w:snapToGrid w:val="0"/>
              <w:jc w:val="center"/>
              <w:rPr>
                <w:b/>
                <w:sz w:val="24"/>
                <w:lang w:eastAsia="ko-KR"/>
              </w:rPr>
            </w:pPr>
            <w:r>
              <w:rPr>
                <w:b/>
                <w:sz w:val="24"/>
                <w:lang w:eastAsia="ko-KR"/>
              </w:rPr>
              <w:t>CHAIRS’ SUMMARY REPORT</w:t>
            </w:r>
          </w:p>
        </w:tc>
      </w:tr>
    </w:tbl>
    <w:p w14:paraId="2D9030D9" w14:textId="77777777" w:rsidR="00FD15A0" w:rsidRDefault="00FD15A0" w:rsidP="00FB3B7E">
      <w:pPr>
        <w:pStyle w:val="ListParagraph"/>
        <w:ind w:left="567"/>
        <w:jc w:val="both"/>
      </w:pPr>
    </w:p>
    <w:p w14:paraId="72A59226" w14:textId="3F60681F" w:rsidR="00FD15A0" w:rsidRPr="00E36207" w:rsidRDefault="00FD15A0" w:rsidP="00DA58A6">
      <w:pPr>
        <w:pStyle w:val="Heading2"/>
        <w:numPr>
          <w:ilvl w:val="0"/>
          <w:numId w:val="13"/>
        </w:numPr>
        <w:spacing w:before="360" w:after="240"/>
        <w:ind w:hanging="720"/>
        <w:rPr>
          <w:rFonts w:asciiTheme="minorHAnsi" w:hAnsiTheme="minorHAnsi" w:cstheme="minorHAnsi"/>
          <w:b/>
          <w:bCs/>
          <w:color w:val="auto"/>
          <w:sz w:val="24"/>
          <w:szCs w:val="24"/>
        </w:rPr>
      </w:pPr>
      <w:bookmarkStart w:id="0" w:name="_Toc208768276"/>
      <w:r w:rsidRPr="00E36207">
        <w:rPr>
          <w:rFonts w:asciiTheme="minorHAnsi" w:hAnsiTheme="minorHAnsi" w:cstheme="minorHAnsi"/>
          <w:b/>
          <w:bCs/>
          <w:color w:val="auto"/>
          <w:sz w:val="24"/>
          <w:szCs w:val="24"/>
        </w:rPr>
        <w:t>OPENING OF THE MEETING</w:t>
      </w:r>
      <w:bookmarkEnd w:id="0"/>
    </w:p>
    <w:p w14:paraId="4DBA1B60" w14:textId="30D0B1E7" w:rsidR="00FD15A0" w:rsidRPr="00E36207" w:rsidRDefault="00FD15A0" w:rsidP="00506228">
      <w:pPr>
        <w:pStyle w:val="CommentText"/>
        <w:numPr>
          <w:ilvl w:val="0"/>
          <w:numId w:val="14"/>
        </w:numPr>
        <w:ind w:left="0" w:firstLine="0"/>
        <w:jc w:val="both"/>
        <w:rPr>
          <w:rFonts w:cstheme="minorHAnsi"/>
          <w:sz w:val="22"/>
          <w:szCs w:val="22"/>
        </w:rPr>
      </w:pPr>
      <w:r w:rsidRPr="00E36207">
        <w:rPr>
          <w:rFonts w:cstheme="minorHAnsi"/>
          <w:sz w:val="22"/>
          <w:szCs w:val="22"/>
        </w:rPr>
        <w:t>SC Chair Ms Emily Crigler and SPARM-IWG Chair Mr Moses Mataika welcome</w:t>
      </w:r>
      <w:r w:rsidR="0027286C" w:rsidRPr="00E36207">
        <w:rPr>
          <w:rFonts w:cstheme="minorHAnsi"/>
          <w:sz w:val="22"/>
          <w:szCs w:val="22"/>
        </w:rPr>
        <w:t>d</w:t>
      </w:r>
      <w:r w:rsidRPr="00E36207">
        <w:rPr>
          <w:rFonts w:cstheme="minorHAnsi"/>
          <w:sz w:val="22"/>
          <w:szCs w:val="22"/>
        </w:rPr>
        <w:t xml:space="preserve"> the participants and </w:t>
      </w:r>
      <w:r w:rsidR="0027286C" w:rsidRPr="00E36207">
        <w:rPr>
          <w:rFonts w:cstheme="minorHAnsi"/>
          <w:sz w:val="22"/>
          <w:szCs w:val="22"/>
        </w:rPr>
        <w:t xml:space="preserve">outlined the background to the holding of a </w:t>
      </w:r>
      <w:r w:rsidR="009346A7">
        <w:rPr>
          <w:rFonts w:cstheme="minorHAnsi"/>
          <w:sz w:val="22"/>
          <w:szCs w:val="22"/>
        </w:rPr>
        <w:t xml:space="preserve">SPA </w:t>
      </w:r>
      <w:r w:rsidR="0027286C" w:rsidRPr="00E36207">
        <w:rPr>
          <w:rFonts w:cstheme="minorHAnsi"/>
          <w:sz w:val="22"/>
          <w:szCs w:val="22"/>
        </w:rPr>
        <w:t>management workshop as agreed at WCPFC21 (Summary Report, paragraphs 713-715). The Co-Chairs reviewed the objectives and expectations for the SPAM</w:t>
      </w:r>
      <w:r w:rsidR="008A234A" w:rsidRPr="00E36207">
        <w:rPr>
          <w:rFonts w:cstheme="minorHAnsi"/>
          <w:sz w:val="22"/>
          <w:szCs w:val="22"/>
        </w:rPr>
        <w:t>WS</w:t>
      </w:r>
      <w:r w:rsidR="0027286C" w:rsidRPr="00E36207">
        <w:rPr>
          <w:rFonts w:cstheme="minorHAnsi"/>
          <w:sz w:val="22"/>
          <w:szCs w:val="22"/>
        </w:rPr>
        <w:t xml:space="preserve">, in particular the development of candidate management procedures for </w:t>
      </w:r>
      <w:r w:rsidR="00506228">
        <w:rPr>
          <w:rFonts w:cstheme="minorHAnsi"/>
          <w:sz w:val="22"/>
          <w:szCs w:val="22"/>
        </w:rPr>
        <w:t>South Pacific albacore (SPA)</w:t>
      </w:r>
      <w:r w:rsidR="0027286C" w:rsidRPr="00E36207">
        <w:rPr>
          <w:rFonts w:cstheme="minorHAnsi"/>
          <w:sz w:val="22"/>
          <w:szCs w:val="22"/>
        </w:rPr>
        <w:t>, management arrangements for implementing the</w:t>
      </w:r>
      <w:r w:rsidR="009346A7">
        <w:rPr>
          <w:rFonts w:cstheme="minorHAnsi"/>
          <w:sz w:val="22"/>
          <w:szCs w:val="22"/>
        </w:rPr>
        <w:t xml:space="preserve"> SPA</w:t>
      </w:r>
      <w:r w:rsidR="0027286C" w:rsidRPr="00E36207">
        <w:rPr>
          <w:rFonts w:cstheme="minorHAnsi"/>
          <w:sz w:val="22"/>
          <w:szCs w:val="22"/>
        </w:rPr>
        <w:t xml:space="preserve"> management procedure, and consideration of the mixed fishery, including compatibility between</w:t>
      </w:r>
      <w:r w:rsidR="008A234A" w:rsidRPr="00E36207">
        <w:rPr>
          <w:rFonts w:cstheme="minorHAnsi"/>
          <w:sz w:val="22"/>
          <w:szCs w:val="22"/>
        </w:rPr>
        <w:t xml:space="preserve"> management procedures </w:t>
      </w:r>
      <w:r w:rsidR="0027286C" w:rsidRPr="00E36207">
        <w:rPr>
          <w:rFonts w:cstheme="minorHAnsi"/>
          <w:sz w:val="22"/>
          <w:szCs w:val="22"/>
        </w:rPr>
        <w:t xml:space="preserve">for </w:t>
      </w:r>
      <w:r w:rsidR="009346A7">
        <w:rPr>
          <w:rFonts w:cstheme="minorHAnsi"/>
          <w:sz w:val="22"/>
          <w:szCs w:val="22"/>
        </w:rPr>
        <w:t>SPA</w:t>
      </w:r>
      <w:r w:rsidR="0027286C" w:rsidRPr="00E36207">
        <w:rPr>
          <w:rFonts w:cstheme="minorHAnsi"/>
          <w:sz w:val="22"/>
          <w:szCs w:val="22"/>
        </w:rPr>
        <w:t xml:space="preserve"> and </w:t>
      </w:r>
      <w:r w:rsidR="009346A7">
        <w:rPr>
          <w:rFonts w:cstheme="minorHAnsi"/>
          <w:sz w:val="22"/>
          <w:szCs w:val="22"/>
        </w:rPr>
        <w:t>bigeye tuna</w:t>
      </w:r>
      <w:r w:rsidR="0027286C" w:rsidRPr="00E36207">
        <w:rPr>
          <w:rFonts w:cstheme="minorHAnsi"/>
          <w:sz w:val="22"/>
          <w:szCs w:val="22"/>
        </w:rPr>
        <w:t>.</w:t>
      </w:r>
      <w:r w:rsidRPr="00E36207">
        <w:rPr>
          <w:rFonts w:cstheme="minorHAnsi"/>
          <w:sz w:val="22"/>
          <w:szCs w:val="22"/>
        </w:rPr>
        <w:t xml:space="preserve"> </w:t>
      </w:r>
    </w:p>
    <w:p w14:paraId="31A56B7F" w14:textId="77777777" w:rsidR="00FD15A0" w:rsidRPr="00E36207" w:rsidRDefault="00FD15A0" w:rsidP="00DA58A6">
      <w:pPr>
        <w:pStyle w:val="Heading2"/>
        <w:numPr>
          <w:ilvl w:val="0"/>
          <w:numId w:val="13"/>
        </w:numPr>
        <w:spacing w:before="360" w:after="240"/>
        <w:ind w:hanging="720"/>
        <w:rPr>
          <w:rFonts w:asciiTheme="minorHAnsi" w:hAnsiTheme="minorHAnsi" w:cstheme="minorHAnsi"/>
          <w:b/>
          <w:bCs/>
          <w:color w:val="auto"/>
          <w:sz w:val="24"/>
          <w:szCs w:val="24"/>
        </w:rPr>
      </w:pPr>
      <w:bookmarkStart w:id="1" w:name="_Toc208768277"/>
      <w:r w:rsidRPr="00E36207">
        <w:rPr>
          <w:rFonts w:asciiTheme="minorHAnsi" w:hAnsiTheme="minorHAnsi" w:cstheme="minorHAnsi"/>
          <w:b/>
          <w:bCs/>
          <w:color w:val="auto"/>
          <w:sz w:val="24"/>
          <w:szCs w:val="24"/>
        </w:rPr>
        <w:t>ADOPTION OF THE AGENDA</w:t>
      </w:r>
      <w:bookmarkEnd w:id="1"/>
      <w:r w:rsidRPr="00E36207">
        <w:rPr>
          <w:rFonts w:asciiTheme="minorHAnsi" w:hAnsiTheme="minorHAnsi" w:cstheme="minorHAnsi"/>
          <w:b/>
          <w:bCs/>
          <w:color w:val="auto"/>
          <w:sz w:val="24"/>
          <w:szCs w:val="24"/>
        </w:rPr>
        <w:t xml:space="preserve"> </w:t>
      </w:r>
    </w:p>
    <w:p w14:paraId="13FFDAC1" w14:textId="1153FE09" w:rsidR="00FD15A0" w:rsidRPr="00E36207" w:rsidRDefault="00FD15A0" w:rsidP="00E36207">
      <w:pPr>
        <w:pStyle w:val="CommentText"/>
        <w:numPr>
          <w:ilvl w:val="0"/>
          <w:numId w:val="15"/>
        </w:numPr>
        <w:ind w:left="0" w:firstLine="0"/>
        <w:rPr>
          <w:rFonts w:cstheme="minorHAnsi"/>
          <w:sz w:val="22"/>
          <w:szCs w:val="22"/>
        </w:rPr>
      </w:pPr>
      <w:r w:rsidRPr="00E36207">
        <w:rPr>
          <w:rFonts w:cstheme="minorHAnsi"/>
          <w:sz w:val="22"/>
          <w:szCs w:val="22"/>
        </w:rPr>
        <w:t xml:space="preserve">The Agenda </w:t>
      </w:r>
      <w:r w:rsidR="008A234A" w:rsidRPr="00E36207">
        <w:rPr>
          <w:rFonts w:cstheme="minorHAnsi"/>
          <w:sz w:val="22"/>
          <w:szCs w:val="22"/>
        </w:rPr>
        <w:t>was adopted.</w:t>
      </w:r>
      <w:r w:rsidRPr="00E36207">
        <w:rPr>
          <w:rFonts w:cstheme="minorHAnsi"/>
          <w:sz w:val="22"/>
          <w:szCs w:val="22"/>
        </w:rPr>
        <w:t xml:space="preserve"> </w:t>
      </w:r>
    </w:p>
    <w:p w14:paraId="6B0CDE76" w14:textId="77777777" w:rsidR="00FD15A0" w:rsidRPr="00E36207" w:rsidRDefault="00FD15A0" w:rsidP="00DA58A6">
      <w:pPr>
        <w:pStyle w:val="Heading2"/>
        <w:numPr>
          <w:ilvl w:val="0"/>
          <w:numId w:val="13"/>
        </w:numPr>
        <w:spacing w:before="360" w:after="240"/>
        <w:ind w:hanging="720"/>
        <w:rPr>
          <w:rFonts w:asciiTheme="minorHAnsi" w:hAnsiTheme="minorHAnsi" w:cstheme="minorHAnsi"/>
          <w:b/>
          <w:bCs/>
          <w:color w:val="auto"/>
          <w:sz w:val="24"/>
          <w:szCs w:val="24"/>
        </w:rPr>
      </w:pPr>
      <w:bookmarkStart w:id="2" w:name="_Toc208768278"/>
      <w:r w:rsidRPr="00E36207">
        <w:rPr>
          <w:rFonts w:asciiTheme="minorHAnsi" w:hAnsiTheme="minorHAnsi" w:cstheme="minorHAnsi"/>
          <w:b/>
          <w:bCs/>
          <w:color w:val="auto"/>
          <w:sz w:val="24"/>
          <w:szCs w:val="24"/>
        </w:rPr>
        <w:t>OVERVIEW OF THE WORKSHOP OBJECTIVES</w:t>
      </w:r>
      <w:bookmarkEnd w:id="2"/>
      <w:r w:rsidRPr="00E36207">
        <w:rPr>
          <w:rFonts w:asciiTheme="minorHAnsi" w:hAnsiTheme="minorHAnsi" w:cstheme="minorHAnsi"/>
          <w:b/>
          <w:bCs/>
          <w:color w:val="auto"/>
          <w:sz w:val="24"/>
          <w:szCs w:val="24"/>
        </w:rPr>
        <w:t xml:space="preserve"> </w:t>
      </w:r>
    </w:p>
    <w:p w14:paraId="1D2D551D" w14:textId="79DF9792" w:rsidR="00FD15A0" w:rsidRPr="00E36207" w:rsidRDefault="008A234A" w:rsidP="00506228">
      <w:pPr>
        <w:pStyle w:val="CommentText"/>
        <w:numPr>
          <w:ilvl w:val="0"/>
          <w:numId w:val="15"/>
        </w:numPr>
        <w:ind w:left="0" w:firstLine="0"/>
        <w:jc w:val="both"/>
        <w:rPr>
          <w:rFonts w:cstheme="minorHAnsi"/>
          <w:sz w:val="22"/>
          <w:szCs w:val="22"/>
        </w:rPr>
      </w:pPr>
      <w:r w:rsidRPr="00E36207">
        <w:rPr>
          <w:rFonts w:cstheme="minorHAnsi"/>
          <w:sz w:val="22"/>
          <w:szCs w:val="22"/>
        </w:rPr>
        <w:t>The Co-Chairs reviewed the aims of t</w:t>
      </w:r>
      <w:r w:rsidR="00FD15A0" w:rsidRPr="00E36207">
        <w:rPr>
          <w:rFonts w:cstheme="minorHAnsi"/>
          <w:sz w:val="22"/>
          <w:szCs w:val="22"/>
        </w:rPr>
        <w:t>he SPAMWS</w:t>
      </w:r>
      <w:r w:rsidR="00506228">
        <w:rPr>
          <w:rFonts w:cstheme="minorHAnsi"/>
          <w:sz w:val="22"/>
          <w:szCs w:val="22"/>
        </w:rPr>
        <w:t>,</w:t>
      </w:r>
      <w:r w:rsidR="00FD15A0" w:rsidRPr="00E36207">
        <w:rPr>
          <w:rFonts w:cstheme="minorHAnsi"/>
          <w:sz w:val="22"/>
          <w:szCs w:val="22"/>
        </w:rPr>
        <w:t xml:space="preserve"> </w:t>
      </w:r>
      <w:r w:rsidRPr="00E36207">
        <w:rPr>
          <w:rFonts w:cstheme="minorHAnsi"/>
          <w:sz w:val="22"/>
          <w:szCs w:val="22"/>
        </w:rPr>
        <w:t xml:space="preserve">which </w:t>
      </w:r>
      <w:r w:rsidR="00506228">
        <w:rPr>
          <w:rFonts w:cstheme="minorHAnsi"/>
          <w:sz w:val="22"/>
          <w:szCs w:val="22"/>
        </w:rPr>
        <w:t>are</w:t>
      </w:r>
      <w:r w:rsidR="00506228" w:rsidRPr="00E36207">
        <w:rPr>
          <w:rFonts w:cstheme="minorHAnsi"/>
          <w:sz w:val="22"/>
          <w:szCs w:val="22"/>
        </w:rPr>
        <w:t xml:space="preserve"> </w:t>
      </w:r>
      <w:r w:rsidR="00FD15A0" w:rsidRPr="00E36207">
        <w:rPr>
          <w:rFonts w:cstheme="minorHAnsi"/>
          <w:sz w:val="22"/>
          <w:szCs w:val="22"/>
        </w:rPr>
        <w:t xml:space="preserve">to support the timely implementation of the Indicative Workplan for adopting harvest strategies under CMM 2022-03 by facilitating technical and policy discussions in 2025. </w:t>
      </w:r>
      <w:bookmarkStart w:id="3" w:name="_Hlk208481564"/>
      <w:r w:rsidR="00FD15A0" w:rsidRPr="00E36207">
        <w:rPr>
          <w:rFonts w:cstheme="minorHAnsi"/>
          <w:sz w:val="22"/>
          <w:szCs w:val="22"/>
        </w:rPr>
        <w:t xml:space="preserve">The workshop aims to advance the development of a management procedure CMM and associated implementation of CMM for South Pacific albacore, with the goal of their adoption at WCPFC22 to replace CMM 2015-02. </w:t>
      </w:r>
      <w:bookmarkEnd w:id="3"/>
      <w:r w:rsidR="00FD15A0" w:rsidRPr="00E36207">
        <w:rPr>
          <w:rFonts w:cstheme="minorHAnsi"/>
          <w:sz w:val="22"/>
          <w:szCs w:val="22"/>
        </w:rPr>
        <w:t>Specifically, the workshop will focus on (i) candidate SPA management procedures, (ii) SPA management arrangement</w:t>
      </w:r>
      <w:r w:rsidR="009346A7">
        <w:rPr>
          <w:rFonts w:cstheme="minorHAnsi"/>
          <w:sz w:val="22"/>
          <w:szCs w:val="22"/>
        </w:rPr>
        <w:t>s</w:t>
      </w:r>
      <w:r w:rsidR="00FD15A0" w:rsidRPr="00E36207">
        <w:rPr>
          <w:rFonts w:cstheme="minorHAnsi"/>
          <w:sz w:val="22"/>
          <w:szCs w:val="22"/>
        </w:rPr>
        <w:t xml:space="preserve"> for implementing the management procedure, and (iii) considering mixed fishery issues. </w:t>
      </w:r>
    </w:p>
    <w:p w14:paraId="258E90B4" w14:textId="11C6BFC4" w:rsidR="00DF38B4" w:rsidRPr="00E36207" w:rsidRDefault="00DF38B4" w:rsidP="00506228">
      <w:pPr>
        <w:pStyle w:val="CommentText"/>
        <w:numPr>
          <w:ilvl w:val="0"/>
          <w:numId w:val="15"/>
        </w:numPr>
        <w:ind w:left="0" w:firstLine="0"/>
        <w:jc w:val="both"/>
        <w:rPr>
          <w:rFonts w:cstheme="minorHAnsi"/>
          <w:sz w:val="22"/>
          <w:szCs w:val="22"/>
        </w:rPr>
      </w:pPr>
      <w:r w:rsidRPr="00E36207">
        <w:rPr>
          <w:rFonts w:cstheme="minorHAnsi"/>
          <w:sz w:val="22"/>
          <w:szCs w:val="22"/>
        </w:rPr>
        <w:t xml:space="preserve">Australia (James Larcombe) reviewed the </w:t>
      </w:r>
      <w:r w:rsidR="0059728F" w:rsidRPr="00E36207">
        <w:rPr>
          <w:rFonts w:cstheme="minorHAnsi"/>
          <w:sz w:val="22"/>
          <w:szCs w:val="22"/>
        </w:rPr>
        <w:t>Harvest Strategy Workplan</w:t>
      </w:r>
      <w:r w:rsidRPr="00E36207">
        <w:rPr>
          <w:rFonts w:cstheme="minorHAnsi"/>
          <w:sz w:val="22"/>
          <w:szCs w:val="22"/>
        </w:rPr>
        <w:t xml:space="preserve"> and Commission decisions relating to the development of a management procedure for </w:t>
      </w:r>
      <w:r w:rsidR="009346A7">
        <w:rPr>
          <w:rFonts w:cstheme="minorHAnsi"/>
          <w:sz w:val="22"/>
          <w:szCs w:val="22"/>
        </w:rPr>
        <w:t xml:space="preserve">SPA </w:t>
      </w:r>
      <w:r w:rsidRPr="00E36207">
        <w:rPr>
          <w:rFonts w:cstheme="minorHAnsi"/>
          <w:sz w:val="22"/>
          <w:szCs w:val="22"/>
        </w:rPr>
        <w:t>and its implementing measure</w:t>
      </w:r>
      <w:r w:rsidR="009346A7">
        <w:rPr>
          <w:rFonts w:cstheme="minorHAnsi"/>
          <w:sz w:val="22"/>
          <w:szCs w:val="22"/>
        </w:rPr>
        <w:t>,</w:t>
      </w:r>
      <w:r w:rsidRPr="00E36207">
        <w:rPr>
          <w:rFonts w:cstheme="minorHAnsi"/>
          <w:sz w:val="22"/>
          <w:szCs w:val="22"/>
        </w:rPr>
        <w:t xml:space="preserve"> which would replace CMM 2015-02. </w:t>
      </w:r>
    </w:p>
    <w:p w14:paraId="5151C020" w14:textId="4304402B" w:rsidR="00BD00F0" w:rsidRPr="00E36207" w:rsidRDefault="00674739" w:rsidP="00506228">
      <w:pPr>
        <w:pStyle w:val="CommentText"/>
        <w:numPr>
          <w:ilvl w:val="0"/>
          <w:numId w:val="15"/>
        </w:numPr>
        <w:ind w:left="0" w:firstLine="0"/>
        <w:jc w:val="both"/>
        <w:rPr>
          <w:rFonts w:cstheme="minorHAnsi"/>
          <w:sz w:val="22"/>
          <w:szCs w:val="22"/>
        </w:rPr>
      </w:pPr>
      <w:r w:rsidRPr="00E36207">
        <w:rPr>
          <w:rFonts w:cstheme="minorHAnsi"/>
          <w:sz w:val="22"/>
          <w:szCs w:val="22"/>
        </w:rPr>
        <w:t xml:space="preserve">Participants </w:t>
      </w:r>
      <w:r w:rsidR="00BD00F0" w:rsidRPr="00E36207">
        <w:rPr>
          <w:rFonts w:cstheme="minorHAnsi"/>
          <w:sz w:val="22"/>
          <w:szCs w:val="22"/>
        </w:rPr>
        <w:t>noted</w:t>
      </w:r>
      <w:r w:rsidRPr="00E36207">
        <w:rPr>
          <w:rFonts w:cstheme="minorHAnsi"/>
          <w:sz w:val="22"/>
          <w:szCs w:val="22"/>
        </w:rPr>
        <w:t>, and the Co-Chair confirmed,</w:t>
      </w:r>
      <w:r w:rsidR="00BD00F0" w:rsidRPr="00E36207">
        <w:rPr>
          <w:rFonts w:cstheme="minorHAnsi"/>
          <w:sz w:val="22"/>
          <w:szCs w:val="22"/>
        </w:rPr>
        <w:t xml:space="preserve"> the need to prioritise </w:t>
      </w:r>
      <w:r w:rsidRPr="00E36207">
        <w:rPr>
          <w:rFonts w:cstheme="minorHAnsi"/>
          <w:sz w:val="22"/>
          <w:szCs w:val="22"/>
        </w:rPr>
        <w:t xml:space="preserve">the work of SPAMWS </w:t>
      </w:r>
      <w:r w:rsidR="00BD00F0" w:rsidRPr="00E36207">
        <w:rPr>
          <w:rFonts w:cstheme="minorHAnsi"/>
          <w:sz w:val="22"/>
          <w:szCs w:val="22"/>
        </w:rPr>
        <w:t>given the limited time available</w:t>
      </w:r>
      <w:r w:rsidRPr="00E36207">
        <w:rPr>
          <w:rFonts w:cstheme="minorHAnsi"/>
          <w:sz w:val="22"/>
          <w:szCs w:val="22"/>
        </w:rPr>
        <w:t xml:space="preserve">, with priority to be given first </w:t>
      </w:r>
      <w:r w:rsidR="00BD00F0" w:rsidRPr="00E36207">
        <w:rPr>
          <w:rFonts w:cstheme="minorHAnsi"/>
          <w:sz w:val="22"/>
          <w:szCs w:val="22"/>
        </w:rPr>
        <w:t xml:space="preserve">to </w:t>
      </w:r>
      <w:r w:rsidRPr="00E36207">
        <w:rPr>
          <w:rFonts w:cstheme="minorHAnsi"/>
          <w:sz w:val="22"/>
          <w:szCs w:val="22"/>
        </w:rPr>
        <w:t xml:space="preserve">the </w:t>
      </w:r>
      <w:r w:rsidR="00BD00F0" w:rsidRPr="00E36207">
        <w:rPr>
          <w:rFonts w:cstheme="minorHAnsi"/>
          <w:sz w:val="22"/>
          <w:szCs w:val="22"/>
        </w:rPr>
        <w:t>develop</w:t>
      </w:r>
      <w:r w:rsidRPr="00E36207">
        <w:rPr>
          <w:rFonts w:cstheme="minorHAnsi"/>
          <w:sz w:val="22"/>
          <w:szCs w:val="22"/>
        </w:rPr>
        <w:t>ment of</w:t>
      </w:r>
      <w:r w:rsidR="00BD00F0" w:rsidRPr="00E36207">
        <w:rPr>
          <w:rFonts w:cstheme="minorHAnsi"/>
          <w:sz w:val="22"/>
          <w:szCs w:val="22"/>
        </w:rPr>
        <w:t xml:space="preserve"> a shared understand</w:t>
      </w:r>
      <w:r w:rsidRPr="00E36207">
        <w:rPr>
          <w:rFonts w:cstheme="minorHAnsi"/>
          <w:sz w:val="22"/>
          <w:szCs w:val="22"/>
        </w:rPr>
        <w:t>ing</w:t>
      </w:r>
      <w:r w:rsidR="00BD00F0" w:rsidRPr="00E36207">
        <w:rPr>
          <w:rFonts w:cstheme="minorHAnsi"/>
          <w:sz w:val="22"/>
          <w:szCs w:val="22"/>
        </w:rPr>
        <w:t xml:space="preserve"> of candidate MPs; the preferred options; the areas of disagreement; and the ways in which these disagreements can be resolved prior to WCPFC22.</w:t>
      </w:r>
    </w:p>
    <w:p w14:paraId="7CC8FAE7" w14:textId="77777777" w:rsidR="00FD15A0" w:rsidRPr="00E36207" w:rsidRDefault="00FD15A0" w:rsidP="00DA58A6">
      <w:pPr>
        <w:pStyle w:val="Heading2"/>
        <w:numPr>
          <w:ilvl w:val="0"/>
          <w:numId w:val="13"/>
        </w:numPr>
        <w:spacing w:before="360" w:after="240"/>
        <w:ind w:hanging="720"/>
        <w:rPr>
          <w:rFonts w:asciiTheme="minorHAnsi" w:hAnsiTheme="minorHAnsi" w:cstheme="minorHAnsi"/>
          <w:b/>
          <w:bCs/>
          <w:color w:val="auto"/>
          <w:sz w:val="24"/>
          <w:szCs w:val="24"/>
        </w:rPr>
      </w:pPr>
      <w:bookmarkStart w:id="4" w:name="_Toc208768279"/>
      <w:r w:rsidRPr="00E36207">
        <w:rPr>
          <w:rFonts w:asciiTheme="minorHAnsi" w:hAnsiTheme="minorHAnsi" w:cstheme="minorHAnsi"/>
          <w:b/>
          <w:bCs/>
          <w:color w:val="auto"/>
          <w:sz w:val="24"/>
          <w:szCs w:val="24"/>
        </w:rPr>
        <w:lastRenderedPageBreak/>
        <w:t>SOUTH PACIFIC ALBACORE MANAGEMENT PROCEDURE (MP)</w:t>
      </w:r>
      <w:bookmarkEnd w:id="4"/>
      <w:r w:rsidRPr="00E36207">
        <w:rPr>
          <w:rFonts w:asciiTheme="minorHAnsi" w:hAnsiTheme="minorHAnsi" w:cstheme="minorHAnsi"/>
          <w:b/>
          <w:bCs/>
          <w:color w:val="auto"/>
          <w:sz w:val="24"/>
          <w:szCs w:val="24"/>
        </w:rPr>
        <w:t xml:space="preserve"> </w:t>
      </w:r>
    </w:p>
    <w:p w14:paraId="377A8370" w14:textId="6994BC50" w:rsidR="00766F9B" w:rsidRPr="00E36207" w:rsidRDefault="001C1AB2" w:rsidP="00506228">
      <w:pPr>
        <w:pStyle w:val="CommentText"/>
        <w:numPr>
          <w:ilvl w:val="0"/>
          <w:numId w:val="15"/>
        </w:numPr>
        <w:ind w:left="0" w:firstLine="0"/>
        <w:jc w:val="both"/>
        <w:rPr>
          <w:rFonts w:cstheme="minorHAnsi"/>
          <w:sz w:val="22"/>
          <w:szCs w:val="22"/>
        </w:rPr>
      </w:pPr>
      <w:r w:rsidRPr="00E36207">
        <w:rPr>
          <w:rFonts w:cstheme="minorHAnsi"/>
          <w:sz w:val="22"/>
          <w:szCs w:val="22"/>
        </w:rPr>
        <w:t>The Co-Chair reviewed the discussion and recommendations from SC21 relating to the SP</w:t>
      </w:r>
      <w:r w:rsidR="0059728F" w:rsidRPr="00E36207">
        <w:rPr>
          <w:rFonts w:cstheme="minorHAnsi"/>
          <w:sz w:val="22"/>
          <w:szCs w:val="22"/>
        </w:rPr>
        <w:t>A</w:t>
      </w:r>
      <w:r w:rsidRPr="00E36207">
        <w:rPr>
          <w:rFonts w:cstheme="minorHAnsi"/>
          <w:sz w:val="22"/>
          <w:szCs w:val="22"/>
        </w:rPr>
        <w:t xml:space="preserve"> management procedure, including on candidate MPs</w:t>
      </w:r>
      <w:r w:rsidR="00674739" w:rsidRPr="00E36207">
        <w:rPr>
          <w:rFonts w:cstheme="minorHAnsi"/>
          <w:sz w:val="22"/>
          <w:szCs w:val="22"/>
        </w:rPr>
        <w:t>, contained in the SC21 Summary Report</w:t>
      </w:r>
      <w:r w:rsidRPr="00E36207">
        <w:rPr>
          <w:rFonts w:cstheme="minorHAnsi"/>
          <w:sz w:val="22"/>
          <w:szCs w:val="22"/>
        </w:rPr>
        <w:t xml:space="preserve">. </w:t>
      </w:r>
      <w:r w:rsidR="00C33AD6" w:rsidRPr="00E36207">
        <w:rPr>
          <w:rFonts w:cstheme="minorHAnsi"/>
          <w:sz w:val="22"/>
          <w:szCs w:val="22"/>
        </w:rPr>
        <w:t xml:space="preserve">The SPAMWS </w:t>
      </w:r>
      <w:r w:rsidR="00D76F43" w:rsidRPr="00E36207">
        <w:rPr>
          <w:rFonts w:cstheme="minorHAnsi"/>
          <w:sz w:val="22"/>
          <w:szCs w:val="22"/>
        </w:rPr>
        <w:t>review</w:t>
      </w:r>
      <w:r w:rsidR="00C33AD6" w:rsidRPr="00E36207">
        <w:rPr>
          <w:rFonts w:cstheme="minorHAnsi"/>
          <w:sz w:val="22"/>
          <w:szCs w:val="22"/>
        </w:rPr>
        <w:t>ed</w:t>
      </w:r>
      <w:r w:rsidR="00D76F43" w:rsidRPr="00E36207">
        <w:rPr>
          <w:rFonts w:cstheme="minorHAnsi"/>
          <w:sz w:val="22"/>
          <w:szCs w:val="22"/>
        </w:rPr>
        <w:t xml:space="preserve"> the latest results available for candidate management procedures for SPA</w:t>
      </w:r>
      <w:r w:rsidR="009346A7">
        <w:rPr>
          <w:rFonts w:cstheme="minorHAnsi"/>
          <w:sz w:val="22"/>
          <w:szCs w:val="22"/>
        </w:rPr>
        <w:t>,</w:t>
      </w:r>
      <w:r w:rsidR="00D76F43" w:rsidRPr="00E36207">
        <w:rPr>
          <w:rFonts w:cstheme="minorHAnsi"/>
          <w:sz w:val="22"/>
          <w:szCs w:val="22"/>
        </w:rPr>
        <w:t xml:space="preserve"> </w:t>
      </w:r>
      <w:r w:rsidR="00766F9B" w:rsidRPr="00E36207">
        <w:rPr>
          <w:rFonts w:cstheme="minorHAnsi"/>
          <w:sz w:val="22"/>
          <w:szCs w:val="22"/>
        </w:rPr>
        <w:t xml:space="preserve">which were presented by the SSP </w:t>
      </w:r>
      <w:r w:rsidR="00D76F43" w:rsidRPr="00E36207">
        <w:rPr>
          <w:rFonts w:cstheme="minorHAnsi"/>
          <w:sz w:val="22"/>
          <w:szCs w:val="22"/>
        </w:rPr>
        <w:t xml:space="preserve">(refer to </w:t>
      </w:r>
      <w:r w:rsidR="00766F9B" w:rsidRPr="00E36207">
        <w:rPr>
          <w:rFonts w:cstheme="minorHAnsi"/>
          <w:sz w:val="22"/>
          <w:szCs w:val="22"/>
        </w:rPr>
        <w:t xml:space="preserve">SPAMWS01-WP-01 </w:t>
      </w:r>
      <w:r w:rsidR="00D76F43" w:rsidRPr="00E36207">
        <w:rPr>
          <w:rFonts w:cstheme="minorHAnsi"/>
          <w:sz w:val="22"/>
          <w:szCs w:val="22"/>
        </w:rPr>
        <w:t>Evaluation of the candidate MPs for SP albacore).</w:t>
      </w:r>
      <w:r w:rsidR="00CB47F8" w:rsidRPr="00E36207">
        <w:rPr>
          <w:rFonts w:cstheme="minorHAnsi"/>
          <w:sz w:val="22"/>
          <w:szCs w:val="22"/>
        </w:rPr>
        <w:t xml:space="preserve"> The candidate MP</w:t>
      </w:r>
      <w:r w:rsidR="005A00C0" w:rsidRPr="00E36207">
        <w:rPr>
          <w:rFonts w:cstheme="minorHAnsi"/>
          <w:sz w:val="22"/>
          <w:szCs w:val="22"/>
        </w:rPr>
        <w:t>s</w:t>
      </w:r>
      <w:r w:rsidR="00CB47F8" w:rsidRPr="00E36207">
        <w:rPr>
          <w:rFonts w:cstheme="minorHAnsi"/>
          <w:sz w:val="22"/>
          <w:szCs w:val="22"/>
        </w:rPr>
        <w:t xml:space="preserve"> </w:t>
      </w:r>
      <w:r w:rsidR="005A00C0" w:rsidRPr="00E36207">
        <w:rPr>
          <w:rFonts w:cstheme="minorHAnsi"/>
          <w:sz w:val="22"/>
          <w:szCs w:val="22"/>
        </w:rPr>
        <w:t>are</w:t>
      </w:r>
      <w:r w:rsidR="00CB47F8" w:rsidRPr="00E36207">
        <w:rPr>
          <w:rFonts w:cstheme="minorHAnsi"/>
          <w:sz w:val="22"/>
          <w:szCs w:val="22"/>
        </w:rPr>
        <w:t xml:space="preserve"> designed to ensure the SPA stock remains above the limit reference point (20% SBF=0) </w:t>
      </w:r>
      <w:r w:rsidR="005A00C0" w:rsidRPr="00E36207">
        <w:rPr>
          <w:rFonts w:cstheme="minorHAnsi"/>
          <w:sz w:val="22"/>
          <w:szCs w:val="22"/>
        </w:rPr>
        <w:t xml:space="preserve">with at least 80% probability, </w:t>
      </w:r>
      <w:r w:rsidR="00CB47F8" w:rsidRPr="00E36207">
        <w:rPr>
          <w:rFonts w:cstheme="minorHAnsi"/>
          <w:sz w:val="22"/>
          <w:szCs w:val="22"/>
        </w:rPr>
        <w:t xml:space="preserve">while achieving </w:t>
      </w:r>
      <w:r w:rsidR="005A00C0" w:rsidRPr="00E36207">
        <w:rPr>
          <w:rFonts w:cstheme="minorHAnsi"/>
          <w:sz w:val="22"/>
          <w:szCs w:val="22"/>
        </w:rPr>
        <w:t xml:space="preserve">either </w:t>
      </w:r>
      <w:r w:rsidR="00CB47F8" w:rsidRPr="00E36207">
        <w:rPr>
          <w:rFonts w:cstheme="minorHAnsi"/>
          <w:sz w:val="22"/>
          <w:szCs w:val="22"/>
        </w:rPr>
        <w:t>the interim target reference point (0.96 SB2017 2019/SBF=0)</w:t>
      </w:r>
      <w:r w:rsidR="005A00C0" w:rsidRPr="00E36207">
        <w:rPr>
          <w:rFonts w:cstheme="minorHAnsi"/>
          <w:sz w:val="22"/>
          <w:szCs w:val="22"/>
        </w:rPr>
        <w:t xml:space="preserve"> or one of the two other TRPs identified by the Commission for evaluation</w:t>
      </w:r>
      <w:r w:rsidR="00CB47F8" w:rsidRPr="00E36207">
        <w:rPr>
          <w:rFonts w:cstheme="minorHAnsi"/>
          <w:sz w:val="22"/>
          <w:szCs w:val="22"/>
        </w:rPr>
        <w:t>.</w:t>
      </w:r>
    </w:p>
    <w:p w14:paraId="2AC84E36" w14:textId="4F8ABD1B" w:rsidR="00911C92" w:rsidRPr="00E36207" w:rsidRDefault="00911C92" w:rsidP="00506228">
      <w:pPr>
        <w:pStyle w:val="CommentText"/>
        <w:numPr>
          <w:ilvl w:val="0"/>
          <w:numId w:val="15"/>
        </w:numPr>
        <w:ind w:left="0" w:firstLine="0"/>
        <w:jc w:val="both"/>
        <w:rPr>
          <w:rFonts w:cstheme="minorHAnsi"/>
          <w:sz w:val="22"/>
          <w:szCs w:val="22"/>
        </w:rPr>
      </w:pPr>
      <w:r w:rsidRPr="00E36207">
        <w:rPr>
          <w:rFonts w:cstheme="minorHAnsi"/>
          <w:sz w:val="22"/>
          <w:szCs w:val="22"/>
        </w:rPr>
        <w:t>The key points from the discussion:</w:t>
      </w:r>
    </w:p>
    <w:p w14:paraId="7A3D43EA" w14:textId="6AB2C3F0" w:rsidR="00911C92" w:rsidRPr="00E36207" w:rsidRDefault="00674739" w:rsidP="00506228">
      <w:pPr>
        <w:pStyle w:val="ListParagraph"/>
        <w:numPr>
          <w:ilvl w:val="0"/>
          <w:numId w:val="7"/>
        </w:numPr>
        <w:jc w:val="both"/>
        <w:rPr>
          <w:rFonts w:cstheme="minorHAnsi"/>
        </w:rPr>
      </w:pPr>
      <w:r w:rsidRPr="00E36207">
        <w:rPr>
          <w:rFonts w:cstheme="minorHAnsi"/>
        </w:rPr>
        <w:t>Some participants expressed concern over the design of the SPA MP</w:t>
      </w:r>
      <w:r w:rsidR="00766F9B" w:rsidRPr="00E36207">
        <w:rPr>
          <w:rFonts w:cstheme="minorHAnsi"/>
        </w:rPr>
        <w:t xml:space="preserve">, particularly the exclusion of the area between the equator and </w:t>
      </w:r>
      <w:r w:rsidR="005A00C0" w:rsidRPr="00E36207">
        <w:rPr>
          <w:rFonts w:cstheme="minorHAnsi"/>
        </w:rPr>
        <w:t xml:space="preserve">10° </w:t>
      </w:r>
      <w:r w:rsidR="00766F9B" w:rsidRPr="00E36207">
        <w:rPr>
          <w:rFonts w:cstheme="minorHAnsi"/>
        </w:rPr>
        <w:t xml:space="preserve">South. </w:t>
      </w:r>
    </w:p>
    <w:p w14:paraId="4CEA10A9" w14:textId="23C0C0C8" w:rsidR="00911C92" w:rsidRPr="00E36207" w:rsidRDefault="00766F9B" w:rsidP="00506228">
      <w:pPr>
        <w:pStyle w:val="ListParagraph"/>
        <w:numPr>
          <w:ilvl w:val="0"/>
          <w:numId w:val="7"/>
        </w:numPr>
        <w:jc w:val="both"/>
        <w:rPr>
          <w:rFonts w:cstheme="minorHAnsi"/>
        </w:rPr>
      </w:pPr>
      <w:r w:rsidRPr="00E36207">
        <w:rPr>
          <w:rFonts w:cstheme="minorHAnsi"/>
        </w:rPr>
        <w:t xml:space="preserve">The SSP explained that the change had been driven by the mixed fishery framework and the Commission’s request to develop in parallel MPs for SPA and </w:t>
      </w:r>
      <w:r w:rsidR="0059728F" w:rsidRPr="00E36207">
        <w:rPr>
          <w:rFonts w:cstheme="minorHAnsi"/>
        </w:rPr>
        <w:t>b</w:t>
      </w:r>
      <w:r w:rsidRPr="00E36207">
        <w:rPr>
          <w:rFonts w:cstheme="minorHAnsi"/>
        </w:rPr>
        <w:t>igeye</w:t>
      </w:r>
      <w:r w:rsidR="0059728F" w:rsidRPr="00E36207">
        <w:rPr>
          <w:rFonts w:cstheme="minorHAnsi"/>
        </w:rPr>
        <w:t xml:space="preserve"> tuna</w:t>
      </w:r>
      <w:r w:rsidR="007E2AC0" w:rsidRPr="00E36207">
        <w:rPr>
          <w:rFonts w:cstheme="minorHAnsi"/>
        </w:rPr>
        <w:t xml:space="preserve">. The mixed fishery sought to </w:t>
      </w:r>
      <w:r w:rsidR="005A00C0" w:rsidRPr="00E36207">
        <w:rPr>
          <w:rFonts w:cstheme="minorHAnsi"/>
        </w:rPr>
        <w:t xml:space="preserve">consider activities in </w:t>
      </w:r>
      <w:r w:rsidR="007E2AC0" w:rsidRPr="00E36207">
        <w:rPr>
          <w:rFonts w:cstheme="minorHAnsi"/>
        </w:rPr>
        <w:t xml:space="preserve">the tropical longline fishery between </w:t>
      </w:r>
      <w:r w:rsidR="005A00C0" w:rsidRPr="00E36207">
        <w:rPr>
          <w:rFonts w:cstheme="minorHAnsi"/>
        </w:rPr>
        <w:t xml:space="preserve">20° </w:t>
      </w:r>
      <w:r w:rsidR="007E2AC0" w:rsidRPr="00E36207">
        <w:rPr>
          <w:rFonts w:cstheme="minorHAnsi"/>
        </w:rPr>
        <w:t xml:space="preserve">N and </w:t>
      </w:r>
      <w:r w:rsidR="005A00C0" w:rsidRPr="00E36207">
        <w:rPr>
          <w:rFonts w:cstheme="minorHAnsi"/>
        </w:rPr>
        <w:t xml:space="preserve">10° </w:t>
      </w:r>
      <w:r w:rsidR="007E2AC0" w:rsidRPr="00E36207">
        <w:rPr>
          <w:rFonts w:cstheme="minorHAnsi"/>
        </w:rPr>
        <w:t>S and to avoid a clash of MPs in the same geographical ar</w:t>
      </w:r>
      <w:r w:rsidR="00911C92" w:rsidRPr="00E36207">
        <w:rPr>
          <w:rFonts w:cstheme="minorHAnsi"/>
        </w:rPr>
        <w:t>e</w:t>
      </w:r>
      <w:r w:rsidR="007E2AC0" w:rsidRPr="00E36207">
        <w:rPr>
          <w:rFonts w:cstheme="minorHAnsi"/>
        </w:rPr>
        <w:t>a</w:t>
      </w:r>
      <w:r w:rsidRPr="00E36207">
        <w:rPr>
          <w:rFonts w:cstheme="minorHAnsi"/>
        </w:rPr>
        <w:t>.</w:t>
      </w:r>
      <w:r w:rsidR="007E2AC0" w:rsidRPr="00E36207">
        <w:rPr>
          <w:rFonts w:cstheme="minorHAnsi"/>
        </w:rPr>
        <w:t xml:space="preserve"> </w:t>
      </w:r>
    </w:p>
    <w:p w14:paraId="452D0D7A" w14:textId="77777777" w:rsidR="00911C92" w:rsidRPr="00E36207" w:rsidRDefault="007E2AC0" w:rsidP="00506228">
      <w:pPr>
        <w:pStyle w:val="ListParagraph"/>
        <w:numPr>
          <w:ilvl w:val="0"/>
          <w:numId w:val="7"/>
        </w:numPr>
        <w:jc w:val="both"/>
        <w:rPr>
          <w:rFonts w:cstheme="minorHAnsi"/>
        </w:rPr>
      </w:pPr>
      <w:r w:rsidRPr="00E36207">
        <w:rPr>
          <w:rFonts w:cstheme="minorHAnsi"/>
        </w:rPr>
        <w:t xml:space="preserve">Notwithstanding this explanation, some participants were not convinced of the desirability of limiting the scope of application of the SPA MP. </w:t>
      </w:r>
    </w:p>
    <w:p w14:paraId="5994AF02" w14:textId="77777777" w:rsidR="00911C92" w:rsidRPr="00E36207" w:rsidRDefault="007E2AC0" w:rsidP="00506228">
      <w:pPr>
        <w:pStyle w:val="ListParagraph"/>
        <w:numPr>
          <w:ilvl w:val="0"/>
          <w:numId w:val="7"/>
        </w:numPr>
        <w:jc w:val="both"/>
        <w:rPr>
          <w:rFonts w:cstheme="minorHAnsi"/>
        </w:rPr>
      </w:pPr>
      <w:r w:rsidRPr="00E36207">
        <w:rPr>
          <w:rFonts w:cstheme="minorHAnsi"/>
        </w:rPr>
        <w:t xml:space="preserve">Other participants strongly supported the revised MP design, especially the geographic area, as a logical and necessary step to implement the mixed fishery framework. </w:t>
      </w:r>
    </w:p>
    <w:p w14:paraId="283B4A96" w14:textId="5F81D95C" w:rsidR="00766F9B" w:rsidRPr="00E36207" w:rsidRDefault="00D77A00" w:rsidP="00506228">
      <w:pPr>
        <w:pStyle w:val="ListParagraph"/>
        <w:numPr>
          <w:ilvl w:val="0"/>
          <w:numId w:val="7"/>
        </w:numPr>
        <w:jc w:val="both"/>
        <w:rPr>
          <w:rFonts w:cstheme="minorHAnsi"/>
        </w:rPr>
      </w:pPr>
      <w:r w:rsidRPr="00E36207">
        <w:rPr>
          <w:rFonts w:cstheme="minorHAnsi"/>
        </w:rPr>
        <w:t xml:space="preserve">Another participant noted their interest in managing </w:t>
      </w:r>
      <w:r w:rsidR="0059728F" w:rsidRPr="00E36207">
        <w:rPr>
          <w:rFonts w:cstheme="minorHAnsi"/>
        </w:rPr>
        <w:t xml:space="preserve">the </w:t>
      </w:r>
      <w:r w:rsidRPr="00E36207">
        <w:rPr>
          <w:rFonts w:cstheme="minorHAnsi"/>
        </w:rPr>
        <w:t xml:space="preserve">stock </w:t>
      </w:r>
      <w:r w:rsidR="0059728F" w:rsidRPr="00E36207">
        <w:rPr>
          <w:rFonts w:cstheme="minorHAnsi"/>
        </w:rPr>
        <w:t xml:space="preserve">under the SPA MP </w:t>
      </w:r>
      <w:r w:rsidRPr="00E36207">
        <w:rPr>
          <w:rFonts w:cstheme="minorHAnsi"/>
        </w:rPr>
        <w:t xml:space="preserve">up to the equator, however, given the importance of developing a </w:t>
      </w:r>
      <w:r w:rsidR="00E2606F" w:rsidRPr="00E36207">
        <w:rPr>
          <w:rFonts w:cstheme="minorHAnsi"/>
        </w:rPr>
        <w:t xml:space="preserve">SPA </w:t>
      </w:r>
      <w:r w:rsidRPr="00E36207">
        <w:rPr>
          <w:rFonts w:cstheme="minorHAnsi"/>
        </w:rPr>
        <w:t xml:space="preserve">MP, they supported discussing this further with </w:t>
      </w:r>
      <w:r w:rsidR="00E2606F" w:rsidRPr="00E36207">
        <w:rPr>
          <w:rFonts w:cstheme="minorHAnsi"/>
        </w:rPr>
        <w:t>CCMs</w:t>
      </w:r>
      <w:r w:rsidRPr="00E36207">
        <w:rPr>
          <w:rFonts w:cstheme="minorHAnsi"/>
        </w:rPr>
        <w:t>.</w:t>
      </w:r>
    </w:p>
    <w:p w14:paraId="69F8AE18" w14:textId="34B07CFE" w:rsidR="007E2AC0" w:rsidRPr="00E36207" w:rsidRDefault="007E2AC0" w:rsidP="00506228">
      <w:pPr>
        <w:pStyle w:val="ListParagraph"/>
        <w:numPr>
          <w:ilvl w:val="0"/>
          <w:numId w:val="7"/>
        </w:numPr>
        <w:ind w:left="1281" w:hanging="357"/>
        <w:contextualSpacing w:val="0"/>
        <w:jc w:val="both"/>
        <w:rPr>
          <w:rFonts w:cstheme="minorHAnsi"/>
        </w:rPr>
      </w:pPr>
      <w:r w:rsidRPr="00E36207">
        <w:rPr>
          <w:rFonts w:cstheme="minorHAnsi"/>
        </w:rPr>
        <w:t xml:space="preserve">The Co-Chair </w:t>
      </w:r>
      <w:r w:rsidR="005C38AD" w:rsidRPr="00E36207">
        <w:rPr>
          <w:rFonts w:cstheme="minorHAnsi"/>
        </w:rPr>
        <w:t xml:space="preserve">noted that there were clearly diverging views, with some </w:t>
      </w:r>
      <w:r w:rsidR="00AF2AB6" w:rsidRPr="00E36207">
        <w:rPr>
          <w:rFonts w:cstheme="minorHAnsi"/>
        </w:rPr>
        <w:t>participants</w:t>
      </w:r>
      <w:r w:rsidR="005C38AD" w:rsidRPr="00E36207">
        <w:rPr>
          <w:rFonts w:cstheme="minorHAnsi"/>
        </w:rPr>
        <w:t xml:space="preserve"> preferring that the MP cover the area from the equator south, while others wished to exclude the area from the equator to 10</w:t>
      </w:r>
      <w:r w:rsidR="005A00C0" w:rsidRPr="00E36207">
        <w:rPr>
          <w:rFonts w:cstheme="minorHAnsi"/>
        </w:rPr>
        <w:t>°</w:t>
      </w:r>
      <w:r w:rsidR="005C38AD" w:rsidRPr="00E36207">
        <w:rPr>
          <w:rFonts w:cstheme="minorHAnsi"/>
          <w:vertAlign w:val="superscript"/>
        </w:rPr>
        <w:t xml:space="preserve"> </w:t>
      </w:r>
      <w:r w:rsidR="005C38AD" w:rsidRPr="00E36207">
        <w:rPr>
          <w:rFonts w:cstheme="minorHAnsi"/>
        </w:rPr>
        <w:t>South.</w:t>
      </w:r>
      <w:r w:rsidRPr="00E36207">
        <w:rPr>
          <w:rFonts w:cstheme="minorHAnsi"/>
        </w:rPr>
        <w:t xml:space="preserve"> </w:t>
      </w:r>
    </w:p>
    <w:p w14:paraId="316B5480" w14:textId="77777777" w:rsidR="00911C92" w:rsidRPr="00E36207" w:rsidRDefault="00911C92" w:rsidP="00506228">
      <w:pPr>
        <w:pStyle w:val="CommentText"/>
        <w:numPr>
          <w:ilvl w:val="0"/>
          <w:numId w:val="15"/>
        </w:numPr>
        <w:ind w:left="0" w:firstLine="0"/>
        <w:jc w:val="both"/>
        <w:rPr>
          <w:rFonts w:cstheme="minorHAnsi"/>
          <w:sz w:val="22"/>
          <w:szCs w:val="22"/>
        </w:rPr>
      </w:pPr>
      <w:r w:rsidRPr="00E36207">
        <w:rPr>
          <w:rFonts w:cstheme="minorHAnsi"/>
          <w:sz w:val="22"/>
          <w:szCs w:val="22"/>
        </w:rPr>
        <w:t>A</w:t>
      </w:r>
      <w:r w:rsidR="00AF2AB6" w:rsidRPr="00E36207">
        <w:rPr>
          <w:rFonts w:cstheme="minorHAnsi"/>
          <w:sz w:val="22"/>
          <w:szCs w:val="22"/>
        </w:rPr>
        <w:t xml:space="preserve">ustralia presented its delegation paper (SPAMWS-WP02 DRAFT – Conservation and Management Measure on a Management Procedure for South Pacific Albacore). </w:t>
      </w:r>
    </w:p>
    <w:p w14:paraId="69618360" w14:textId="71B7E8EC" w:rsidR="00911C92" w:rsidRPr="00E36207" w:rsidRDefault="009C02B8" w:rsidP="00506228">
      <w:pPr>
        <w:pStyle w:val="ListParagraph"/>
        <w:numPr>
          <w:ilvl w:val="0"/>
          <w:numId w:val="7"/>
        </w:numPr>
        <w:jc w:val="both"/>
        <w:rPr>
          <w:rFonts w:cstheme="minorHAnsi"/>
        </w:rPr>
      </w:pPr>
      <w:r w:rsidRPr="00E36207">
        <w:rPr>
          <w:rFonts w:cstheme="minorHAnsi"/>
        </w:rPr>
        <w:t>Most of the text of the d</w:t>
      </w:r>
      <w:r w:rsidR="00AF2AB6" w:rsidRPr="00E36207">
        <w:rPr>
          <w:rFonts w:cstheme="minorHAnsi"/>
        </w:rPr>
        <w:t xml:space="preserve">raft CMM was </w:t>
      </w:r>
      <w:r w:rsidRPr="00E36207">
        <w:rPr>
          <w:rFonts w:cstheme="minorHAnsi"/>
        </w:rPr>
        <w:t>unchanged from the S</w:t>
      </w:r>
      <w:r w:rsidR="00AF2AB6" w:rsidRPr="00E36207">
        <w:rPr>
          <w:rFonts w:cstheme="minorHAnsi"/>
        </w:rPr>
        <w:t xml:space="preserve">outh Pacific Group and Australia proposal submitted to WCPFC21. It was based on HCR 7, with the EEZs of Tokelau and Tuvalu excluded </w:t>
      </w:r>
      <w:r w:rsidRPr="00E36207">
        <w:rPr>
          <w:rFonts w:cstheme="minorHAnsi"/>
        </w:rPr>
        <w:t>(</w:t>
      </w:r>
      <w:r w:rsidR="00D54CC6" w:rsidRPr="00E36207">
        <w:rPr>
          <w:rFonts w:cstheme="minorHAnsi"/>
        </w:rPr>
        <w:t xml:space="preserve">the albacore catch in these EEZs taken south of 10°S </w:t>
      </w:r>
      <w:r w:rsidR="005A00C0" w:rsidRPr="00E36207">
        <w:rPr>
          <w:rFonts w:cstheme="minorHAnsi"/>
        </w:rPr>
        <w:t xml:space="preserve">representing </w:t>
      </w:r>
      <w:r w:rsidRPr="00E36207">
        <w:rPr>
          <w:rFonts w:cstheme="minorHAnsi"/>
        </w:rPr>
        <w:t xml:space="preserve">an annual average catch of </w:t>
      </w:r>
      <w:r w:rsidR="00172C2E" w:rsidRPr="00E36207">
        <w:rPr>
          <w:rFonts w:cstheme="minorHAnsi"/>
        </w:rPr>
        <w:t>approximately</w:t>
      </w:r>
      <w:r w:rsidR="000C2209" w:rsidRPr="00E36207">
        <w:rPr>
          <w:rFonts w:cstheme="minorHAnsi"/>
        </w:rPr>
        <w:t xml:space="preserve"> </w:t>
      </w:r>
      <w:r w:rsidRPr="00E36207">
        <w:rPr>
          <w:rFonts w:cstheme="minorHAnsi"/>
        </w:rPr>
        <w:t xml:space="preserve">600 mt) </w:t>
      </w:r>
      <w:r w:rsidR="00AF2AB6" w:rsidRPr="00E36207">
        <w:rPr>
          <w:rFonts w:cstheme="minorHAnsi"/>
        </w:rPr>
        <w:t xml:space="preserve">to reduce complexities for small administrations and avoid disproportionate burden in accordance with CMM 2013-06. </w:t>
      </w:r>
    </w:p>
    <w:p w14:paraId="7ACDFC06" w14:textId="77777777" w:rsidR="00911C92" w:rsidRPr="00E36207" w:rsidRDefault="009C02B8" w:rsidP="00506228">
      <w:pPr>
        <w:pStyle w:val="ListParagraph"/>
        <w:numPr>
          <w:ilvl w:val="0"/>
          <w:numId w:val="7"/>
        </w:numPr>
        <w:jc w:val="both"/>
        <w:rPr>
          <w:rFonts w:cstheme="minorHAnsi"/>
        </w:rPr>
      </w:pPr>
      <w:r w:rsidRPr="00E36207">
        <w:rPr>
          <w:rFonts w:cstheme="minorHAnsi"/>
        </w:rPr>
        <w:t>S</w:t>
      </w:r>
      <w:r w:rsidR="00AF2AB6" w:rsidRPr="00E36207">
        <w:rPr>
          <w:rFonts w:cstheme="minorHAnsi"/>
        </w:rPr>
        <w:t xml:space="preserve">ome participants noted that they had not had sufficient time to consider the revised proposal in detail, </w:t>
      </w:r>
      <w:r w:rsidRPr="00E36207">
        <w:rPr>
          <w:rFonts w:cstheme="minorHAnsi"/>
        </w:rPr>
        <w:t xml:space="preserve">and various questions were posed. </w:t>
      </w:r>
    </w:p>
    <w:p w14:paraId="3D668265" w14:textId="5CF9EB8A" w:rsidR="00AF2AB6" w:rsidRPr="00E36207" w:rsidRDefault="009C02B8" w:rsidP="00506228">
      <w:pPr>
        <w:pStyle w:val="ListParagraph"/>
        <w:numPr>
          <w:ilvl w:val="0"/>
          <w:numId w:val="7"/>
        </w:numPr>
        <w:ind w:left="1281" w:hanging="357"/>
        <w:contextualSpacing w:val="0"/>
        <w:jc w:val="both"/>
        <w:rPr>
          <w:rFonts w:cstheme="minorHAnsi"/>
        </w:rPr>
      </w:pPr>
      <w:r w:rsidRPr="00E36207">
        <w:rPr>
          <w:rFonts w:cstheme="minorHAnsi"/>
        </w:rPr>
        <w:t>The draft CMM would be considered further at TCC21.</w:t>
      </w:r>
    </w:p>
    <w:p w14:paraId="37B61549" w14:textId="77777777" w:rsidR="00911C92" w:rsidRPr="00E36207" w:rsidRDefault="00AF2AB6" w:rsidP="00506228">
      <w:pPr>
        <w:pStyle w:val="CommentText"/>
        <w:numPr>
          <w:ilvl w:val="0"/>
          <w:numId w:val="15"/>
        </w:numPr>
        <w:ind w:left="0" w:firstLine="0"/>
        <w:jc w:val="both"/>
        <w:rPr>
          <w:rFonts w:cstheme="minorHAnsi"/>
          <w:sz w:val="22"/>
          <w:szCs w:val="22"/>
        </w:rPr>
      </w:pPr>
      <w:r w:rsidRPr="00E36207">
        <w:rPr>
          <w:rFonts w:cstheme="minorHAnsi"/>
          <w:sz w:val="22"/>
          <w:szCs w:val="22"/>
        </w:rPr>
        <w:t xml:space="preserve">Various views were expressed regarding the </w:t>
      </w:r>
      <w:r w:rsidR="005C38AD" w:rsidRPr="00E36207">
        <w:rPr>
          <w:rFonts w:cstheme="minorHAnsi"/>
          <w:sz w:val="22"/>
          <w:szCs w:val="22"/>
        </w:rPr>
        <w:t xml:space="preserve">results of the various analyses of candidate management procedures. </w:t>
      </w:r>
    </w:p>
    <w:p w14:paraId="4F651EE3" w14:textId="77777777" w:rsidR="00911C92" w:rsidRPr="00E36207" w:rsidRDefault="005C38AD" w:rsidP="00506228">
      <w:pPr>
        <w:pStyle w:val="ListParagraph"/>
        <w:numPr>
          <w:ilvl w:val="0"/>
          <w:numId w:val="8"/>
        </w:numPr>
        <w:jc w:val="both"/>
        <w:rPr>
          <w:rFonts w:cstheme="minorHAnsi"/>
        </w:rPr>
      </w:pPr>
      <w:r w:rsidRPr="00E36207">
        <w:rPr>
          <w:rFonts w:cstheme="minorHAnsi"/>
        </w:rPr>
        <w:t>A participant expressed concern over the process used to narrow the options for candidate MPs</w:t>
      </w:r>
      <w:r w:rsidR="009C02B8" w:rsidRPr="00E36207">
        <w:rPr>
          <w:rFonts w:cstheme="minorHAnsi"/>
        </w:rPr>
        <w:t>.</w:t>
      </w:r>
    </w:p>
    <w:p w14:paraId="15781A56" w14:textId="10B78245" w:rsidR="00911C92" w:rsidRPr="00E36207" w:rsidRDefault="009C02B8" w:rsidP="00506228">
      <w:pPr>
        <w:pStyle w:val="ListParagraph"/>
        <w:numPr>
          <w:ilvl w:val="0"/>
          <w:numId w:val="8"/>
        </w:numPr>
        <w:jc w:val="both"/>
        <w:rPr>
          <w:rFonts w:cstheme="minorHAnsi"/>
        </w:rPr>
      </w:pPr>
      <w:r w:rsidRPr="00E36207">
        <w:rPr>
          <w:rFonts w:cstheme="minorHAnsi"/>
        </w:rPr>
        <w:lastRenderedPageBreak/>
        <w:t>Participants expressed different views on</w:t>
      </w:r>
      <w:r w:rsidR="005A00C0" w:rsidRPr="00E36207">
        <w:rPr>
          <w:rFonts w:cstheme="minorHAnsi"/>
        </w:rPr>
        <w:t>:</w:t>
      </w:r>
      <w:r w:rsidRPr="00E36207">
        <w:rPr>
          <w:rFonts w:cstheme="minorHAnsi"/>
        </w:rPr>
        <w:t xml:space="preserve"> the number of candidate MPs to be forwarded to the Commission; the </w:t>
      </w:r>
      <w:r w:rsidR="005C38AD" w:rsidRPr="00E36207">
        <w:rPr>
          <w:rFonts w:cstheme="minorHAnsi"/>
        </w:rPr>
        <w:t xml:space="preserve">use of 2017-2019 as the baseline reference period </w:t>
      </w:r>
      <w:r w:rsidRPr="00E36207">
        <w:rPr>
          <w:rFonts w:cstheme="minorHAnsi"/>
        </w:rPr>
        <w:t>(</w:t>
      </w:r>
      <w:r w:rsidR="005C38AD" w:rsidRPr="00E36207">
        <w:rPr>
          <w:rFonts w:cstheme="minorHAnsi"/>
        </w:rPr>
        <w:t>instead of 2000-2004 or 2005 as in CMM 2015-02</w:t>
      </w:r>
      <w:r w:rsidRPr="00E36207">
        <w:rPr>
          <w:rFonts w:cstheme="minorHAnsi"/>
        </w:rPr>
        <w:t>);</w:t>
      </w:r>
      <w:r w:rsidR="005C38AD" w:rsidRPr="00E36207">
        <w:rPr>
          <w:rFonts w:cstheme="minorHAnsi"/>
        </w:rPr>
        <w:t xml:space="preserve"> </w:t>
      </w:r>
      <w:r w:rsidR="00CB47F8" w:rsidRPr="00E36207">
        <w:rPr>
          <w:rFonts w:cstheme="minorHAnsi"/>
        </w:rPr>
        <w:t xml:space="preserve">and </w:t>
      </w:r>
      <w:r w:rsidRPr="00E36207">
        <w:rPr>
          <w:rFonts w:cstheme="minorHAnsi"/>
        </w:rPr>
        <w:t>the maximum change constraints (e.g. +- 5% or +-10%).</w:t>
      </w:r>
      <w:r w:rsidR="00CB47F8" w:rsidRPr="00E36207">
        <w:rPr>
          <w:rFonts w:cstheme="minorHAnsi"/>
        </w:rPr>
        <w:t xml:space="preserve"> </w:t>
      </w:r>
    </w:p>
    <w:p w14:paraId="3004C0AD" w14:textId="4E311A23" w:rsidR="00911C92" w:rsidRPr="00E36207" w:rsidRDefault="00CB47F8" w:rsidP="00506228">
      <w:pPr>
        <w:pStyle w:val="ListParagraph"/>
        <w:numPr>
          <w:ilvl w:val="0"/>
          <w:numId w:val="8"/>
        </w:numPr>
        <w:jc w:val="both"/>
        <w:rPr>
          <w:rFonts w:cstheme="minorHAnsi"/>
        </w:rPr>
      </w:pPr>
      <w:r w:rsidRPr="00E36207">
        <w:rPr>
          <w:rFonts w:cstheme="minorHAnsi"/>
        </w:rPr>
        <w:t xml:space="preserve">Some participants supported forwarding four HCRs (HCR 7, HCR 10, HCR 13, HCR 9) to the Commission, some supported HCR 7 and HCR 13, while others </w:t>
      </w:r>
      <w:bookmarkStart w:id="5" w:name="_Hlk208502306"/>
      <w:r w:rsidR="009346A7">
        <w:rPr>
          <w:rFonts w:cstheme="minorHAnsi"/>
        </w:rPr>
        <w:t>also supported forwarding HCR 14, HCR 15,</w:t>
      </w:r>
      <w:r w:rsidRPr="00E36207">
        <w:rPr>
          <w:rFonts w:cstheme="minorHAnsi"/>
        </w:rPr>
        <w:t xml:space="preserve"> and </w:t>
      </w:r>
      <w:r w:rsidR="00CA7A40" w:rsidRPr="00E36207">
        <w:rPr>
          <w:rFonts w:cstheme="minorHAnsi"/>
        </w:rPr>
        <w:t xml:space="preserve">HCR </w:t>
      </w:r>
      <w:r w:rsidRPr="00E36207">
        <w:rPr>
          <w:rFonts w:cstheme="minorHAnsi"/>
        </w:rPr>
        <w:t xml:space="preserve">16 </w:t>
      </w:r>
      <w:bookmarkEnd w:id="5"/>
      <w:r w:rsidRPr="00E36207">
        <w:rPr>
          <w:rFonts w:cstheme="minorHAnsi"/>
        </w:rPr>
        <w:t xml:space="preserve">to the Commission. </w:t>
      </w:r>
    </w:p>
    <w:p w14:paraId="2BBE680B" w14:textId="3B97221F" w:rsidR="005C38AD" w:rsidRPr="00E36207" w:rsidRDefault="005C38AD" w:rsidP="00506228">
      <w:pPr>
        <w:pStyle w:val="ListParagraph"/>
        <w:numPr>
          <w:ilvl w:val="0"/>
          <w:numId w:val="8"/>
        </w:numPr>
        <w:ind w:left="1281" w:hanging="357"/>
        <w:contextualSpacing w:val="0"/>
        <w:jc w:val="both"/>
        <w:rPr>
          <w:rFonts w:cstheme="minorHAnsi"/>
        </w:rPr>
      </w:pPr>
      <w:r w:rsidRPr="00E36207">
        <w:rPr>
          <w:rFonts w:cstheme="minorHAnsi"/>
        </w:rPr>
        <w:t xml:space="preserve">The participants generally agreed </w:t>
      </w:r>
      <w:r w:rsidR="00CB47F8" w:rsidRPr="00E36207">
        <w:rPr>
          <w:rFonts w:cstheme="minorHAnsi"/>
        </w:rPr>
        <w:t xml:space="preserve">that the MP would be based on a </w:t>
      </w:r>
      <w:r w:rsidRPr="00E36207">
        <w:rPr>
          <w:rFonts w:cstheme="minorHAnsi"/>
        </w:rPr>
        <w:t>three-year management period</w:t>
      </w:r>
      <w:r w:rsidR="00CB47F8" w:rsidRPr="00E36207">
        <w:rPr>
          <w:rFonts w:cstheme="minorHAnsi"/>
        </w:rPr>
        <w:t xml:space="preserve"> with a </w:t>
      </w:r>
      <w:r w:rsidRPr="00E36207">
        <w:rPr>
          <w:rFonts w:cstheme="minorHAnsi"/>
        </w:rPr>
        <w:t>two-year data lag</w:t>
      </w:r>
      <w:r w:rsidR="00CB47F8" w:rsidRPr="00E36207">
        <w:rPr>
          <w:rFonts w:cstheme="minorHAnsi"/>
        </w:rPr>
        <w:t>.</w:t>
      </w:r>
    </w:p>
    <w:p w14:paraId="62297D61" w14:textId="50326609" w:rsidR="00911C92" w:rsidRPr="00E36207" w:rsidRDefault="00CA7A40" w:rsidP="00506228">
      <w:pPr>
        <w:pStyle w:val="CommentText"/>
        <w:numPr>
          <w:ilvl w:val="0"/>
          <w:numId w:val="15"/>
        </w:numPr>
        <w:ind w:left="0" w:firstLine="0"/>
        <w:jc w:val="both"/>
        <w:rPr>
          <w:rFonts w:cstheme="minorHAnsi"/>
          <w:sz w:val="22"/>
          <w:szCs w:val="22"/>
        </w:rPr>
      </w:pPr>
      <w:r w:rsidRPr="00E36207">
        <w:rPr>
          <w:rFonts w:cstheme="minorHAnsi"/>
          <w:sz w:val="22"/>
          <w:szCs w:val="22"/>
        </w:rPr>
        <w:t xml:space="preserve">The Workshop participants requested the SSP to undertake additional analyses prior to WCPFC22. These requests were identified and </w:t>
      </w:r>
      <w:r w:rsidR="007B1E17" w:rsidRPr="00E36207">
        <w:rPr>
          <w:rFonts w:cstheme="minorHAnsi"/>
          <w:sz w:val="22"/>
          <w:szCs w:val="22"/>
        </w:rPr>
        <w:t>circulated to SPAMWS participants</w:t>
      </w:r>
      <w:r w:rsidR="00911C92" w:rsidRPr="00E36207">
        <w:rPr>
          <w:rFonts w:cstheme="minorHAnsi"/>
          <w:sz w:val="22"/>
          <w:szCs w:val="22"/>
        </w:rPr>
        <w:t xml:space="preserve"> at the end of Day 1</w:t>
      </w:r>
      <w:r w:rsidR="007B1E17" w:rsidRPr="00E36207">
        <w:rPr>
          <w:rFonts w:cstheme="minorHAnsi"/>
          <w:sz w:val="22"/>
          <w:szCs w:val="22"/>
        </w:rPr>
        <w:t>.</w:t>
      </w:r>
      <w:r w:rsidRPr="00E36207">
        <w:rPr>
          <w:rFonts w:cstheme="minorHAnsi"/>
          <w:sz w:val="22"/>
          <w:szCs w:val="22"/>
        </w:rPr>
        <w:t xml:space="preserve"> </w:t>
      </w:r>
      <w:r w:rsidR="007B1E17" w:rsidRPr="00E36207">
        <w:rPr>
          <w:rFonts w:cstheme="minorHAnsi"/>
          <w:sz w:val="22"/>
          <w:szCs w:val="22"/>
        </w:rPr>
        <w:t>Given the available SSP resources, the participants narrowed down the requests</w:t>
      </w:r>
      <w:r w:rsidR="005A00C0" w:rsidRPr="00E36207">
        <w:rPr>
          <w:rFonts w:cstheme="minorHAnsi"/>
          <w:sz w:val="22"/>
          <w:szCs w:val="22"/>
        </w:rPr>
        <w:t xml:space="preserve"> through a ranking process</w:t>
      </w:r>
      <w:r w:rsidR="00911C92" w:rsidRPr="00E36207">
        <w:rPr>
          <w:rFonts w:cstheme="minorHAnsi"/>
          <w:sz w:val="22"/>
          <w:szCs w:val="22"/>
        </w:rPr>
        <w:t>. The six requests with the highest rankings were referred to the SSP for further work.</w:t>
      </w:r>
    </w:p>
    <w:p w14:paraId="4CAA63BF" w14:textId="7F9F2B4F" w:rsidR="00CA19AC" w:rsidRPr="00E36207" w:rsidRDefault="00911C92" w:rsidP="00506228">
      <w:pPr>
        <w:pStyle w:val="CommentText"/>
        <w:numPr>
          <w:ilvl w:val="0"/>
          <w:numId w:val="15"/>
        </w:numPr>
        <w:ind w:left="0" w:firstLine="0"/>
        <w:jc w:val="both"/>
        <w:rPr>
          <w:rFonts w:cstheme="minorHAnsi"/>
          <w:sz w:val="22"/>
          <w:szCs w:val="22"/>
        </w:rPr>
      </w:pPr>
      <w:r w:rsidRPr="00E36207">
        <w:rPr>
          <w:rFonts w:cstheme="minorHAnsi"/>
          <w:sz w:val="22"/>
          <w:szCs w:val="22"/>
        </w:rPr>
        <w:t xml:space="preserve">The </w:t>
      </w:r>
      <w:r w:rsidR="00CA19AC" w:rsidRPr="00E36207">
        <w:rPr>
          <w:rFonts w:cstheme="minorHAnsi"/>
          <w:b/>
          <w:bCs/>
          <w:sz w:val="22"/>
          <w:szCs w:val="22"/>
        </w:rPr>
        <w:t>Annex</w:t>
      </w:r>
      <w:r w:rsidR="00E110FA">
        <w:rPr>
          <w:rFonts w:cstheme="minorHAnsi"/>
          <w:b/>
          <w:bCs/>
          <w:sz w:val="22"/>
          <w:szCs w:val="22"/>
        </w:rPr>
        <w:t xml:space="preserve"> A</w:t>
      </w:r>
      <w:r w:rsidR="00CA19AC" w:rsidRPr="00E36207">
        <w:rPr>
          <w:rFonts w:cstheme="minorHAnsi"/>
          <w:sz w:val="22"/>
          <w:szCs w:val="22"/>
        </w:rPr>
        <w:t xml:space="preserve"> contains </w:t>
      </w:r>
      <w:r w:rsidR="00726FD2" w:rsidRPr="00E36207">
        <w:rPr>
          <w:rFonts w:cstheme="minorHAnsi"/>
          <w:sz w:val="22"/>
          <w:szCs w:val="22"/>
        </w:rPr>
        <w:t>four</w:t>
      </w:r>
      <w:r w:rsidR="00CA19AC" w:rsidRPr="00E36207">
        <w:rPr>
          <w:rFonts w:cstheme="minorHAnsi"/>
          <w:sz w:val="22"/>
          <w:szCs w:val="22"/>
        </w:rPr>
        <w:t xml:space="preserve"> tables: </w:t>
      </w:r>
    </w:p>
    <w:p w14:paraId="38D336FC" w14:textId="34A80B13" w:rsidR="00CA19AC" w:rsidRPr="00E36207" w:rsidRDefault="00CA19AC" w:rsidP="00506228">
      <w:pPr>
        <w:pStyle w:val="ListParagraph"/>
        <w:numPr>
          <w:ilvl w:val="0"/>
          <w:numId w:val="9"/>
        </w:numPr>
        <w:jc w:val="both"/>
        <w:rPr>
          <w:rFonts w:cstheme="minorHAnsi"/>
        </w:rPr>
      </w:pPr>
      <w:r w:rsidRPr="00E36207">
        <w:rPr>
          <w:rFonts w:cstheme="minorHAnsi"/>
        </w:rPr>
        <w:t>The list of six requests that were ranked and forwarded to SSP.</w:t>
      </w:r>
    </w:p>
    <w:p w14:paraId="2225B963" w14:textId="21390AE4" w:rsidR="00CA19AC" w:rsidRPr="00E36207" w:rsidRDefault="00CA19AC" w:rsidP="00506228">
      <w:pPr>
        <w:pStyle w:val="ListParagraph"/>
        <w:numPr>
          <w:ilvl w:val="0"/>
          <w:numId w:val="9"/>
        </w:numPr>
        <w:jc w:val="both"/>
        <w:rPr>
          <w:rFonts w:cstheme="minorHAnsi"/>
        </w:rPr>
      </w:pPr>
      <w:r w:rsidRPr="00E36207">
        <w:rPr>
          <w:rFonts w:cstheme="minorHAnsi"/>
        </w:rPr>
        <w:t xml:space="preserve">The list of requests </w:t>
      </w:r>
      <w:r w:rsidR="009346A7">
        <w:rPr>
          <w:rFonts w:cstheme="minorHAnsi"/>
        </w:rPr>
        <w:t>that were ranked</w:t>
      </w:r>
      <w:r w:rsidRPr="00E36207">
        <w:rPr>
          <w:rFonts w:cstheme="minorHAnsi"/>
        </w:rPr>
        <w:t xml:space="preserve"> but were not forwarded to the SSP.</w:t>
      </w:r>
    </w:p>
    <w:p w14:paraId="52E1AADC" w14:textId="77777777" w:rsidR="00726FD2" w:rsidRPr="00E36207" w:rsidRDefault="00726FD2" w:rsidP="00506228">
      <w:pPr>
        <w:pStyle w:val="ListParagraph"/>
        <w:numPr>
          <w:ilvl w:val="0"/>
          <w:numId w:val="9"/>
        </w:numPr>
        <w:jc w:val="both"/>
        <w:rPr>
          <w:rFonts w:cstheme="minorHAnsi"/>
        </w:rPr>
      </w:pPr>
      <w:r w:rsidRPr="00E36207">
        <w:rPr>
          <w:rFonts w:cstheme="minorHAnsi"/>
        </w:rPr>
        <w:t>Essential SSP activities prior to WCPFC22.</w:t>
      </w:r>
    </w:p>
    <w:p w14:paraId="6FCADB82" w14:textId="2463A40C" w:rsidR="00911C92" w:rsidRPr="00E36207" w:rsidRDefault="00726FD2" w:rsidP="00506228">
      <w:pPr>
        <w:pStyle w:val="ListParagraph"/>
        <w:numPr>
          <w:ilvl w:val="0"/>
          <w:numId w:val="9"/>
        </w:numPr>
        <w:contextualSpacing w:val="0"/>
        <w:jc w:val="both"/>
        <w:rPr>
          <w:rFonts w:cstheme="minorHAnsi"/>
        </w:rPr>
      </w:pPr>
      <w:r w:rsidRPr="00E36207">
        <w:rPr>
          <w:rFonts w:cstheme="minorHAnsi"/>
        </w:rPr>
        <w:t>Additional Requests to SSP that were removed from ranking will be requested following decisions at WCFPC22.</w:t>
      </w:r>
      <w:r w:rsidR="00911C92" w:rsidRPr="00E36207">
        <w:rPr>
          <w:rFonts w:cstheme="minorHAnsi"/>
        </w:rPr>
        <w:t xml:space="preserve"> </w:t>
      </w:r>
    </w:p>
    <w:p w14:paraId="5EF1E1E7" w14:textId="52FCF09F" w:rsidR="00873709" w:rsidRPr="00E36207" w:rsidRDefault="00873709" w:rsidP="00506228">
      <w:pPr>
        <w:pStyle w:val="CommentText"/>
        <w:numPr>
          <w:ilvl w:val="0"/>
          <w:numId w:val="15"/>
        </w:numPr>
        <w:ind w:left="0" w:firstLine="0"/>
        <w:jc w:val="both"/>
        <w:rPr>
          <w:rFonts w:cstheme="minorHAnsi"/>
          <w:sz w:val="22"/>
          <w:szCs w:val="22"/>
        </w:rPr>
      </w:pPr>
      <w:r w:rsidRPr="00E36207">
        <w:rPr>
          <w:rFonts w:cstheme="minorHAnsi"/>
          <w:sz w:val="22"/>
          <w:szCs w:val="22"/>
        </w:rPr>
        <w:t>The SSP noted for the benefit of participants that there was a potential for confusion arising from the overlap of the naming of HCR last year and this year. The SSP would therefore need to adjust the naming of the HCRs.</w:t>
      </w:r>
    </w:p>
    <w:p w14:paraId="1E438482" w14:textId="1D992452" w:rsidR="00911C92" w:rsidRPr="00E36207" w:rsidRDefault="00911C92" w:rsidP="00506228">
      <w:pPr>
        <w:pStyle w:val="CommentText"/>
        <w:numPr>
          <w:ilvl w:val="0"/>
          <w:numId w:val="15"/>
        </w:numPr>
        <w:ind w:left="0" w:firstLine="0"/>
        <w:jc w:val="both"/>
        <w:rPr>
          <w:rFonts w:cstheme="minorHAnsi"/>
          <w:sz w:val="22"/>
          <w:szCs w:val="22"/>
        </w:rPr>
      </w:pPr>
      <w:r w:rsidRPr="00E36207">
        <w:rPr>
          <w:rFonts w:cstheme="minorHAnsi"/>
          <w:sz w:val="22"/>
          <w:szCs w:val="22"/>
        </w:rPr>
        <w:t xml:space="preserve">Following the SC21 recommendation encouraging the continued application of Open Science principles to produce transparent and reproducible science accessible to all, the SPAMWS recommends that WCPFC22 agree </w:t>
      </w:r>
      <w:r w:rsidR="009346A7">
        <w:rPr>
          <w:rFonts w:cstheme="minorHAnsi"/>
          <w:sz w:val="22"/>
          <w:szCs w:val="22"/>
        </w:rPr>
        <w:t>that</w:t>
      </w:r>
      <w:r w:rsidR="009346A7" w:rsidRPr="00E36207">
        <w:rPr>
          <w:rFonts w:cstheme="minorHAnsi"/>
          <w:sz w:val="22"/>
          <w:szCs w:val="22"/>
        </w:rPr>
        <w:t xml:space="preserve"> </w:t>
      </w:r>
      <w:r w:rsidRPr="00E36207">
        <w:rPr>
          <w:rFonts w:cstheme="minorHAnsi"/>
          <w:sz w:val="22"/>
          <w:szCs w:val="22"/>
        </w:rPr>
        <w:t>all outputs from the SSP</w:t>
      </w:r>
      <w:r w:rsidR="005A00C0" w:rsidRPr="00E36207">
        <w:rPr>
          <w:rFonts w:cstheme="minorHAnsi"/>
          <w:sz w:val="22"/>
          <w:szCs w:val="22"/>
        </w:rPr>
        <w:t xml:space="preserve"> </w:t>
      </w:r>
      <w:r w:rsidRPr="00E36207">
        <w:rPr>
          <w:rFonts w:cstheme="minorHAnsi"/>
          <w:sz w:val="22"/>
          <w:szCs w:val="22"/>
        </w:rPr>
        <w:t>MP evaluations be made publicly available on a website or GitHub repository.</w:t>
      </w:r>
    </w:p>
    <w:p w14:paraId="1C72C2E4" w14:textId="77777777" w:rsidR="00FB3B7E" w:rsidRPr="00E36207" w:rsidRDefault="00FD15A0" w:rsidP="00DA58A6">
      <w:pPr>
        <w:pStyle w:val="Heading2"/>
        <w:numPr>
          <w:ilvl w:val="0"/>
          <w:numId w:val="13"/>
        </w:numPr>
        <w:spacing w:before="360" w:after="240"/>
        <w:ind w:hanging="720"/>
        <w:rPr>
          <w:rFonts w:asciiTheme="minorHAnsi" w:hAnsiTheme="minorHAnsi" w:cstheme="minorHAnsi"/>
          <w:b/>
          <w:bCs/>
          <w:color w:val="auto"/>
          <w:sz w:val="24"/>
          <w:szCs w:val="24"/>
        </w:rPr>
      </w:pPr>
      <w:bookmarkStart w:id="6" w:name="_Toc208768280"/>
      <w:r w:rsidRPr="00E36207">
        <w:rPr>
          <w:rFonts w:asciiTheme="minorHAnsi" w:hAnsiTheme="minorHAnsi" w:cstheme="minorHAnsi"/>
          <w:b/>
          <w:bCs/>
          <w:color w:val="auto"/>
          <w:sz w:val="24"/>
          <w:szCs w:val="24"/>
        </w:rPr>
        <w:t>MANAGEMENT ARRANGEMENTS FOR IMPLEMENTING THE SPA MP</w:t>
      </w:r>
      <w:bookmarkEnd w:id="6"/>
      <w:r w:rsidRPr="00E36207">
        <w:rPr>
          <w:rFonts w:asciiTheme="minorHAnsi" w:hAnsiTheme="minorHAnsi" w:cstheme="minorHAnsi"/>
          <w:b/>
          <w:bCs/>
          <w:color w:val="auto"/>
          <w:sz w:val="24"/>
          <w:szCs w:val="24"/>
        </w:rPr>
        <w:t xml:space="preserve"> </w:t>
      </w:r>
    </w:p>
    <w:p w14:paraId="0195BA5F" w14:textId="17132DF7" w:rsidR="00C159BE" w:rsidRPr="00E36207" w:rsidRDefault="00873131" w:rsidP="00506228">
      <w:pPr>
        <w:pStyle w:val="CommentText"/>
        <w:numPr>
          <w:ilvl w:val="0"/>
          <w:numId w:val="15"/>
        </w:numPr>
        <w:ind w:left="0" w:firstLine="0"/>
        <w:jc w:val="both"/>
        <w:rPr>
          <w:rFonts w:cstheme="minorHAnsi"/>
          <w:sz w:val="22"/>
          <w:szCs w:val="22"/>
        </w:rPr>
      </w:pPr>
      <w:r w:rsidRPr="00E36207">
        <w:rPr>
          <w:rFonts w:cstheme="minorHAnsi"/>
          <w:sz w:val="22"/>
          <w:szCs w:val="22"/>
        </w:rPr>
        <w:t>The South Pacific Group (SPG) explained that the draft Outline for a South Pacific Albacore CMM that Implements the Management Procedure (WCPFC21-2024-DP12_Rev01)</w:t>
      </w:r>
      <w:r w:rsidR="009346A7">
        <w:rPr>
          <w:rFonts w:cstheme="minorHAnsi"/>
          <w:sz w:val="22"/>
          <w:szCs w:val="22"/>
        </w:rPr>
        <w:t>,</w:t>
      </w:r>
      <w:r w:rsidR="0059728F" w:rsidRPr="00E36207">
        <w:rPr>
          <w:rFonts w:cstheme="minorHAnsi"/>
          <w:sz w:val="22"/>
          <w:szCs w:val="22"/>
        </w:rPr>
        <w:t xml:space="preserve"> which was discussed at WCPFC21</w:t>
      </w:r>
      <w:r w:rsidR="009346A7">
        <w:rPr>
          <w:rFonts w:cstheme="minorHAnsi"/>
          <w:sz w:val="22"/>
          <w:szCs w:val="22"/>
        </w:rPr>
        <w:t>,</w:t>
      </w:r>
      <w:r w:rsidRPr="00E36207">
        <w:rPr>
          <w:rFonts w:cstheme="minorHAnsi"/>
          <w:sz w:val="22"/>
          <w:szCs w:val="22"/>
        </w:rPr>
        <w:t xml:space="preserve"> outlines principles for a draft CMM. </w:t>
      </w:r>
      <w:r w:rsidR="00C159BE" w:rsidRPr="00E36207">
        <w:rPr>
          <w:rFonts w:cstheme="minorHAnsi"/>
          <w:sz w:val="22"/>
          <w:szCs w:val="22"/>
        </w:rPr>
        <w:t>A proposal was expected to be presented to WCPFC22.</w:t>
      </w:r>
    </w:p>
    <w:p w14:paraId="7EDC67CA" w14:textId="77777777" w:rsidR="00C159BE" w:rsidRPr="00E36207" w:rsidRDefault="00C159BE" w:rsidP="00506228">
      <w:pPr>
        <w:pStyle w:val="CommentText"/>
        <w:numPr>
          <w:ilvl w:val="0"/>
          <w:numId w:val="15"/>
        </w:numPr>
        <w:ind w:left="0" w:firstLine="0"/>
        <w:jc w:val="both"/>
        <w:rPr>
          <w:rFonts w:cstheme="minorHAnsi"/>
          <w:sz w:val="22"/>
          <w:szCs w:val="22"/>
        </w:rPr>
      </w:pPr>
      <w:r w:rsidRPr="00E36207">
        <w:rPr>
          <w:rFonts w:cstheme="minorHAnsi"/>
          <w:sz w:val="22"/>
          <w:szCs w:val="22"/>
        </w:rPr>
        <w:t xml:space="preserve">Participants welcomed the progress made in the development of the management procedure for SPA and the accompanying implementing arrangements. </w:t>
      </w:r>
    </w:p>
    <w:p w14:paraId="56E2DD51" w14:textId="55D71DD8" w:rsidR="007D731E" w:rsidRPr="00E36207" w:rsidRDefault="00C159BE" w:rsidP="00506228">
      <w:pPr>
        <w:pStyle w:val="ListParagraph"/>
        <w:numPr>
          <w:ilvl w:val="0"/>
          <w:numId w:val="5"/>
        </w:numPr>
        <w:ind w:left="1281" w:hanging="357"/>
        <w:jc w:val="both"/>
        <w:rPr>
          <w:rFonts w:cstheme="minorHAnsi"/>
        </w:rPr>
      </w:pPr>
      <w:r w:rsidRPr="00E36207">
        <w:rPr>
          <w:rFonts w:cstheme="minorHAnsi"/>
        </w:rPr>
        <w:t xml:space="preserve">Some participants noted the importance of </w:t>
      </w:r>
      <w:r w:rsidR="00EF1ACB" w:rsidRPr="00E36207">
        <w:rPr>
          <w:rFonts w:cstheme="minorHAnsi"/>
        </w:rPr>
        <w:t>adopting</w:t>
      </w:r>
      <w:r w:rsidRPr="00E36207">
        <w:rPr>
          <w:rFonts w:cstheme="minorHAnsi"/>
        </w:rPr>
        <w:t xml:space="preserve"> zone-based management arrangements</w:t>
      </w:r>
      <w:r w:rsidR="00D864C9" w:rsidRPr="00E36207">
        <w:rPr>
          <w:rFonts w:cstheme="minorHAnsi"/>
        </w:rPr>
        <w:t xml:space="preserve"> and</w:t>
      </w:r>
      <w:r w:rsidRPr="00E36207">
        <w:rPr>
          <w:rFonts w:cstheme="minorHAnsi"/>
        </w:rPr>
        <w:t xml:space="preserve"> </w:t>
      </w:r>
      <w:r w:rsidR="00D864C9" w:rsidRPr="00E36207">
        <w:rPr>
          <w:rFonts w:cstheme="minorHAnsi"/>
        </w:rPr>
        <w:t>ensuring compatible management measures for the high seas. T</w:t>
      </w:r>
      <w:r w:rsidR="00873131" w:rsidRPr="00E36207">
        <w:rPr>
          <w:rFonts w:cstheme="minorHAnsi"/>
        </w:rPr>
        <w:t xml:space="preserve">he importance of </w:t>
      </w:r>
      <w:r w:rsidR="00D864C9" w:rsidRPr="00E36207">
        <w:rPr>
          <w:rFonts w:cstheme="minorHAnsi"/>
        </w:rPr>
        <w:t xml:space="preserve">the </w:t>
      </w:r>
      <w:r w:rsidR="00873131" w:rsidRPr="00E36207">
        <w:rPr>
          <w:rFonts w:cstheme="minorHAnsi"/>
        </w:rPr>
        <w:t xml:space="preserve">recognition of the rights </w:t>
      </w:r>
      <w:r w:rsidR="00D864C9" w:rsidRPr="00E36207">
        <w:rPr>
          <w:rFonts w:cstheme="minorHAnsi"/>
        </w:rPr>
        <w:t xml:space="preserve">and interests </w:t>
      </w:r>
      <w:r w:rsidR="00873131" w:rsidRPr="00E36207">
        <w:rPr>
          <w:rFonts w:cstheme="minorHAnsi"/>
        </w:rPr>
        <w:t>of coastal States</w:t>
      </w:r>
      <w:r w:rsidR="00D864C9" w:rsidRPr="00E36207">
        <w:rPr>
          <w:rFonts w:cstheme="minorHAnsi"/>
        </w:rPr>
        <w:t>,</w:t>
      </w:r>
      <w:r w:rsidR="00873131" w:rsidRPr="00E36207">
        <w:rPr>
          <w:rFonts w:cstheme="minorHAnsi"/>
        </w:rPr>
        <w:t xml:space="preserve"> </w:t>
      </w:r>
      <w:r w:rsidR="00D864C9" w:rsidRPr="00E36207">
        <w:rPr>
          <w:rFonts w:cstheme="minorHAnsi"/>
        </w:rPr>
        <w:t>the particular importance of albacore to many SIDS and territories</w:t>
      </w:r>
      <w:r w:rsidR="009346A7">
        <w:rPr>
          <w:rFonts w:cstheme="minorHAnsi"/>
        </w:rPr>
        <w:t>,</w:t>
      </w:r>
      <w:r w:rsidR="00D864C9" w:rsidRPr="00E36207">
        <w:rPr>
          <w:rFonts w:cstheme="minorHAnsi"/>
        </w:rPr>
        <w:t xml:space="preserve"> </w:t>
      </w:r>
      <w:r w:rsidR="00873131" w:rsidRPr="00E36207">
        <w:rPr>
          <w:rFonts w:cstheme="minorHAnsi"/>
        </w:rPr>
        <w:t>and the special requirements of SIDS</w:t>
      </w:r>
      <w:r w:rsidR="00D864C9" w:rsidRPr="00E36207">
        <w:rPr>
          <w:rFonts w:cstheme="minorHAnsi"/>
        </w:rPr>
        <w:t xml:space="preserve"> </w:t>
      </w:r>
      <w:r w:rsidR="009346A7">
        <w:rPr>
          <w:rFonts w:cstheme="minorHAnsi"/>
        </w:rPr>
        <w:t>were</w:t>
      </w:r>
      <w:r w:rsidR="009346A7" w:rsidRPr="00E36207">
        <w:rPr>
          <w:rFonts w:cstheme="minorHAnsi"/>
        </w:rPr>
        <w:t xml:space="preserve"> </w:t>
      </w:r>
      <w:r w:rsidR="00D864C9" w:rsidRPr="00E36207">
        <w:rPr>
          <w:rFonts w:cstheme="minorHAnsi"/>
        </w:rPr>
        <w:t>emphasised</w:t>
      </w:r>
      <w:r w:rsidR="00873131" w:rsidRPr="00E36207">
        <w:rPr>
          <w:rFonts w:cstheme="minorHAnsi"/>
        </w:rPr>
        <w:t>.</w:t>
      </w:r>
    </w:p>
    <w:p w14:paraId="2EAE8B02" w14:textId="4354407D" w:rsidR="00D864C9" w:rsidRPr="00E36207" w:rsidRDefault="00D864C9" w:rsidP="00506228">
      <w:pPr>
        <w:pStyle w:val="ListParagraph"/>
        <w:numPr>
          <w:ilvl w:val="0"/>
          <w:numId w:val="5"/>
        </w:numPr>
        <w:ind w:left="1281" w:hanging="357"/>
        <w:jc w:val="both"/>
        <w:rPr>
          <w:rFonts w:cstheme="minorHAnsi"/>
        </w:rPr>
      </w:pPr>
      <w:r w:rsidRPr="00E36207">
        <w:rPr>
          <w:rFonts w:cstheme="minorHAnsi"/>
        </w:rPr>
        <w:t xml:space="preserve">FFA members noted that they had recently agreed at the annual FFC Ministerial meeting a binding agreement on a proportional in-zone allocation for the 15 Members catching South </w:t>
      </w:r>
      <w:r w:rsidRPr="00E36207">
        <w:rPr>
          <w:rFonts w:cstheme="minorHAnsi"/>
        </w:rPr>
        <w:lastRenderedPageBreak/>
        <w:t>Pacific albacore south of the equator. They propose a two-step approach to allocation: agreement on an overall proportional split between EEZ and high seas areas; then a proportional allocation of the high seas component.</w:t>
      </w:r>
    </w:p>
    <w:p w14:paraId="688775D6" w14:textId="73484988" w:rsidR="00D864C9" w:rsidRPr="00E36207" w:rsidRDefault="007D731E" w:rsidP="00506228">
      <w:pPr>
        <w:pStyle w:val="ListParagraph"/>
        <w:numPr>
          <w:ilvl w:val="0"/>
          <w:numId w:val="5"/>
        </w:numPr>
        <w:ind w:left="1281" w:hanging="357"/>
        <w:jc w:val="both"/>
        <w:rPr>
          <w:rFonts w:cstheme="minorHAnsi"/>
        </w:rPr>
      </w:pPr>
      <w:r w:rsidRPr="00E36207">
        <w:rPr>
          <w:rFonts w:cstheme="minorHAnsi"/>
        </w:rPr>
        <w:t>Some participants noted that an implement</w:t>
      </w:r>
      <w:r w:rsidR="0026311F" w:rsidRPr="00E36207">
        <w:rPr>
          <w:rFonts w:cstheme="minorHAnsi"/>
        </w:rPr>
        <w:t>ing</w:t>
      </w:r>
      <w:r w:rsidRPr="00E36207">
        <w:rPr>
          <w:rFonts w:cstheme="minorHAnsi"/>
        </w:rPr>
        <w:t xml:space="preserve"> arrangement for SPA should encompass zone-based limits and accompanying high seas limits; provide for both catch and effort-based management; </w:t>
      </w:r>
      <w:r w:rsidR="000A31BB">
        <w:rPr>
          <w:rFonts w:cstheme="minorHAnsi"/>
        </w:rPr>
        <w:t>strengthen coastal State rights; provide flexibility to account for variability in the SPA fishery; and strengthen</w:t>
      </w:r>
      <w:r w:rsidRPr="00E36207">
        <w:rPr>
          <w:rFonts w:cstheme="minorHAnsi"/>
        </w:rPr>
        <w:t xml:space="preserve"> </w:t>
      </w:r>
      <w:r w:rsidR="00D864C9" w:rsidRPr="00E36207">
        <w:rPr>
          <w:rFonts w:cstheme="minorHAnsi"/>
        </w:rPr>
        <w:t>monitoring in regional longline fisheries</w:t>
      </w:r>
      <w:r w:rsidR="009346A7">
        <w:rPr>
          <w:rFonts w:cstheme="minorHAnsi"/>
        </w:rPr>
        <w:t>,</w:t>
      </w:r>
      <w:r w:rsidR="00D864C9" w:rsidRPr="00E36207">
        <w:rPr>
          <w:rFonts w:cstheme="minorHAnsi"/>
        </w:rPr>
        <w:t xml:space="preserve"> including through electronic monitoring</w:t>
      </w:r>
      <w:r w:rsidRPr="00E36207">
        <w:rPr>
          <w:rFonts w:cstheme="minorHAnsi"/>
        </w:rPr>
        <w:t>.</w:t>
      </w:r>
    </w:p>
    <w:p w14:paraId="5D1AC45D" w14:textId="3F710D1D" w:rsidR="007D731E" w:rsidRPr="00E36207" w:rsidRDefault="007D731E" w:rsidP="00506228">
      <w:pPr>
        <w:pStyle w:val="ListParagraph"/>
        <w:numPr>
          <w:ilvl w:val="0"/>
          <w:numId w:val="5"/>
        </w:numPr>
        <w:ind w:left="1281" w:hanging="357"/>
        <w:jc w:val="both"/>
        <w:rPr>
          <w:rFonts w:cstheme="minorHAnsi"/>
        </w:rPr>
      </w:pPr>
      <w:r w:rsidRPr="00E36207">
        <w:rPr>
          <w:rFonts w:cstheme="minorHAnsi"/>
        </w:rPr>
        <w:t>Some participants noted the importance of progressing allocation and referred to the key allocation criteria in Article 10.3.d, 10.3.g and 10.3.j in the WCPF Convention</w:t>
      </w:r>
      <w:r w:rsidR="009346A7">
        <w:rPr>
          <w:rFonts w:cstheme="minorHAnsi"/>
        </w:rPr>
        <w:t>, as well as Article 30,</w:t>
      </w:r>
      <w:r w:rsidRPr="00E36207">
        <w:rPr>
          <w:rFonts w:cstheme="minorHAnsi"/>
        </w:rPr>
        <w:t xml:space="preserve"> which gives full recognition of requirements to the special requirements of SIDS.</w:t>
      </w:r>
    </w:p>
    <w:p w14:paraId="683C48F2" w14:textId="6F10D4D1" w:rsidR="00873131" w:rsidRPr="00E36207" w:rsidRDefault="007D731E" w:rsidP="00506228">
      <w:pPr>
        <w:pStyle w:val="ListParagraph"/>
        <w:numPr>
          <w:ilvl w:val="0"/>
          <w:numId w:val="5"/>
        </w:numPr>
        <w:jc w:val="both"/>
        <w:rPr>
          <w:rFonts w:cstheme="minorHAnsi"/>
        </w:rPr>
      </w:pPr>
      <w:r w:rsidRPr="00E36207">
        <w:rPr>
          <w:rFonts w:cstheme="minorHAnsi"/>
        </w:rPr>
        <w:t xml:space="preserve">Participants expressed the desire </w:t>
      </w:r>
      <w:r w:rsidR="00D864C9" w:rsidRPr="00E36207">
        <w:rPr>
          <w:rFonts w:cstheme="minorHAnsi"/>
        </w:rPr>
        <w:t xml:space="preserve">to engage with others </w:t>
      </w:r>
      <w:r w:rsidRPr="00E36207">
        <w:rPr>
          <w:rFonts w:cstheme="minorHAnsi"/>
        </w:rPr>
        <w:t xml:space="preserve">in the </w:t>
      </w:r>
      <w:r w:rsidR="000A31BB">
        <w:rPr>
          <w:rFonts w:cstheme="minorHAnsi"/>
        </w:rPr>
        <w:t>lead-up</w:t>
      </w:r>
      <w:r w:rsidRPr="00E36207">
        <w:rPr>
          <w:rFonts w:cstheme="minorHAnsi"/>
        </w:rPr>
        <w:t xml:space="preserve"> to WPCFC22 to progress the implementation of the SPA MP, and emphasised the importance of progress on this issue. </w:t>
      </w:r>
    </w:p>
    <w:p w14:paraId="7764C043" w14:textId="77777777" w:rsidR="00FB3B7E" w:rsidRPr="00E36207" w:rsidRDefault="00FD15A0" w:rsidP="00DA58A6">
      <w:pPr>
        <w:pStyle w:val="Heading2"/>
        <w:numPr>
          <w:ilvl w:val="0"/>
          <w:numId w:val="13"/>
        </w:numPr>
        <w:spacing w:before="360" w:after="240"/>
        <w:ind w:hanging="720"/>
        <w:rPr>
          <w:rFonts w:asciiTheme="minorHAnsi" w:hAnsiTheme="minorHAnsi" w:cstheme="minorHAnsi"/>
          <w:b/>
          <w:bCs/>
          <w:color w:val="auto"/>
          <w:sz w:val="24"/>
          <w:szCs w:val="24"/>
        </w:rPr>
      </w:pPr>
      <w:bookmarkStart w:id="7" w:name="_Toc208768281"/>
      <w:r w:rsidRPr="00E36207">
        <w:rPr>
          <w:rFonts w:asciiTheme="minorHAnsi" w:hAnsiTheme="minorHAnsi" w:cstheme="minorHAnsi"/>
          <w:b/>
          <w:bCs/>
          <w:color w:val="auto"/>
          <w:sz w:val="24"/>
          <w:szCs w:val="24"/>
        </w:rPr>
        <w:t>CONSIDERATION OF MIXED FISHERY ISSUES AND COMPATIBILITY BETWEEN BET AND SPA MANAGEMENT PROCEDURES</w:t>
      </w:r>
      <w:bookmarkEnd w:id="7"/>
      <w:r w:rsidRPr="00E36207">
        <w:rPr>
          <w:rFonts w:asciiTheme="minorHAnsi" w:hAnsiTheme="minorHAnsi" w:cstheme="minorHAnsi"/>
          <w:b/>
          <w:bCs/>
          <w:color w:val="auto"/>
          <w:sz w:val="24"/>
          <w:szCs w:val="24"/>
        </w:rPr>
        <w:t xml:space="preserve"> </w:t>
      </w:r>
    </w:p>
    <w:p w14:paraId="56D751E4" w14:textId="53A2AA36" w:rsidR="00873131" w:rsidRPr="00E36207" w:rsidRDefault="00873131" w:rsidP="00506228">
      <w:pPr>
        <w:pStyle w:val="CommentText"/>
        <w:numPr>
          <w:ilvl w:val="0"/>
          <w:numId w:val="15"/>
        </w:numPr>
        <w:ind w:left="0" w:firstLine="0"/>
        <w:jc w:val="both"/>
        <w:rPr>
          <w:rFonts w:cstheme="minorHAnsi"/>
          <w:sz w:val="22"/>
          <w:szCs w:val="22"/>
        </w:rPr>
      </w:pPr>
      <w:bookmarkStart w:id="8" w:name="_Hlk208579114"/>
      <w:r w:rsidRPr="00E36207">
        <w:rPr>
          <w:rFonts w:cstheme="minorHAnsi"/>
          <w:sz w:val="22"/>
          <w:szCs w:val="22"/>
        </w:rPr>
        <w:t xml:space="preserve">The SSP provided a presentation on mixed fishery issues, where the same fleets target bigeye, yellowfin, and albacore. </w:t>
      </w:r>
      <w:r w:rsidR="00726FD2" w:rsidRPr="00E36207">
        <w:rPr>
          <w:rFonts w:cstheme="minorHAnsi"/>
          <w:sz w:val="22"/>
          <w:szCs w:val="22"/>
        </w:rPr>
        <w:t xml:space="preserve">The presentation considered the overlap of the tropical longline fishery and the </w:t>
      </w:r>
      <w:r w:rsidR="00EF1ACB" w:rsidRPr="00E36207">
        <w:rPr>
          <w:rFonts w:cstheme="minorHAnsi"/>
          <w:sz w:val="22"/>
          <w:szCs w:val="22"/>
        </w:rPr>
        <w:t>S</w:t>
      </w:r>
      <w:r w:rsidR="00726FD2" w:rsidRPr="00E36207">
        <w:rPr>
          <w:rFonts w:cstheme="minorHAnsi"/>
          <w:sz w:val="22"/>
          <w:szCs w:val="22"/>
        </w:rPr>
        <w:t xml:space="preserve">outh Pacific albacore longline fishery, the spatial separation between which indicates that SPA and </w:t>
      </w:r>
      <w:r w:rsidR="00903514" w:rsidRPr="00E36207">
        <w:rPr>
          <w:rFonts w:cstheme="minorHAnsi"/>
          <w:sz w:val="22"/>
          <w:szCs w:val="22"/>
        </w:rPr>
        <w:t xml:space="preserve">bigeye </w:t>
      </w:r>
      <w:r w:rsidR="00726FD2" w:rsidRPr="00E36207">
        <w:rPr>
          <w:rFonts w:cstheme="minorHAnsi"/>
          <w:sz w:val="22"/>
          <w:szCs w:val="22"/>
        </w:rPr>
        <w:t xml:space="preserve">objectives can be achieved independently, and the implications for yellowfin. </w:t>
      </w:r>
    </w:p>
    <w:p w14:paraId="1057C8C9" w14:textId="1915D618" w:rsidR="00873131" w:rsidRPr="00E36207" w:rsidRDefault="00873131" w:rsidP="00506228">
      <w:pPr>
        <w:pStyle w:val="ListParagraph"/>
        <w:numPr>
          <w:ilvl w:val="0"/>
          <w:numId w:val="5"/>
        </w:numPr>
        <w:jc w:val="both"/>
        <w:rPr>
          <w:rFonts w:cstheme="minorHAnsi"/>
        </w:rPr>
      </w:pPr>
      <w:r w:rsidRPr="00E36207">
        <w:rPr>
          <w:rFonts w:cstheme="minorHAnsi"/>
        </w:rPr>
        <w:t xml:space="preserve">Some participants supported the separation </w:t>
      </w:r>
      <w:r w:rsidR="00726FD2" w:rsidRPr="00E36207">
        <w:rPr>
          <w:rFonts w:cstheme="minorHAnsi"/>
        </w:rPr>
        <w:t xml:space="preserve">of the tropical longline from the SPA longline fishery. As </w:t>
      </w:r>
      <w:r w:rsidRPr="00E36207">
        <w:rPr>
          <w:rFonts w:cstheme="minorHAnsi"/>
        </w:rPr>
        <w:t>the great majority of albacore catch is taken south of 10 degrees South</w:t>
      </w:r>
      <w:r w:rsidR="00726FD2" w:rsidRPr="00E36207">
        <w:rPr>
          <w:rFonts w:cstheme="minorHAnsi"/>
        </w:rPr>
        <w:t xml:space="preserve"> and the southern longline fishery has a limited impact on the bigeye stock, the management of SPA can be achieved through the MP.</w:t>
      </w:r>
    </w:p>
    <w:p w14:paraId="58567DAE" w14:textId="6FB4F1E3" w:rsidR="008A6784" w:rsidRPr="00E36207" w:rsidRDefault="00726FD2" w:rsidP="00506228">
      <w:pPr>
        <w:pStyle w:val="ListParagraph"/>
        <w:numPr>
          <w:ilvl w:val="0"/>
          <w:numId w:val="5"/>
        </w:numPr>
        <w:jc w:val="both"/>
        <w:rPr>
          <w:rFonts w:cstheme="minorHAnsi"/>
        </w:rPr>
      </w:pPr>
      <w:r w:rsidRPr="00E36207">
        <w:rPr>
          <w:rFonts w:cstheme="minorHAnsi"/>
        </w:rPr>
        <w:t xml:space="preserve">There was also </w:t>
      </w:r>
      <w:r w:rsidR="00873131" w:rsidRPr="00E36207">
        <w:rPr>
          <w:rFonts w:cstheme="minorHAnsi"/>
        </w:rPr>
        <w:t xml:space="preserve">concern that </w:t>
      </w:r>
      <w:r w:rsidR="008A6784" w:rsidRPr="00E36207">
        <w:rPr>
          <w:rFonts w:cstheme="minorHAnsi"/>
        </w:rPr>
        <w:t xml:space="preserve">the mixed fishery framework was a new concept and the Commission had not taken a decision on it. As this </w:t>
      </w:r>
      <w:r w:rsidR="000A31BB">
        <w:rPr>
          <w:rFonts w:cstheme="minorHAnsi"/>
        </w:rPr>
        <w:t xml:space="preserve">is </w:t>
      </w:r>
      <w:r w:rsidR="008A6784" w:rsidRPr="00E36207">
        <w:rPr>
          <w:rFonts w:cstheme="minorHAnsi"/>
        </w:rPr>
        <w:t xml:space="preserve">a workshop for SPA MP, it was not appropriate to discuss bigeye and yellowfin. </w:t>
      </w:r>
    </w:p>
    <w:p w14:paraId="749A4F43" w14:textId="73C15A79" w:rsidR="008A6784" w:rsidRPr="00E36207" w:rsidRDefault="008A6784" w:rsidP="00506228">
      <w:pPr>
        <w:pStyle w:val="ListParagraph"/>
        <w:numPr>
          <w:ilvl w:val="0"/>
          <w:numId w:val="5"/>
        </w:numPr>
        <w:jc w:val="both"/>
        <w:rPr>
          <w:rFonts w:cstheme="minorHAnsi"/>
        </w:rPr>
      </w:pPr>
      <w:r w:rsidRPr="00E36207">
        <w:rPr>
          <w:rFonts w:cstheme="minorHAnsi"/>
        </w:rPr>
        <w:t xml:space="preserve">In response to a question, the SSP noted that </w:t>
      </w:r>
      <w:r w:rsidR="00903514" w:rsidRPr="00E36207">
        <w:rPr>
          <w:rFonts w:cstheme="minorHAnsi"/>
        </w:rPr>
        <w:t>recently</w:t>
      </w:r>
      <w:r w:rsidR="000A31BB">
        <w:rPr>
          <w:rFonts w:cstheme="minorHAnsi"/>
        </w:rPr>
        <w:t>,</w:t>
      </w:r>
      <w:r w:rsidRPr="00E36207">
        <w:rPr>
          <w:rFonts w:cstheme="minorHAnsi"/>
        </w:rPr>
        <w:t xml:space="preserve"> 5% of </w:t>
      </w:r>
      <w:r w:rsidR="00903514" w:rsidRPr="00E36207">
        <w:rPr>
          <w:rFonts w:cstheme="minorHAnsi"/>
        </w:rPr>
        <w:t xml:space="preserve">the </w:t>
      </w:r>
      <w:r w:rsidRPr="00E36207">
        <w:rPr>
          <w:rFonts w:cstheme="minorHAnsi"/>
        </w:rPr>
        <w:t xml:space="preserve">bigeye </w:t>
      </w:r>
      <w:r w:rsidR="00903514" w:rsidRPr="00E36207">
        <w:rPr>
          <w:rFonts w:cstheme="minorHAnsi"/>
        </w:rPr>
        <w:t>longline catch had been</w:t>
      </w:r>
      <w:r w:rsidRPr="00E36207">
        <w:rPr>
          <w:rFonts w:cstheme="minorHAnsi"/>
        </w:rPr>
        <w:t xml:space="preserve"> taken </w:t>
      </w:r>
      <w:r w:rsidR="00334CDE" w:rsidRPr="00E36207">
        <w:rPr>
          <w:rFonts w:cstheme="minorHAnsi"/>
        </w:rPr>
        <w:t>in the region</w:t>
      </w:r>
      <w:r w:rsidR="0026311F" w:rsidRPr="00E36207">
        <w:rPr>
          <w:rFonts w:cstheme="minorHAnsi"/>
        </w:rPr>
        <w:t xml:space="preserve"> </w:t>
      </w:r>
      <w:r w:rsidR="00903514" w:rsidRPr="00E36207">
        <w:rPr>
          <w:rFonts w:cstheme="minorHAnsi"/>
        </w:rPr>
        <w:t xml:space="preserve">south of </w:t>
      </w:r>
      <w:r w:rsidRPr="00E36207">
        <w:rPr>
          <w:rFonts w:cstheme="minorHAnsi"/>
        </w:rPr>
        <w:t>10</w:t>
      </w:r>
      <w:r w:rsidR="00903514" w:rsidRPr="00E36207">
        <w:rPr>
          <w:rFonts w:cstheme="minorHAnsi"/>
        </w:rPr>
        <w:t>°</w:t>
      </w:r>
      <w:r w:rsidRPr="00E36207">
        <w:rPr>
          <w:rFonts w:cstheme="minorHAnsi"/>
        </w:rPr>
        <w:t xml:space="preserve"> South</w:t>
      </w:r>
      <w:r w:rsidR="00903514" w:rsidRPr="00E36207">
        <w:rPr>
          <w:rFonts w:cstheme="minorHAnsi"/>
        </w:rPr>
        <w:t>. Under the SPA MP</w:t>
      </w:r>
      <w:r w:rsidRPr="00E36207">
        <w:rPr>
          <w:rFonts w:cstheme="minorHAnsi"/>
        </w:rPr>
        <w:t xml:space="preserve">, the </w:t>
      </w:r>
      <w:r w:rsidR="00903514" w:rsidRPr="00E36207">
        <w:rPr>
          <w:rFonts w:cstheme="minorHAnsi"/>
        </w:rPr>
        <w:t xml:space="preserve">bigeye </w:t>
      </w:r>
      <w:r w:rsidRPr="00E36207">
        <w:rPr>
          <w:rFonts w:cstheme="minorHAnsi"/>
        </w:rPr>
        <w:t xml:space="preserve">catch </w:t>
      </w:r>
      <w:r w:rsidR="00903514" w:rsidRPr="00E36207">
        <w:rPr>
          <w:rFonts w:cstheme="minorHAnsi"/>
        </w:rPr>
        <w:t xml:space="preserve">in that area </w:t>
      </w:r>
      <w:r w:rsidRPr="00E36207">
        <w:rPr>
          <w:rFonts w:cstheme="minorHAnsi"/>
        </w:rPr>
        <w:t xml:space="preserve">would be </w:t>
      </w:r>
      <w:r w:rsidR="00903514" w:rsidRPr="00E36207">
        <w:rPr>
          <w:rFonts w:cstheme="minorHAnsi"/>
        </w:rPr>
        <w:t>defined through</w:t>
      </w:r>
      <w:r w:rsidRPr="00E36207">
        <w:rPr>
          <w:rFonts w:cstheme="minorHAnsi"/>
        </w:rPr>
        <w:t xml:space="preserve"> th</w:t>
      </w:r>
      <w:r w:rsidR="00903514" w:rsidRPr="00E36207">
        <w:rPr>
          <w:rFonts w:cstheme="minorHAnsi"/>
        </w:rPr>
        <w:t>at</w:t>
      </w:r>
      <w:r w:rsidRPr="00E36207">
        <w:rPr>
          <w:rFonts w:cstheme="minorHAnsi"/>
        </w:rPr>
        <w:t xml:space="preserve"> SPA MP</w:t>
      </w:r>
      <w:r w:rsidR="00903514" w:rsidRPr="00E36207">
        <w:rPr>
          <w:rFonts w:cstheme="minorHAnsi"/>
        </w:rPr>
        <w:t xml:space="preserve"> within the mixed fishery framework</w:t>
      </w:r>
      <w:r w:rsidRPr="00E36207">
        <w:rPr>
          <w:rFonts w:cstheme="minorHAnsi"/>
        </w:rPr>
        <w:t>.</w:t>
      </w:r>
    </w:p>
    <w:p w14:paraId="7EE75FA6" w14:textId="77777777" w:rsidR="00FB3B7E" w:rsidRPr="00E36207" w:rsidRDefault="00FD15A0" w:rsidP="00DA58A6">
      <w:pPr>
        <w:pStyle w:val="Heading2"/>
        <w:numPr>
          <w:ilvl w:val="0"/>
          <w:numId w:val="13"/>
        </w:numPr>
        <w:spacing w:before="360" w:after="240"/>
        <w:ind w:hanging="720"/>
        <w:rPr>
          <w:rFonts w:asciiTheme="minorHAnsi" w:hAnsiTheme="minorHAnsi" w:cstheme="minorHAnsi"/>
          <w:b/>
          <w:bCs/>
          <w:color w:val="auto"/>
          <w:sz w:val="24"/>
          <w:szCs w:val="24"/>
        </w:rPr>
      </w:pPr>
      <w:bookmarkStart w:id="9" w:name="_Toc208768282"/>
      <w:bookmarkEnd w:id="8"/>
      <w:r w:rsidRPr="00E36207">
        <w:rPr>
          <w:rFonts w:asciiTheme="minorHAnsi" w:hAnsiTheme="minorHAnsi" w:cstheme="minorHAnsi"/>
          <w:b/>
          <w:bCs/>
          <w:color w:val="auto"/>
          <w:sz w:val="24"/>
          <w:szCs w:val="24"/>
        </w:rPr>
        <w:t>REVIEW OF OUTSTANDING ISSUES AND WORKPLAN</w:t>
      </w:r>
      <w:bookmarkEnd w:id="9"/>
      <w:r w:rsidRPr="00E36207">
        <w:rPr>
          <w:rFonts w:asciiTheme="minorHAnsi" w:hAnsiTheme="minorHAnsi" w:cstheme="minorHAnsi"/>
          <w:b/>
          <w:bCs/>
          <w:color w:val="auto"/>
          <w:sz w:val="24"/>
          <w:szCs w:val="24"/>
        </w:rPr>
        <w:t xml:space="preserve"> </w:t>
      </w:r>
    </w:p>
    <w:p w14:paraId="190F995A" w14:textId="270CE116" w:rsidR="008A6784" w:rsidRPr="00E36207" w:rsidRDefault="008A6784" w:rsidP="00506228">
      <w:pPr>
        <w:pStyle w:val="CommentText"/>
        <w:numPr>
          <w:ilvl w:val="0"/>
          <w:numId w:val="15"/>
        </w:numPr>
        <w:ind w:left="0" w:firstLine="0"/>
        <w:jc w:val="both"/>
        <w:rPr>
          <w:rFonts w:cstheme="minorHAnsi"/>
          <w:sz w:val="22"/>
          <w:szCs w:val="22"/>
        </w:rPr>
      </w:pPr>
      <w:r w:rsidRPr="00E36207">
        <w:rPr>
          <w:rFonts w:cstheme="minorHAnsi"/>
          <w:sz w:val="22"/>
          <w:szCs w:val="22"/>
        </w:rPr>
        <w:t>It was noted that there was a fair amount of work that had been requested of the SSP</w:t>
      </w:r>
      <w:r w:rsidR="000A31BB">
        <w:rPr>
          <w:rFonts w:cstheme="minorHAnsi"/>
          <w:sz w:val="22"/>
          <w:szCs w:val="22"/>
        </w:rPr>
        <w:t>,</w:t>
      </w:r>
      <w:r w:rsidRPr="00E36207">
        <w:rPr>
          <w:rFonts w:cstheme="minorHAnsi"/>
          <w:sz w:val="22"/>
          <w:szCs w:val="22"/>
        </w:rPr>
        <w:t xml:space="preserve"> and more consultations between interested CCMs and </w:t>
      </w:r>
      <w:r w:rsidR="000A31BB">
        <w:rPr>
          <w:rFonts w:cstheme="minorHAnsi"/>
          <w:sz w:val="22"/>
          <w:szCs w:val="22"/>
        </w:rPr>
        <w:t>participating</w:t>
      </w:r>
      <w:r w:rsidR="000A31BB" w:rsidRPr="00E36207">
        <w:rPr>
          <w:rFonts w:cstheme="minorHAnsi"/>
          <w:sz w:val="22"/>
          <w:szCs w:val="22"/>
        </w:rPr>
        <w:t xml:space="preserve"> </w:t>
      </w:r>
      <w:r w:rsidRPr="00E36207">
        <w:rPr>
          <w:rFonts w:cstheme="minorHAnsi"/>
          <w:sz w:val="22"/>
          <w:szCs w:val="22"/>
        </w:rPr>
        <w:t xml:space="preserve">territories would be needed prior to WCPFC22. </w:t>
      </w:r>
    </w:p>
    <w:p w14:paraId="5F76D3D0" w14:textId="43F4BD49" w:rsidR="008A6784" w:rsidRPr="00E36207" w:rsidRDefault="008A6784" w:rsidP="00506228">
      <w:pPr>
        <w:pStyle w:val="CommentText"/>
        <w:numPr>
          <w:ilvl w:val="0"/>
          <w:numId w:val="15"/>
        </w:numPr>
        <w:ind w:left="0" w:firstLine="0"/>
        <w:jc w:val="both"/>
        <w:rPr>
          <w:rFonts w:cstheme="minorHAnsi"/>
          <w:sz w:val="22"/>
          <w:szCs w:val="22"/>
        </w:rPr>
      </w:pPr>
      <w:r w:rsidRPr="00E36207">
        <w:rPr>
          <w:rFonts w:cstheme="minorHAnsi"/>
          <w:sz w:val="22"/>
          <w:szCs w:val="22"/>
        </w:rPr>
        <w:t>Participants therefore agreed:</w:t>
      </w:r>
    </w:p>
    <w:p w14:paraId="4044EC4D" w14:textId="3423CE01" w:rsidR="008A6784" w:rsidRPr="00E36207" w:rsidRDefault="008A6784" w:rsidP="00506228">
      <w:pPr>
        <w:pStyle w:val="ListParagraph"/>
        <w:numPr>
          <w:ilvl w:val="0"/>
          <w:numId w:val="12"/>
        </w:numPr>
        <w:jc w:val="both"/>
        <w:rPr>
          <w:rFonts w:cstheme="minorHAnsi"/>
        </w:rPr>
      </w:pPr>
      <w:r w:rsidRPr="00E36207">
        <w:rPr>
          <w:rFonts w:cstheme="minorHAnsi"/>
        </w:rPr>
        <w:t xml:space="preserve">To hold a </w:t>
      </w:r>
      <w:r w:rsidR="000A31BB">
        <w:rPr>
          <w:rFonts w:cstheme="minorHAnsi"/>
        </w:rPr>
        <w:t>one-day,</w:t>
      </w:r>
      <w:r w:rsidRPr="00E36207">
        <w:rPr>
          <w:rFonts w:cstheme="minorHAnsi"/>
        </w:rPr>
        <w:t xml:space="preserve"> </w:t>
      </w:r>
      <w:r w:rsidR="0026311F" w:rsidRPr="00E36207">
        <w:rPr>
          <w:rFonts w:cstheme="minorHAnsi"/>
        </w:rPr>
        <w:t>f</w:t>
      </w:r>
      <w:r w:rsidRPr="00E36207">
        <w:rPr>
          <w:rFonts w:cstheme="minorHAnsi"/>
        </w:rPr>
        <w:t>our-hour virtual SPAM workshop on 5</w:t>
      </w:r>
      <w:r w:rsidRPr="00E36207">
        <w:rPr>
          <w:rFonts w:cstheme="minorHAnsi"/>
          <w:vertAlign w:val="superscript"/>
        </w:rPr>
        <w:t>th</w:t>
      </w:r>
      <w:r w:rsidRPr="00E36207">
        <w:rPr>
          <w:rFonts w:cstheme="minorHAnsi"/>
        </w:rPr>
        <w:t xml:space="preserve"> November. </w:t>
      </w:r>
    </w:p>
    <w:p w14:paraId="7CAE9256" w14:textId="5CA2BB00" w:rsidR="008A6784" w:rsidRPr="00E36207" w:rsidRDefault="008A6784" w:rsidP="00506228">
      <w:pPr>
        <w:pStyle w:val="ListParagraph"/>
        <w:numPr>
          <w:ilvl w:val="0"/>
          <w:numId w:val="12"/>
        </w:numPr>
        <w:ind w:left="1281" w:hanging="357"/>
        <w:contextualSpacing w:val="0"/>
        <w:jc w:val="both"/>
        <w:rPr>
          <w:rFonts w:cstheme="minorHAnsi"/>
        </w:rPr>
      </w:pPr>
      <w:r w:rsidRPr="00E36207">
        <w:rPr>
          <w:rFonts w:cstheme="minorHAnsi"/>
        </w:rPr>
        <w:t>To focus the discussion at the workshop on HCR</w:t>
      </w:r>
      <w:r w:rsidR="0026311F" w:rsidRPr="00E36207">
        <w:rPr>
          <w:rFonts w:cstheme="minorHAnsi"/>
        </w:rPr>
        <w:t>s</w:t>
      </w:r>
      <w:r w:rsidRPr="00E36207">
        <w:rPr>
          <w:rFonts w:cstheme="minorHAnsi"/>
        </w:rPr>
        <w:t xml:space="preserve"> and any proposals for a CMM </w:t>
      </w:r>
      <w:r w:rsidR="000A31BB">
        <w:rPr>
          <w:rFonts w:cstheme="minorHAnsi"/>
        </w:rPr>
        <w:t>that</w:t>
      </w:r>
      <w:r w:rsidR="000A31BB" w:rsidRPr="00E36207">
        <w:rPr>
          <w:rFonts w:cstheme="minorHAnsi"/>
        </w:rPr>
        <w:t xml:space="preserve"> </w:t>
      </w:r>
      <w:r w:rsidRPr="00E36207">
        <w:rPr>
          <w:rFonts w:cstheme="minorHAnsi"/>
        </w:rPr>
        <w:t xml:space="preserve">would implement the SPA MP.  </w:t>
      </w:r>
    </w:p>
    <w:p w14:paraId="47741CC4" w14:textId="77777777" w:rsidR="00FB3B7E" w:rsidRPr="00E36207" w:rsidRDefault="00FD15A0" w:rsidP="00DA58A6">
      <w:pPr>
        <w:pStyle w:val="Heading2"/>
        <w:numPr>
          <w:ilvl w:val="0"/>
          <w:numId w:val="13"/>
        </w:numPr>
        <w:spacing w:before="360" w:after="240"/>
        <w:ind w:hanging="720"/>
        <w:rPr>
          <w:rFonts w:asciiTheme="minorHAnsi" w:hAnsiTheme="minorHAnsi" w:cstheme="minorHAnsi"/>
          <w:b/>
          <w:bCs/>
          <w:color w:val="auto"/>
          <w:sz w:val="24"/>
          <w:szCs w:val="24"/>
        </w:rPr>
      </w:pPr>
      <w:bookmarkStart w:id="10" w:name="_Toc208768283"/>
      <w:r w:rsidRPr="00E36207">
        <w:rPr>
          <w:rFonts w:asciiTheme="minorHAnsi" w:hAnsiTheme="minorHAnsi" w:cstheme="minorHAnsi"/>
          <w:b/>
          <w:bCs/>
          <w:color w:val="auto"/>
          <w:sz w:val="24"/>
          <w:szCs w:val="24"/>
        </w:rPr>
        <w:lastRenderedPageBreak/>
        <w:t>WORKSHOP WRAP-UP</w:t>
      </w:r>
      <w:bookmarkEnd w:id="10"/>
      <w:r w:rsidRPr="00E36207">
        <w:rPr>
          <w:rFonts w:asciiTheme="minorHAnsi" w:hAnsiTheme="minorHAnsi" w:cstheme="minorHAnsi"/>
          <w:b/>
          <w:bCs/>
          <w:color w:val="auto"/>
          <w:sz w:val="24"/>
          <w:szCs w:val="24"/>
        </w:rPr>
        <w:t xml:space="preserve"> </w:t>
      </w:r>
    </w:p>
    <w:p w14:paraId="1932D491" w14:textId="6971CB2A" w:rsidR="00FD15A0" w:rsidRPr="00E36207" w:rsidRDefault="00873131" w:rsidP="00E36207">
      <w:pPr>
        <w:pStyle w:val="CommentText"/>
        <w:numPr>
          <w:ilvl w:val="0"/>
          <w:numId w:val="15"/>
        </w:numPr>
        <w:ind w:left="0" w:firstLine="0"/>
        <w:rPr>
          <w:rFonts w:cstheme="minorHAnsi"/>
          <w:sz w:val="22"/>
          <w:szCs w:val="22"/>
        </w:rPr>
      </w:pPr>
      <w:r w:rsidRPr="00E36207">
        <w:rPr>
          <w:rFonts w:cstheme="minorHAnsi"/>
          <w:sz w:val="22"/>
          <w:szCs w:val="22"/>
        </w:rPr>
        <w:t>The Co-Chairs briefly summarised workshop progress.</w:t>
      </w:r>
    </w:p>
    <w:p w14:paraId="60C7BFF3" w14:textId="77777777" w:rsidR="00FB3B7E" w:rsidRPr="00E36207" w:rsidRDefault="00FD15A0" w:rsidP="00DA58A6">
      <w:pPr>
        <w:pStyle w:val="Heading2"/>
        <w:numPr>
          <w:ilvl w:val="0"/>
          <w:numId w:val="13"/>
        </w:numPr>
        <w:spacing w:before="360" w:after="240"/>
        <w:ind w:hanging="720"/>
        <w:rPr>
          <w:rFonts w:asciiTheme="minorHAnsi" w:hAnsiTheme="minorHAnsi" w:cstheme="minorHAnsi"/>
          <w:b/>
          <w:bCs/>
          <w:color w:val="auto"/>
          <w:sz w:val="24"/>
          <w:szCs w:val="24"/>
        </w:rPr>
      </w:pPr>
      <w:bookmarkStart w:id="11" w:name="_Toc208768284"/>
      <w:r w:rsidRPr="00E36207">
        <w:rPr>
          <w:rFonts w:asciiTheme="minorHAnsi" w:hAnsiTheme="minorHAnsi" w:cstheme="minorHAnsi"/>
          <w:b/>
          <w:bCs/>
          <w:color w:val="auto"/>
          <w:sz w:val="24"/>
          <w:szCs w:val="24"/>
        </w:rPr>
        <w:t>OTHER MATTERS</w:t>
      </w:r>
      <w:bookmarkEnd w:id="11"/>
      <w:r w:rsidRPr="00E36207">
        <w:rPr>
          <w:rFonts w:asciiTheme="minorHAnsi" w:hAnsiTheme="minorHAnsi" w:cstheme="minorHAnsi"/>
          <w:b/>
          <w:bCs/>
          <w:color w:val="auto"/>
          <w:sz w:val="24"/>
          <w:szCs w:val="24"/>
        </w:rPr>
        <w:t xml:space="preserve"> </w:t>
      </w:r>
    </w:p>
    <w:p w14:paraId="66492C94" w14:textId="5D5D1A96" w:rsidR="00FD15A0" w:rsidRPr="00E36207" w:rsidRDefault="00873131" w:rsidP="00963DC5">
      <w:pPr>
        <w:pStyle w:val="ListParagraph"/>
        <w:ind w:left="567"/>
        <w:contextualSpacing w:val="0"/>
        <w:jc w:val="both"/>
        <w:rPr>
          <w:rFonts w:cstheme="minorHAnsi"/>
        </w:rPr>
      </w:pPr>
      <w:r w:rsidRPr="00E36207">
        <w:rPr>
          <w:rFonts w:cstheme="minorHAnsi"/>
        </w:rPr>
        <w:t>No other matters were raised</w:t>
      </w:r>
      <w:r w:rsidR="00FD15A0" w:rsidRPr="00E36207">
        <w:rPr>
          <w:rFonts w:cstheme="minorHAnsi"/>
        </w:rPr>
        <w:t xml:space="preserve">. </w:t>
      </w:r>
    </w:p>
    <w:p w14:paraId="7C8A4A97" w14:textId="77777777" w:rsidR="00FB3B7E" w:rsidRPr="00E36207" w:rsidRDefault="00FD15A0" w:rsidP="00DA58A6">
      <w:pPr>
        <w:pStyle w:val="Heading2"/>
        <w:numPr>
          <w:ilvl w:val="0"/>
          <w:numId w:val="13"/>
        </w:numPr>
        <w:spacing w:before="360" w:after="240"/>
        <w:ind w:hanging="720"/>
        <w:rPr>
          <w:rFonts w:asciiTheme="minorHAnsi" w:hAnsiTheme="minorHAnsi" w:cstheme="minorHAnsi"/>
          <w:b/>
          <w:bCs/>
          <w:color w:val="auto"/>
          <w:sz w:val="24"/>
          <w:szCs w:val="24"/>
        </w:rPr>
      </w:pPr>
      <w:bookmarkStart w:id="12" w:name="_Toc208768285"/>
      <w:r w:rsidRPr="00E36207">
        <w:rPr>
          <w:rFonts w:asciiTheme="minorHAnsi" w:hAnsiTheme="minorHAnsi" w:cstheme="minorHAnsi"/>
          <w:b/>
          <w:bCs/>
          <w:color w:val="auto"/>
          <w:sz w:val="24"/>
          <w:szCs w:val="24"/>
        </w:rPr>
        <w:t>SUMMARY OF KEY AGREEMENTS AND NEXT STEPS</w:t>
      </w:r>
      <w:bookmarkEnd w:id="12"/>
      <w:r w:rsidRPr="00E36207">
        <w:rPr>
          <w:rFonts w:asciiTheme="minorHAnsi" w:hAnsiTheme="minorHAnsi" w:cstheme="minorHAnsi"/>
          <w:b/>
          <w:bCs/>
          <w:color w:val="auto"/>
          <w:sz w:val="24"/>
          <w:szCs w:val="24"/>
        </w:rPr>
        <w:t xml:space="preserve"> </w:t>
      </w:r>
    </w:p>
    <w:p w14:paraId="4D6E3CB9" w14:textId="2EF8D74D" w:rsidR="00FD15A0" w:rsidRPr="00E36207" w:rsidRDefault="00786C0A" w:rsidP="00506228">
      <w:pPr>
        <w:pStyle w:val="CommentText"/>
        <w:numPr>
          <w:ilvl w:val="0"/>
          <w:numId w:val="15"/>
        </w:numPr>
        <w:ind w:left="0" w:firstLine="0"/>
        <w:jc w:val="both"/>
        <w:rPr>
          <w:rFonts w:cstheme="minorHAnsi"/>
          <w:sz w:val="22"/>
          <w:szCs w:val="22"/>
        </w:rPr>
      </w:pPr>
      <w:r w:rsidRPr="00E36207">
        <w:rPr>
          <w:rFonts w:cstheme="minorHAnsi"/>
          <w:sz w:val="22"/>
          <w:szCs w:val="22"/>
        </w:rPr>
        <w:t xml:space="preserve">Participants agreed that </w:t>
      </w:r>
      <w:r w:rsidR="00963DC5" w:rsidRPr="00E36207">
        <w:rPr>
          <w:rFonts w:cstheme="minorHAnsi"/>
          <w:sz w:val="22"/>
          <w:szCs w:val="22"/>
        </w:rPr>
        <w:t>a Co-Chairs’ Summary Report with attached tables would be circulated after the workshop</w:t>
      </w:r>
      <w:r w:rsidR="00FD15A0" w:rsidRPr="00E36207">
        <w:rPr>
          <w:rFonts w:cstheme="minorHAnsi"/>
          <w:sz w:val="22"/>
          <w:szCs w:val="22"/>
        </w:rPr>
        <w:t xml:space="preserve">. </w:t>
      </w:r>
    </w:p>
    <w:p w14:paraId="7BC008DA" w14:textId="600F7E54" w:rsidR="007B5824" w:rsidRPr="00E36207" w:rsidRDefault="00FD15A0" w:rsidP="00DA58A6">
      <w:pPr>
        <w:pStyle w:val="Heading2"/>
        <w:numPr>
          <w:ilvl w:val="0"/>
          <w:numId w:val="13"/>
        </w:numPr>
        <w:spacing w:before="360" w:after="240"/>
        <w:ind w:hanging="720"/>
        <w:rPr>
          <w:rFonts w:asciiTheme="minorHAnsi" w:hAnsiTheme="minorHAnsi" w:cstheme="minorHAnsi"/>
          <w:b/>
          <w:bCs/>
          <w:color w:val="auto"/>
          <w:sz w:val="24"/>
          <w:szCs w:val="24"/>
        </w:rPr>
      </w:pPr>
      <w:bookmarkStart w:id="13" w:name="_Toc208768286"/>
      <w:r w:rsidRPr="00E36207">
        <w:rPr>
          <w:rFonts w:asciiTheme="minorHAnsi" w:hAnsiTheme="minorHAnsi" w:cstheme="minorHAnsi"/>
          <w:b/>
          <w:bCs/>
          <w:color w:val="auto"/>
          <w:sz w:val="24"/>
          <w:szCs w:val="24"/>
        </w:rPr>
        <w:t>CLOSING OF THE WORKSHOP</w:t>
      </w:r>
      <w:bookmarkEnd w:id="13"/>
    </w:p>
    <w:p w14:paraId="3026B91E" w14:textId="59F6A397" w:rsidR="00297236" w:rsidRPr="00E36207" w:rsidRDefault="00297236" w:rsidP="00E36207">
      <w:pPr>
        <w:pStyle w:val="CommentText"/>
        <w:numPr>
          <w:ilvl w:val="0"/>
          <w:numId w:val="15"/>
        </w:numPr>
        <w:ind w:left="0" w:firstLine="0"/>
        <w:rPr>
          <w:rFonts w:cstheme="minorHAnsi"/>
          <w:sz w:val="22"/>
          <w:szCs w:val="22"/>
        </w:rPr>
      </w:pPr>
      <w:r w:rsidRPr="00E36207">
        <w:rPr>
          <w:rFonts w:cstheme="minorHAnsi"/>
          <w:sz w:val="22"/>
          <w:szCs w:val="22"/>
        </w:rPr>
        <w:t>The workshop concluded at 2 pm on September 12, 2025.</w:t>
      </w:r>
    </w:p>
    <w:p w14:paraId="6EECE40E" w14:textId="041FEA8D" w:rsidR="00297236" w:rsidRDefault="00297236">
      <w:r>
        <w:br w:type="page"/>
      </w:r>
    </w:p>
    <w:p w14:paraId="0D8F858F" w14:textId="77777777" w:rsidR="00297236" w:rsidRDefault="00297236" w:rsidP="00297236">
      <w:pPr>
        <w:sectPr w:rsidR="00297236" w:rsidSect="00DA58A6">
          <w:footerReference w:type="default" r:id="rId9"/>
          <w:pgSz w:w="12240" w:h="15840" w:code="1"/>
          <w:pgMar w:top="1440" w:right="1440" w:bottom="1440" w:left="1440" w:header="706" w:footer="706" w:gutter="0"/>
          <w:cols w:space="708"/>
          <w:titlePg/>
          <w:docGrid w:linePitch="360"/>
        </w:sectPr>
      </w:pPr>
    </w:p>
    <w:p w14:paraId="075A5A15" w14:textId="77777777" w:rsidR="00297236" w:rsidRPr="00E36207" w:rsidRDefault="00297236" w:rsidP="002E7C0C">
      <w:pPr>
        <w:pStyle w:val="Heading2"/>
        <w:jc w:val="right"/>
        <w:rPr>
          <w:b/>
          <w:bCs/>
          <w:color w:val="auto"/>
          <w:sz w:val="24"/>
          <w:szCs w:val="24"/>
        </w:rPr>
      </w:pPr>
      <w:bookmarkStart w:id="14" w:name="_Toc208768287"/>
      <w:r w:rsidRPr="00E36207">
        <w:rPr>
          <w:b/>
          <w:bCs/>
          <w:color w:val="auto"/>
          <w:sz w:val="24"/>
          <w:szCs w:val="24"/>
        </w:rPr>
        <w:lastRenderedPageBreak/>
        <w:t>Annex A</w:t>
      </w:r>
      <w:bookmarkEnd w:id="14"/>
    </w:p>
    <w:p w14:paraId="303E8EB4" w14:textId="77777777" w:rsidR="00297236" w:rsidRDefault="00297236" w:rsidP="00297236">
      <w:pPr>
        <w:spacing w:after="0" w:line="240" w:lineRule="auto"/>
      </w:pPr>
    </w:p>
    <w:p w14:paraId="6AF55645" w14:textId="77777777" w:rsidR="00297236" w:rsidRDefault="00297236" w:rsidP="00297236">
      <w:r>
        <w:t xml:space="preserve">The tables below include a list of requests for the SSP to undertake additional analyses prior to WCPFC22. Given the available SSP resources, SPAMWS participants prioritized these requests through a ranking process. </w:t>
      </w:r>
    </w:p>
    <w:p w14:paraId="60FB8ED3" w14:textId="75442745" w:rsidR="00297236" w:rsidRDefault="00297236" w:rsidP="00297236">
      <w:r>
        <w:t xml:space="preserve">Table 1 below includes those requests which were ranked the highest, as well as those which did not require ranking, which will be undertaken by the SSP in advance of WCPFC22. Also included is an estimate of the SSP time (points) required to deliver each of the work items, based upon the assumptions provided in the ‘Notes’ section of the table. It was determined that work up to a maximum total of 14 points can be feasibly undertaken by the SSP between SPAMWS and WCPFC22. A point score of ‘0’ means that </w:t>
      </w:r>
      <w:r w:rsidR="000A31BB">
        <w:t xml:space="preserve">the </w:t>
      </w:r>
      <w:r>
        <w:t>request will be done and does not need prioritisation.</w:t>
      </w:r>
    </w:p>
    <w:p w14:paraId="2DA314F0" w14:textId="322B9896" w:rsidR="00297236" w:rsidRDefault="00297236" w:rsidP="00297236">
      <w:r>
        <w:t xml:space="preserve">There is an assumption that the estimation method (EM) will need to be run before WCPFC22 in line with the WCPFC harvest strategy work plan. That activity is included </w:t>
      </w:r>
      <w:r w:rsidR="000A31BB">
        <w:t>in Table 2</w:t>
      </w:r>
      <w:r>
        <w:t>.</w:t>
      </w:r>
    </w:p>
    <w:p w14:paraId="6466FE52" w14:textId="2F60DB7E" w:rsidR="00297236" w:rsidRDefault="00297236" w:rsidP="00297236">
      <w:r>
        <w:t xml:space="preserve">Table 3 includes those requests </w:t>
      </w:r>
      <w:r w:rsidR="000A31BB">
        <w:t xml:space="preserve">that were discussed and ranked by </w:t>
      </w:r>
      <w:r>
        <w:t xml:space="preserve">participants during SPAMWS, but will not be undertaken by the SSP in advance of WCPFC22. </w:t>
      </w:r>
    </w:p>
    <w:p w14:paraId="5E378666" w14:textId="77777777" w:rsidR="00297236" w:rsidRDefault="00297236" w:rsidP="00297236">
      <w:r>
        <w:t>Table 4 includes additional r</w:t>
      </w:r>
      <w:r w:rsidRPr="007B7542">
        <w:t>equests to SSP that were removed from ranking and will be requested following decisions at WCFPC22</w:t>
      </w:r>
      <w:r>
        <w:t xml:space="preserve">. </w:t>
      </w:r>
    </w:p>
    <w:p w14:paraId="132BE581" w14:textId="31D14CF0" w:rsidR="00297236" w:rsidRPr="003F5A97" w:rsidRDefault="00297236" w:rsidP="003F5A97">
      <w:pPr>
        <w:adjustRightInd w:val="0"/>
        <w:snapToGrid w:val="0"/>
        <w:spacing w:before="240" w:after="0"/>
        <w:rPr>
          <w:b/>
          <w:bCs/>
        </w:rPr>
      </w:pPr>
      <w:r>
        <w:rPr>
          <w:b/>
          <w:bCs/>
        </w:rPr>
        <w:t xml:space="preserve">Table 1: </w:t>
      </w:r>
      <w:r w:rsidRPr="00D630A6">
        <w:rPr>
          <w:b/>
          <w:bCs/>
        </w:rPr>
        <w:t xml:space="preserve">The list of six requests that were ranked </w:t>
      </w:r>
      <w:r>
        <w:rPr>
          <w:b/>
          <w:bCs/>
        </w:rPr>
        <w:t xml:space="preserve">highest, </w:t>
      </w:r>
      <w:r w:rsidRPr="00D630A6">
        <w:rPr>
          <w:b/>
          <w:bCs/>
        </w:rPr>
        <w:t xml:space="preserve">and </w:t>
      </w:r>
      <w:r>
        <w:rPr>
          <w:b/>
          <w:bCs/>
        </w:rPr>
        <w:t xml:space="preserve">requests which did not require ranking, which will be undertaken by the </w:t>
      </w:r>
      <w:r w:rsidRPr="00D630A6">
        <w:rPr>
          <w:b/>
          <w:bCs/>
        </w:rPr>
        <w:t xml:space="preserve"> SSP</w:t>
      </w:r>
      <w:r>
        <w:rPr>
          <w:b/>
          <w:bCs/>
        </w:rPr>
        <w:t xml:space="preserve"> prior to WCPFC22</w:t>
      </w:r>
      <w:r w:rsidRPr="00D630A6">
        <w:rPr>
          <w:b/>
          <w:bCs/>
        </w:rPr>
        <w:t>.</w:t>
      </w:r>
    </w:p>
    <w:tbl>
      <w:tblPr>
        <w:tblStyle w:val="TableGrid"/>
        <w:tblW w:w="0" w:type="auto"/>
        <w:tblLook w:val="04A0" w:firstRow="1" w:lastRow="0" w:firstColumn="1" w:lastColumn="0" w:noHBand="0" w:noVBand="1"/>
      </w:tblPr>
      <w:tblGrid>
        <w:gridCol w:w="6070"/>
        <w:gridCol w:w="1572"/>
        <w:gridCol w:w="782"/>
        <w:gridCol w:w="5524"/>
      </w:tblGrid>
      <w:tr w:rsidR="00297236" w14:paraId="30D46448" w14:textId="77777777" w:rsidTr="00564200">
        <w:tc>
          <w:tcPr>
            <w:tcW w:w="6070" w:type="dxa"/>
          </w:tcPr>
          <w:p w14:paraId="16102F4D" w14:textId="77777777" w:rsidR="00297236" w:rsidRPr="00B63D9F" w:rsidRDefault="00297236" w:rsidP="00564200">
            <w:pPr>
              <w:rPr>
                <w:b/>
                <w:bCs/>
              </w:rPr>
            </w:pPr>
            <w:bookmarkStart w:id="15" w:name="_Hlk208587043"/>
            <w:r w:rsidRPr="00B63D9F">
              <w:rPr>
                <w:b/>
                <w:bCs/>
              </w:rPr>
              <w:t>Request to SSP</w:t>
            </w:r>
          </w:p>
        </w:tc>
        <w:tc>
          <w:tcPr>
            <w:tcW w:w="0" w:type="auto"/>
          </w:tcPr>
          <w:p w14:paraId="05F3619C" w14:textId="77777777" w:rsidR="00297236" w:rsidRPr="00B63D9F" w:rsidRDefault="00297236" w:rsidP="00564200">
            <w:pPr>
              <w:jc w:val="center"/>
              <w:rPr>
                <w:b/>
                <w:bCs/>
              </w:rPr>
            </w:pPr>
            <w:r w:rsidRPr="00B63D9F">
              <w:rPr>
                <w:b/>
                <w:bCs/>
              </w:rPr>
              <w:t>CCM/Observer</w:t>
            </w:r>
          </w:p>
        </w:tc>
        <w:tc>
          <w:tcPr>
            <w:tcW w:w="782" w:type="dxa"/>
          </w:tcPr>
          <w:p w14:paraId="64F45FD5" w14:textId="77777777" w:rsidR="00297236" w:rsidRPr="00B63D9F" w:rsidRDefault="00297236" w:rsidP="00564200">
            <w:pPr>
              <w:jc w:val="center"/>
              <w:rPr>
                <w:b/>
                <w:bCs/>
              </w:rPr>
            </w:pPr>
            <w:r w:rsidRPr="00B63D9F">
              <w:rPr>
                <w:b/>
                <w:bCs/>
              </w:rPr>
              <w:t>Points</w:t>
            </w:r>
          </w:p>
        </w:tc>
        <w:tc>
          <w:tcPr>
            <w:tcW w:w="5524" w:type="dxa"/>
          </w:tcPr>
          <w:p w14:paraId="0E0D5722" w14:textId="77777777" w:rsidR="00297236" w:rsidRPr="00B63D9F" w:rsidRDefault="00297236" w:rsidP="00564200">
            <w:pPr>
              <w:rPr>
                <w:b/>
                <w:bCs/>
              </w:rPr>
            </w:pPr>
            <w:r w:rsidRPr="00B63D9F">
              <w:rPr>
                <w:b/>
                <w:bCs/>
              </w:rPr>
              <w:t>Notes</w:t>
            </w:r>
          </w:p>
        </w:tc>
      </w:tr>
      <w:tr w:rsidR="00297236" w14:paraId="3355BD0C" w14:textId="77777777" w:rsidTr="00564200">
        <w:tc>
          <w:tcPr>
            <w:tcW w:w="13948" w:type="dxa"/>
            <w:gridSpan w:val="4"/>
            <w:shd w:val="clear" w:color="auto" w:fill="D9E2F3" w:themeFill="accent1" w:themeFillTint="33"/>
          </w:tcPr>
          <w:p w14:paraId="5F17E915" w14:textId="77777777" w:rsidR="00297236" w:rsidRDefault="00297236" w:rsidP="00564200">
            <w:r w:rsidRPr="00A63CFE">
              <w:rPr>
                <w:b/>
                <w:bCs/>
              </w:rPr>
              <w:t>Additional MPs</w:t>
            </w:r>
          </w:p>
        </w:tc>
      </w:tr>
      <w:tr w:rsidR="00297236" w14:paraId="0D0C1AD5" w14:textId="77777777" w:rsidTr="00564200">
        <w:tc>
          <w:tcPr>
            <w:tcW w:w="6070" w:type="dxa"/>
            <w:shd w:val="clear" w:color="auto" w:fill="D9E2F3" w:themeFill="accent1" w:themeFillTint="33"/>
          </w:tcPr>
          <w:p w14:paraId="7B4236D8" w14:textId="2CC8E367" w:rsidR="00297236" w:rsidRPr="00CB1C38" w:rsidRDefault="00297236" w:rsidP="00564200">
            <w:pPr>
              <w:rPr>
                <w:color w:val="767171" w:themeColor="background2" w:themeShade="80"/>
              </w:rPr>
            </w:pPr>
            <w:r w:rsidRPr="00CB1C38">
              <w:rPr>
                <w:color w:val="767171" w:themeColor="background2" w:themeShade="80"/>
              </w:rPr>
              <w:t xml:space="preserve">Include MPs that reflect </w:t>
            </w:r>
            <w:r w:rsidR="000A31BB">
              <w:rPr>
                <w:color w:val="767171" w:themeColor="background2" w:themeShade="80"/>
              </w:rPr>
              <w:t xml:space="preserve">the </w:t>
            </w:r>
            <w:r w:rsidRPr="00CB1C38">
              <w:rPr>
                <w:color w:val="767171" w:themeColor="background2" w:themeShade="80"/>
              </w:rPr>
              <w:t>implementation of the MP from the equator southward</w:t>
            </w:r>
          </w:p>
        </w:tc>
        <w:tc>
          <w:tcPr>
            <w:tcW w:w="0" w:type="auto"/>
            <w:shd w:val="clear" w:color="auto" w:fill="D9E2F3" w:themeFill="accent1" w:themeFillTint="33"/>
          </w:tcPr>
          <w:p w14:paraId="363EF33B" w14:textId="77777777" w:rsidR="00297236" w:rsidRPr="00CB1C38" w:rsidRDefault="00297236" w:rsidP="00564200">
            <w:pPr>
              <w:jc w:val="center"/>
              <w:rPr>
                <w:color w:val="767171" w:themeColor="background2" w:themeShade="80"/>
              </w:rPr>
            </w:pPr>
            <w:r w:rsidRPr="00CB1C38">
              <w:rPr>
                <w:color w:val="767171" w:themeColor="background2" w:themeShade="80"/>
              </w:rPr>
              <w:t>Japan</w:t>
            </w:r>
          </w:p>
        </w:tc>
        <w:tc>
          <w:tcPr>
            <w:tcW w:w="782" w:type="dxa"/>
            <w:shd w:val="clear" w:color="auto" w:fill="D9E2F3" w:themeFill="accent1" w:themeFillTint="33"/>
          </w:tcPr>
          <w:p w14:paraId="2805F487" w14:textId="77777777" w:rsidR="00297236" w:rsidRPr="00CB1C38" w:rsidRDefault="00297236" w:rsidP="00564200">
            <w:pPr>
              <w:jc w:val="center"/>
              <w:rPr>
                <w:color w:val="767171" w:themeColor="background2" w:themeShade="80"/>
              </w:rPr>
            </w:pPr>
            <w:r w:rsidRPr="00CB1C38">
              <w:rPr>
                <w:color w:val="767171" w:themeColor="background2" w:themeShade="80"/>
              </w:rPr>
              <w:t>0</w:t>
            </w:r>
          </w:p>
        </w:tc>
        <w:tc>
          <w:tcPr>
            <w:tcW w:w="5524" w:type="dxa"/>
            <w:shd w:val="clear" w:color="auto" w:fill="D9E2F3" w:themeFill="accent1" w:themeFillTint="33"/>
          </w:tcPr>
          <w:p w14:paraId="0782AD92" w14:textId="3CAD4393" w:rsidR="00297236" w:rsidRPr="00CB1C38" w:rsidRDefault="00297236" w:rsidP="00564200">
            <w:pPr>
              <w:rPr>
                <w:color w:val="767171" w:themeColor="background2" w:themeShade="80"/>
              </w:rPr>
            </w:pPr>
            <w:r w:rsidRPr="00CB1C38">
              <w:rPr>
                <w:color w:val="767171" w:themeColor="background2" w:themeShade="80"/>
              </w:rPr>
              <w:t xml:space="preserve">Results presented to WCPFC21 in WCPFC21-2024-30 meet this request, noting </w:t>
            </w:r>
            <w:r w:rsidR="000A31BB">
              <w:rPr>
                <w:color w:val="767171" w:themeColor="background2" w:themeShade="80"/>
              </w:rPr>
              <w:t xml:space="preserve">the </w:t>
            </w:r>
            <w:r w:rsidRPr="00CB1C38">
              <w:rPr>
                <w:color w:val="767171" w:themeColor="background2" w:themeShade="80"/>
              </w:rPr>
              <w:t>EPO assumption was 22,500mt</w:t>
            </w:r>
            <w:r w:rsidR="000A31BB">
              <w:rPr>
                <w:color w:val="767171" w:themeColor="background2" w:themeShade="80"/>
              </w:rPr>
              <w:t>,</w:t>
            </w:r>
            <w:r w:rsidRPr="00CB1C38">
              <w:rPr>
                <w:color w:val="767171" w:themeColor="background2" w:themeShade="80"/>
              </w:rPr>
              <w:t xml:space="preserve"> not 18,000mt in runs performed for SC21</w:t>
            </w:r>
          </w:p>
          <w:p w14:paraId="3B497B4D" w14:textId="77777777" w:rsidR="00297236" w:rsidRPr="00CB1C38" w:rsidRDefault="00297236" w:rsidP="00564200">
            <w:pPr>
              <w:rPr>
                <w:color w:val="767171" w:themeColor="background2" w:themeShade="80"/>
              </w:rPr>
            </w:pPr>
            <w:r w:rsidRPr="00CB1C38">
              <w:rPr>
                <w:color w:val="767171" w:themeColor="background2" w:themeShade="80"/>
              </w:rPr>
              <w:t>Points represent work level to re-tune 10 MPs with specific constraints using the current EPO baseline.</w:t>
            </w:r>
          </w:p>
        </w:tc>
      </w:tr>
      <w:tr w:rsidR="00297236" w14:paraId="2B78168F" w14:textId="77777777" w:rsidTr="00564200">
        <w:tc>
          <w:tcPr>
            <w:tcW w:w="6070" w:type="dxa"/>
            <w:shd w:val="clear" w:color="auto" w:fill="D9E2F3" w:themeFill="accent1" w:themeFillTint="33"/>
          </w:tcPr>
          <w:p w14:paraId="246E1966" w14:textId="77777777" w:rsidR="00297236" w:rsidRPr="004C6264" w:rsidRDefault="00297236" w:rsidP="00564200">
            <w:r>
              <w:t xml:space="preserve">Re-tune all 7 candidate MPs operating south of 10S with exclusion of TK and TV catches that are south of 10S. </w:t>
            </w:r>
          </w:p>
        </w:tc>
        <w:tc>
          <w:tcPr>
            <w:tcW w:w="0" w:type="auto"/>
            <w:shd w:val="clear" w:color="auto" w:fill="D9E2F3" w:themeFill="accent1" w:themeFillTint="33"/>
          </w:tcPr>
          <w:p w14:paraId="2ED1247D" w14:textId="77777777" w:rsidR="00297236" w:rsidRDefault="00297236" w:rsidP="00564200">
            <w:pPr>
              <w:jc w:val="center"/>
            </w:pPr>
            <w:r>
              <w:t>FFA</w:t>
            </w:r>
          </w:p>
        </w:tc>
        <w:tc>
          <w:tcPr>
            <w:tcW w:w="782" w:type="dxa"/>
            <w:shd w:val="clear" w:color="auto" w:fill="D9E2F3" w:themeFill="accent1" w:themeFillTint="33"/>
          </w:tcPr>
          <w:p w14:paraId="28719F5C" w14:textId="77777777" w:rsidR="00297236" w:rsidRDefault="00297236" w:rsidP="00564200">
            <w:pPr>
              <w:jc w:val="center"/>
            </w:pPr>
            <w:r>
              <w:t>5</w:t>
            </w:r>
          </w:p>
        </w:tc>
        <w:tc>
          <w:tcPr>
            <w:tcW w:w="5524" w:type="dxa"/>
            <w:shd w:val="clear" w:color="auto" w:fill="D9E2F3" w:themeFill="accent1" w:themeFillTint="33"/>
          </w:tcPr>
          <w:p w14:paraId="29FB5EFF" w14:textId="77777777" w:rsidR="00297236" w:rsidRDefault="00297236" w:rsidP="00564200"/>
        </w:tc>
      </w:tr>
      <w:tr w:rsidR="00297236" w14:paraId="6A68A5CE" w14:textId="77777777" w:rsidTr="00564200">
        <w:tc>
          <w:tcPr>
            <w:tcW w:w="6070" w:type="dxa"/>
            <w:shd w:val="clear" w:color="auto" w:fill="D9E2F3" w:themeFill="accent1" w:themeFillTint="33"/>
          </w:tcPr>
          <w:p w14:paraId="39062F16" w14:textId="77777777" w:rsidR="00297236" w:rsidRDefault="00297236" w:rsidP="00564200">
            <w:r>
              <w:t>Perform sensitivity analyses on re-tuned MPs in #2</w:t>
            </w:r>
          </w:p>
        </w:tc>
        <w:tc>
          <w:tcPr>
            <w:tcW w:w="0" w:type="auto"/>
            <w:shd w:val="clear" w:color="auto" w:fill="D9E2F3" w:themeFill="accent1" w:themeFillTint="33"/>
          </w:tcPr>
          <w:p w14:paraId="3D492F3E" w14:textId="77777777" w:rsidR="00297236" w:rsidRDefault="00297236" w:rsidP="00564200">
            <w:pPr>
              <w:jc w:val="center"/>
            </w:pPr>
          </w:p>
        </w:tc>
        <w:tc>
          <w:tcPr>
            <w:tcW w:w="782" w:type="dxa"/>
            <w:shd w:val="clear" w:color="auto" w:fill="D9E2F3" w:themeFill="accent1" w:themeFillTint="33"/>
          </w:tcPr>
          <w:p w14:paraId="3BA6259B" w14:textId="77777777" w:rsidR="00297236" w:rsidRDefault="00297236" w:rsidP="00564200">
            <w:pPr>
              <w:jc w:val="center"/>
            </w:pPr>
            <w:r>
              <w:t>3</w:t>
            </w:r>
          </w:p>
        </w:tc>
        <w:tc>
          <w:tcPr>
            <w:tcW w:w="5524" w:type="dxa"/>
            <w:shd w:val="clear" w:color="auto" w:fill="D9E2F3" w:themeFill="accent1" w:themeFillTint="33"/>
          </w:tcPr>
          <w:p w14:paraId="6FFD7B1B" w14:textId="77777777" w:rsidR="00297236" w:rsidRDefault="00297236" w:rsidP="00564200"/>
        </w:tc>
      </w:tr>
      <w:tr w:rsidR="00297236" w14:paraId="686C2848" w14:textId="77777777" w:rsidTr="00564200">
        <w:tc>
          <w:tcPr>
            <w:tcW w:w="6070" w:type="dxa"/>
            <w:shd w:val="clear" w:color="auto" w:fill="D9E2F3" w:themeFill="accent1" w:themeFillTint="33"/>
          </w:tcPr>
          <w:p w14:paraId="4BADB85C" w14:textId="6B4C8D20" w:rsidR="00297236" w:rsidRPr="004C6264" w:rsidRDefault="00297236" w:rsidP="00564200">
            <w:r w:rsidRPr="004C6264">
              <w:t xml:space="preserve">Develop additional MPs based on the current modified HCR 7 proposal (AU proposal) and HCR 13, which treat troll catch as an assumed and constant “external catch” in the MP. These MPs </w:t>
            </w:r>
            <w:r w:rsidRPr="004C6264">
              <w:lastRenderedPageBreak/>
              <w:t>would be tuned to achieve the appropriate associated TRP. In developing these MPs</w:t>
            </w:r>
            <w:r w:rsidR="000A31BB">
              <w:t>,</w:t>
            </w:r>
            <w:r w:rsidRPr="004C6264">
              <w:t xml:space="preserve"> the “external troll catch”</w:t>
            </w:r>
            <w:r>
              <w:t xml:space="preserve"> </w:t>
            </w:r>
            <w:r w:rsidRPr="004C6264">
              <w:t xml:space="preserve">could be set at 2000-2004 average troll levels (in line with the baseline referenced in CMM 2015-02) </w:t>
            </w:r>
          </w:p>
        </w:tc>
        <w:tc>
          <w:tcPr>
            <w:tcW w:w="0" w:type="auto"/>
            <w:shd w:val="clear" w:color="auto" w:fill="D9E2F3" w:themeFill="accent1" w:themeFillTint="33"/>
          </w:tcPr>
          <w:p w14:paraId="62868A2B" w14:textId="77777777" w:rsidR="00297236" w:rsidRDefault="00297236" w:rsidP="00564200">
            <w:pPr>
              <w:jc w:val="center"/>
            </w:pPr>
            <w:r>
              <w:lastRenderedPageBreak/>
              <w:t>US</w:t>
            </w:r>
          </w:p>
        </w:tc>
        <w:tc>
          <w:tcPr>
            <w:tcW w:w="782" w:type="dxa"/>
            <w:shd w:val="clear" w:color="auto" w:fill="D9E2F3" w:themeFill="accent1" w:themeFillTint="33"/>
          </w:tcPr>
          <w:p w14:paraId="5E6F9146" w14:textId="77777777" w:rsidR="00297236" w:rsidRDefault="00297236" w:rsidP="00564200">
            <w:pPr>
              <w:jc w:val="center"/>
            </w:pPr>
            <w:r>
              <w:t>2</w:t>
            </w:r>
          </w:p>
        </w:tc>
        <w:tc>
          <w:tcPr>
            <w:tcW w:w="5524" w:type="dxa"/>
            <w:shd w:val="clear" w:color="auto" w:fill="D9E2F3" w:themeFill="accent1" w:themeFillTint="33"/>
          </w:tcPr>
          <w:p w14:paraId="79251BB8" w14:textId="77777777" w:rsidR="00297236" w:rsidRDefault="00297236" w:rsidP="00564200">
            <w:r>
              <w:t>Equates to 4 new MPs</w:t>
            </w:r>
          </w:p>
          <w:p w14:paraId="1FA55443" w14:textId="77777777" w:rsidR="00297236" w:rsidRDefault="00297236" w:rsidP="00564200">
            <w:r>
              <w:t xml:space="preserve">Assume </w:t>
            </w:r>
            <w:r w:rsidRPr="00136D26">
              <w:rPr>
                <w:u w:val="single"/>
              </w:rPr>
              <w:t>ONLY</w:t>
            </w:r>
            <w:r>
              <w:t xml:space="preserve"> HCR7 is excluding TK/TV catch south of 10S here; #2 will need to be done first</w:t>
            </w:r>
          </w:p>
          <w:p w14:paraId="249E4FE7" w14:textId="77777777" w:rsidR="00297236" w:rsidRDefault="00297236" w:rsidP="00564200"/>
        </w:tc>
      </w:tr>
      <w:tr w:rsidR="00297236" w14:paraId="759362B1" w14:textId="77777777" w:rsidTr="00564200">
        <w:tc>
          <w:tcPr>
            <w:tcW w:w="6070" w:type="dxa"/>
            <w:shd w:val="clear" w:color="auto" w:fill="D9E2F3" w:themeFill="accent1" w:themeFillTint="33"/>
          </w:tcPr>
          <w:p w14:paraId="18524A6B" w14:textId="19817F83" w:rsidR="00297236" w:rsidRPr="00343E32" w:rsidRDefault="00297236" w:rsidP="00564200">
            <w:pPr>
              <w:rPr>
                <w:lang w:val="en-US"/>
              </w:rPr>
            </w:pPr>
            <w:r>
              <w:lastRenderedPageBreak/>
              <w:t xml:space="preserve">Develop </w:t>
            </w:r>
            <w:r w:rsidR="000A31BB">
              <w:t xml:space="preserve">an </w:t>
            </w:r>
            <w:r>
              <w:t>MP equivalent to HCR 14 (EPO at 22,500) but with 0-10S on fixed effort (2014-2023) instead of catch, and that achieves the iTRP in the long-term.</w:t>
            </w:r>
          </w:p>
        </w:tc>
        <w:tc>
          <w:tcPr>
            <w:tcW w:w="0" w:type="auto"/>
            <w:shd w:val="clear" w:color="auto" w:fill="D9E2F3" w:themeFill="accent1" w:themeFillTint="33"/>
          </w:tcPr>
          <w:p w14:paraId="27FDB2CE" w14:textId="77777777" w:rsidR="00297236" w:rsidRDefault="00297236" w:rsidP="00564200">
            <w:pPr>
              <w:jc w:val="center"/>
            </w:pPr>
            <w:r>
              <w:t>CN</w:t>
            </w:r>
          </w:p>
        </w:tc>
        <w:tc>
          <w:tcPr>
            <w:tcW w:w="782" w:type="dxa"/>
            <w:shd w:val="clear" w:color="auto" w:fill="D9E2F3" w:themeFill="accent1" w:themeFillTint="33"/>
          </w:tcPr>
          <w:p w14:paraId="4AC14AB3" w14:textId="77777777" w:rsidR="00297236" w:rsidRDefault="00297236" w:rsidP="00564200">
            <w:pPr>
              <w:jc w:val="center"/>
            </w:pPr>
            <w:r>
              <w:t>1</w:t>
            </w:r>
          </w:p>
        </w:tc>
        <w:tc>
          <w:tcPr>
            <w:tcW w:w="5524" w:type="dxa"/>
            <w:shd w:val="clear" w:color="auto" w:fill="D9E2F3" w:themeFill="accent1" w:themeFillTint="33"/>
          </w:tcPr>
          <w:p w14:paraId="745B81E7" w14:textId="77777777" w:rsidR="00297236" w:rsidRDefault="00297236" w:rsidP="00564200"/>
        </w:tc>
      </w:tr>
      <w:tr w:rsidR="00297236" w14:paraId="11FF22CE" w14:textId="77777777" w:rsidTr="00564200">
        <w:tc>
          <w:tcPr>
            <w:tcW w:w="13948" w:type="dxa"/>
            <w:gridSpan w:val="4"/>
            <w:shd w:val="clear" w:color="auto" w:fill="E2EFD9" w:themeFill="accent6" w:themeFillTint="33"/>
          </w:tcPr>
          <w:p w14:paraId="323E102B" w14:textId="77777777" w:rsidR="00297236" w:rsidRDefault="00297236" w:rsidP="00564200">
            <w:r w:rsidRPr="00A63CFE">
              <w:rPr>
                <w:b/>
                <w:bCs/>
              </w:rPr>
              <w:t>Additional sensitivity analyses</w:t>
            </w:r>
          </w:p>
        </w:tc>
      </w:tr>
      <w:tr w:rsidR="00297236" w14:paraId="360CA627" w14:textId="77777777" w:rsidTr="00564200">
        <w:tc>
          <w:tcPr>
            <w:tcW w:w="6070" w:type="dxa"/>
            <w:shd w:val="clear" w:color="auto" w:fill="E2EFD9" w:themeFill="accent6" w:themeFillTint="33"/>
          </w:tcPr>
          <w:p w14:paraId="03E702DE" w14:textId="77777777" w:rsidR="00297236" w:rsidRPr="004C6264" w:rsidRDefault="00297236" w:rsidP="00564200">
            <w:pPr>
              <w:rPr>
                <w:lang w:val="en-AU"/>
              </w:rPr>
            </w:pPr>
            <w:r>
              <w:rPr>
                <w:lang w:val="en-AU"/>
              </w:rPr>
              <w:t>R</w:t>
            </w:r>
            <w:r w:rsidRPr="009F2B0F">
              <w:rPr>
                <w:lang w:val="en-AU"/>
              </w:rPr>
              <w:t xml:space="preserve">un HCR7 </w:t>
            </w:r>
            <w:r>
              <w:rPr>
                <w:lang w:val="en-AU"/>
              </w:rPr>
              <w:t>with no constraint</w:t>
            </w:r>
          </w:p>
        </w:tc>
        <w:tc>
          <w:tcPr>
            <w:tcW w:w="0" w:type="auto"/>
            <w:shd w:val="clear" w:color="auto" w:fill="E2EFD9" w:themeFill="accent6" w:themeFillTint="33"/>
          </w:tcPr>
          <w:p w14:paraId="5065C3CE" w14:textId="77777777" w:rsidR="00297236" w:rsidRDefault="00297236" w:rsidP="00564200">
            <w:pPr>
              <w:jc w:val="center"/>
            </w:pPr>
            <w:r>
              <w:t>US</w:t>
            </w:r>
          </w:p>
        </w:tc>
        <w:tc>
          <w:tcPr>
            <w:tcW w:w="782" w:type="dxa"/>
            <w:shd w:val="clear" w:color="auto" w:fill="E2EFD9" w:themeFill="accent6" w:themeFillTint="33"/>
          </w:tcPr>
          <w:p w14:paraId="6B15A8C6" w14:textId="77777777" w:rsidR="00297236" w:rsidRDefault="00297236" w:rsidP="00564200">
            <w:pPr>
              <w:jc w:val="center"/>
            </w:pPr>
            <w:r>
              <w:t>1</w:t>
            </w:r>
          </w:p>
        </w:tc>
        <w:tc>
          <w:tcPr>
            <w:tcW w:w="5524" w:type="dxa"/>
            <w:shd w:val="clear" w:color="auto" w:fill="E2EFD9" w:themeFill="accent6" w:themeFillTint="33"/>
          </w:tcPr>
          <w:p w14:paraId="38F8A632" w14:textId="586EC12B" w:rsidR="00297236" w:rsidRDefault="00297236" w:rsidP="00564200">
            <w:r>
              <w:t xml:space="preserve">If </w:t>
            </w:r>
            <w:r w:rsidR="000A31BB">
              <w:t xml:space="preserve">the </w:t>
            </w:r>
            <w:r>
              <w:t xml:space="preserve">new baseline excludes TK and TV, #2 will need to be done first </w:t>
            </w:r>
          </w:p>
        </w:tc>
      </w:tr>
      <w:tr w:rsidR="00297236" w14:paraId="5774E5BE" w14:textId="77777777" w:rsidTr="00564200">
        <w:tc>
          <w:tcPr>
            <w:tcW w:w="6070" w:type="dxa"/>
            <w:shd w:val="clear" w:color="auto" w:fill="E2EFD9" w:themeFill="accent6" w:themeFillTint="33"/>
          </w:tcPr>
          <w:p w14:paraId="1E4F05C7" w14:textId="77777777" w:rsidR="00297236" w:rsidRPr="004C6264" w:rsidRDefault="00297236" w:rsidP="00564200">
            <w:r w:rsidRPr="004C6264">
              <w:rPr>
                <w:lang w:val="en-AU"/>
              </w:rPr>
              <w:t>Updat</w:t>
            </w:r>
            <w:r>
              <w:rPr>
                <w:lang w:val="en-AU"/>
              </w:rPr>
              <w:t>e</w:t>
            </w:r>
            <w:r w:rsidRPr="004C6264">
              <w:rPr>
                <w:lang w:val="en-AU"/>
              </w:rPr>
              <w:t xml:space="preserve"> SPAMPLE to include full suite of considered MPs</w:t>
            </w:r>
          </w:p>
        </w:tc>
        <w:tc>
          <w:tcPr>
            <w:tcW w:w="0" w:type="auto"/>
            <w:shd w:val="clear" w:color="auto" w:fill="E2EFD9" w:themeFill="accent6" w:themeFillTint="33"/>
          </w:tcPr>
          <w:p w14:paraId="589D7470" w14:textId="77777777" w:rsidR="00297236" w:rsidRDefault="00297236" w:rsidP="00564200">
            <w:pPr>
              <w:jc w:val="center"/>
            </w:pPr>
            <w:r>
              <w:t>US</w:t>
            </w:r>
          </w:p>
        </w:tc>
        <w:tc>
          <w:tcPr>
            <w:tcW w:w="782" w:type="dxa"/>
            <w:shd w:val="clear" w:color="auto" w:fill="E2EFD9" w:themeFill="accent6" w:themeFillTint="33"/>
          </w:tcPr>
          <w:p w14:paraId="2B88E207" w14:textId="77777777" w:rsidR="00297236" w:rsidRDefault="00297236" w:rsidP="00564200">
            <w:pPr>
              <w:jc w:val="center"/>
            </w:pPr>
            <w:r>
              <w:t>2</w:t>
            </w:r>
          </w:p>
        </w:tc>
        <w:tc>
          <w:tcPr>
            <w:tcW w:w="5524" w:type="dxa"/>
            <w:shd w:val="clear" w:color="auto" w:fill="E2EFD9" w:themeFill="accent6" w:themeFillTint="33"/>
          </w:tcPr>
          <w:p w14:paraId="3D53EB41" w14:textId="77777777" w:rsidR="00297236" w:rsidRDefault="00297236" w:rsidP="00564200"/>
        </w:tc>
      </w:tr>
      <w:tr w:rsidR="00297236" w14:paraId="6FD37455" w14:textId="77777777" w:rsidTr="00564200">
        <w:tc>
          <w:tcPr>
            <w:tcW w:w="13948" w:type="dxa"/>
            <w:gridSpan w:val="4"/>
            <w:shd w:val="clear" w:color="auto" w:fill="FFF2CC" w:themeFill="accent4" w:themeFillTint="33"/>
          </w:tcPr>
          <w:p w14:paraId="3A9E8EA7" w14:textId="77777777" w:rsidR="00297236" w:rsidRDefault="00297236" w:rsidP="00564200">
            <w:r w:rsidRPr="00A63CFE">
              <w:rPr>
                <w:b/>
                <w:bCs/>
              </w:rPr>
              <w:t>Other work</w:t>
            </w:r>
          </w:p>
        </w:tc>
      </w:tr>
      <w:tr w:rsidR="00297236" w14:paraId="0D3ADF47" w14:textId="77777777" w:rsidTr="00564200">
        <w:tc>
          <w:tcPr>
            <w:tcW w:w="6070" w:type="dxa"/>
            <w:shd w:val="clear" w:color="auto" w:fill="FFF2CC" w:themeFill="accent4" w:themeFillTint="33"/>
          </w:tcPr>
          <w:p w14:paraId="1E22CEA7" w14:textId="3E50107E" w:rsidR="00297236" w:rsidRPr="00CB1C38" w:rsidRDefault="00297236" w:rsidP="00564200">
            <w:pPr>
              <w:rPr>
                <w:color w:val="767171" w:themeColor="background2" w:themeShade="80"/>
              </w:rPr>
            </w:pPr>
            <w:r w:rsidRPr="00CB1C38">
              <w:rPr>
                <w:color w:val="767171" w:themeColor="background2" w:themeShade="80"/>
              </w:rPr>
              <w:t xml:space="preserve">SPC paper </w:t>
            </w:r>
            <w:r w:rsidR="000A31BB">
              <w:rPr>
                <w:color w:val="767171" w:themeColor="background2" w:themeShade="80"/>
              </w:rPr>
              <w:t xml:space="preserve">to </w:t>
            </w:r>
            <w:r w:rsidRPr="00CB1C38">
              <w:rPr>
                <w:color w:val="767171" w:themeColor="background2" w:themeShade="80"/>
              </w:rPr>
              <w:t>be revised for WCPFC22 include catches in the modelled area of the application of the SPA MP, south of 10 S in the same figure presenting the SPA catches from the equator to 10 S and in the EPO</w:t>
            </w:r>
          </w:p>
        </w:tc>
        <w:tc>
          <w:tcPr>
            <w:tcW w:w="0" w:type="auto"/>
            <w:shd w:val="clear" w:color="auto" w:fill="FFF2CC" w:themeFill="accent4" w:themeFillTint="33"/>
          </w:tcPr>
          <w:p w14:paraId="385E9431" w14:textId="77777777" w:rsidR="00297236" w:rsidRPr="00CB1C38" w:rsidRDefault="00297236" w:rsidP="00564200">
            <w:pPr>
              <w:jc w:val="center"/>
              <w:rPr>
                <w:color w:val="767171" w:themeColor="background2" w:themeShade="80"/>
              </w:rPr>
            </w:pPr>
            <w:r w:rsidRPr="00CB1C38">
              <w:rPr>
                <w:color w:val="767171" w:themeColor="background2" w:themeShade="80"/>
              </w:rPr>
              <w:t>Japan</w:t>
            </w:r>
          </w:p>
        </w:tc>
        <w:tc>
          <w:tcPr>
            <w:tcW w:w="782" w:type="dxa"/>
            <w:shd w:val="clear" w:color="auto" w:fill="FFF2CC" w:themeFill="accent4" w:themeFillTint="33"/>
          </w:tcPr>
          <w:p w14:paraId="1F67E622" w14:textId="77777777" w:rsidR="00297236" w:rsidRPr="00CB1C38" w:rsidRDefault="00297236" w:rsidP="00564200">
            <w:pPr>
              <w:jc w:val="center"/>
              <w:rPr>
                <w:color w:val="767171" w:themeColor="background2" w:themeShade="80"/>
              </w:rPr>
            </w:pPr>
            <w:r w:rsidRPr="00CB1C38">
              <w:rPr>
                <w:color w:val="767171" w:themeColor="background2" w:themeShade="80"/>
              </w:rPr>
              <w:t>0</w:t>
            </w:r>
          </w:p>
        </w:tc>
        <w:tc>
          <w:tcPr>
            <w:tcW w:w="5524" w:type="dxa"/>
            <w:shd w:val="clear" w:color="auto" w:fill="FFF2CC" w:themeFill="accent4" w:themeFillTint="33"/>
          </w:tcPr>
          <w:p w14:paraId="6FF46105" w14:textId="77777777" w:rsidR="00297236" w:rsidRPr="00CB1C38" w:rsidRDefault="00297236" w:rsidP="00564200">
            <w:pPr>
              <w:rPr>
                <w:color w:val="767171" w:themeColor="background2" w:themeShade="80"/>
              </w:rPr>
            </w:pPr>
          </w:p>
        </w:tc>
      </w:tr>
      <w:tr w:rsidR="00297236" w14:paraId="73D9CB83" w14:textId="77777777" w:rsidTr="00564200">
        <w:tc>
          <w:tcPr>
            <w:tcW w:w="6070" w:type="dxa"/>
            <w:shd w:val="clear" w:color="auto" w:fill="FFF2CC" w:themeFill="accent4" w:themeFillTint="33"/>
          </w:tcPr>
          <w:p w14:paraId="26944DFB" w14:textId="77777777" w:rsidR="00297236" w:rsidRPr="00CB1C38" w:rsidRDefault="00297236" w:rsidP="00564200">
            <w:pPr>
              <w:rPr>
                <w:color w:val="767171" w:themeColor="background2" w:themeShade="80"/>
              </w:rPr>
            </w:pPr>
            <w:r w:rsidRPr="00CB1C38">
              <w:rPr>
                <w:color w:val="767171" w:themeColor="background2" w:themeShade="80"/>
              </w:rPr>
              <w:t>The reference in the paper to “all” fisheries for SPA be clarified</w:t>
            </w:r>
          </w:p>
        </w:tc>
        <w:tc>
          <w:tcPr>
            <w:tcW w:w="0" w:type="auto"/>
            <w:shd w:val="clear" w:color="auto" w:fill="FFF2CC" w:themeFill="accent4" w:themeFillTint="33"/>
          </w:tcPr>
          <w:p w14:paraId="22806FF3" w14:textId="77777777" w:rsidR="00297236" w:rsidRPr="00CB1C38" w:rsidRDefault="00297236" w:rsidP="00564200">
            <w:pPr>
              <w:jc w:val="center"/>
              <w:rPr>
                <w:color w:val="767171" w:themeColor="background2" w:themeShade="80"/>
              </w:rPr>
            </w:pPr>
            <w:r w:rsidRPr="00CB1C38">
              <w:rPr>
                <w:color w:val="767171" w:themeColor="background2" w:themeShade="80"/>
              </w:rPr>
              <w:t>Japan</w:t>
            </w:r>
          </w:p>
        </w:tc>
        <w:tc>
          <w:tcPr>
            <w:tcW w:w="782" w:type="dxa"/>
            <w:shd w:val="clear" w:color="auto" w:fill="FFF2CC" w:themeFill="accent4" w:themeFillTint="33"/>
          </w:tcPr>
          <w:p w14:paraId="345387FB" w14:textId="77777777" w:rsidR="00297236" w:rsidRPr="00CB1C38" w:rsidRDefault="00297236" w:rsidP="00564200">
            <w:pPr>
              <w:jc w:val="center"/>
              <w:rPr>
                <w:color w:val="767171" w:themeColor="background2" w:themeShade="80"/>
              </w:rPr>
            </w:pPr>
            <w:r w:rsidRPr="00CB1C38">
              <w:rPr>
                <w:color w:val="767171" w:themeColor="background2" w:themeShade="80"/>
              </w:rPr>
              <w:t>0</w:t>
            </w:r>
          </w:p>
        </w:tc>
        <w:tc>
          <w:tcPr>
            <w:tcW w:w="5524" w:type="dxa"/>
            <w:shd w:val="clear" w:color="auto" w:fill="FFF2CC" w:themeFill="accent4" w:themeFillTint="33"/>
          </w:tcPr>
          <w:p w14:paraId="039485B3" w14:textId="77777777" w:rsidR="00297236" w:rsidRPr="00CB1C38" w:rsidRDefault="00297236" w:rsidP="00564200">
            <w:pPr>
              <w:rPr>
                <w:color w:val="767171" w:themeColor="background2" w:themeShade="80"/>
              </w:rPr>
            </w:pPr>
            <w:r w:rsidRPr="00CB1C38">
              <w:rPr>
                <w:color w:val="767171" w:themeColor="background2" w:themeShade="80"/>
              </w:rPr>
              <w:t>SSP will tighten the text up.</w:t>
            </w:r>
          </w:p>
        </w:tc>
      </w:tr>
      <w:tr w:rsidR="00297236" w14:paraId="19A819D0" w14:textId="77777777" w:rsidTr="00564200">
        <w:tc>
          <w:tcPr>
            <w:tcW w:w="6070" w:type="dxa"/>
          </w:tcPr>
          <w:p w14:paraId="0561563B" w14:textId="77777777" w:rsidR="00297236" w:rsidRDefault="00297236" w:rsidP="00564200"/>
        </w:tc>
        <w:tc>
          <w:tcPr>
            <w:tcW w:w="0" w:type="auto"/>
          </w:tcPr>
          <w:p w14:paraId="0235CFCF" w14:textId="77777777" w:rsidR="00297236" w:rsidRDefault="00297236" w:rsidP="00564200"/>
        </w:tc>
        <w:tc>
          <w:tcPr>
            <w:tcW w:w="782" w:type="dxa"/>
          </w:tcPr>
          <w:p w14:paraId="6571D86B" w14:textId="77777777" w:rsidR="00297236" w:rsidRPr="00D630A6" w:rsidRDefault="00297236" w:rsidP="00564200">
            <w:pPr>
              <w:jc w:val="center"/>
              <w:rPr>
                <w:b/>
                <w:bCs/>
              </w:rPr>
            </w:pPr>
            <w:r w:rsidRPr="00D630A6">
              <w:rPr>
                <w:b/>
                <w:bCs/>
              </w:rPr>
              <w:t>14</w:t>
            </w:r>
          </w:p>
        </w:tc>
        <w:tc>
          <w:tcPr>
            <w:tcW w:w="5524" w:type="dxa"/>
          </w:tcPr>
          <w:p w14:paraId="5B885EC2" w14:textId="77777777" w:rsidR="00297236" w:rsidRDefault="00297236" w:rsidP="00564200"/>
        </w:tc>
      </w:tr>
    </w:tbl>
    <w:bookmarkEnd w:id="15"/>
    <w:p w14:paraId="60F2F22A" w14:textId="77777777" w:rsidR="00297236" w:rsidRDefault="00297236" w:rsidP="00297236">
      <w:pPr>
        <w:rPr>
          <w:b/>
          <w:bCs/>
        </w:rPr>
      </w:pPr>
      <w:r w:rsidRPr="00A2448B">
        <w:rPr>
          <w:b/>
          <w:bCs/>
        </w:rPr>
        <w:t>Maximum ‘points’ available</w:t>
      </w:r>
      <w:r>
        <w:rPr>
          <w:b/>
          <w:bCs/>
        </w:rPr>
        <w:t xml:space="preserve"> for the selection from the options listed in the above = 1</w:t>
      </w:r>
      <w:r w:rsidRPr="00A2448B">
        <w:rPr>
          <w:b/>
          <w:bCs/>
        </w:rPr>
        <w:t>4</w:t>
      </w:r>
      <w:r>
        <w:rPr>
          <w:b/>
          <w:bCs/>
        </w:rPr>
        <w:t>.</w:t>
      </w:r>
    </w:p>
    <w:p w14:paraId="53573375" w14:textId="77777777" w:rsidR="00297236" w:rsidRDefault="00297236" w:rsidP="003F5A97">
      <w:pPr>
        <w:adjustRightInd w:val="0"/>
        <w:snapToGrid w:val="0"/>
        <w:spacing w:before="240" w:after="0"/>
        <w:rPr>
          <w:b/>
          <w:bCs/>
        </w:rPr>
      </w:pPr>
      <w:r>
        <w:rPr>
          <w:b/>
          <w:bCs/>
        </w:rPr>
        <w:t xml:space="preserve">Table 2: </w:t>
      </w:r>
      <w:r w:rsidRPr="00A63CFE">
        <w:rPr>
          <w:b/>
          <w:bCs/>
        </w:rPr>
        <w:t>Essential SSP activities prior to WCPFC22</w:t>
      </w:r>
    </w:p>
    <w:tbl>
      <w:tblPr>
        <w:tblStyle w:val="TableGrid"/>
        <w:tblW w:w="0" w:type="auto"/>
        <w:tblLook w:val="04A0" w:firstRow="1" w:lastRow="0" w:firstColumn="1" w:lastColumn="0" w:noHBand="0" w:noVBand="1"/>
      </w:tblPr>
      <w:tblGrid>
        <w:gridCol w:w="5994"/>
        <w:gridCol w:w="1620"/>
        <w:gridCol w:w="782"/>
        <w:gridCol w:w="5552"/>
      </w:tblGrid>
      <w:tr w:rsidR="00297236" w14:paraId="11A56527" w14:textId="77777777" w:rsidTr="00564200">
        <w:tc>
          <w:tcPr>
            <w:tcW w:w="6025" w:type="dxa"/>
          </w:tcPr>
          <w:p w14:paraId="535DFABA" w14:textId="77777777" w:rsidR="00297236" w:rsidRDefault="00297236" w:rsidP="00564200">
            <w:r w:rsidRPr="00B63D9F">
              <w:rPr>
                <w:b/>
                <w:bCs/>
              </w:rPr>
              <w:t>Request to SSP</w:t>
            </w:r>
          </w:p>
        </w:tc>
        <w:tc>
          <w:tcPr>
            <w:tcW w:w="1620" w:type="dxa"/>
          </w:tcPr>
          <w:p w14:paraId="576888A3" w14:textId="77777777" w:rsidR="00297236" w:rsidRDefault="00297236" w:rsidP="00564200">
            <w:pPr>
              <w:jc w:val="center"/>
            </w:pPr>
            <w:r w:rsidRPr="00B63D9F">
              <w:rPr>
                <w:b/>
                <w:bCs/>
              </w:rPr>
              <w:t>CCM/Observer</w:t>
            </w:r>
          </w:p>
        </w:tc>
        <w:tc>
          <w:tcPr>
            <w:tcW w:w="720" w:type="dxa"/>
          </w:tcPr>
          <w:p w14:paraId="604EB19A" w14:textId="77777777" w:rsidR="00297236" w:rsidRDefault="00297236" w:rsidP="00564200">
            <w:pPr>
              <w:jc w:val="center"/>
            </w:pPr>
            <w:r w:rsidRPr="00B63D9F">
              <w:rPr>
                <w:b/>
                <w:bCs/>
              </w:rPr>
              <w:t>Points</w:t>
            </w:r>
          </w:p>
        </w:tc>
        <w:tc>
          <w:tcPr>
            <w:tcW w:w="5580" w:type="dxa"/>
          </w:tcPr>
          <w:p w14:paraId="4600395C" w14:textId="77777777" w:rsidR="00297236" w:rsidRDefault="00297236" w:rsidP="00564200">
            <w:r w:rsidRPr="00B63D9F">
              <w:rPr>
                <w:b/>
                <w:bCs/>
              </w:rPr>
              <w:t>Notes</w:t>
            </w:r>
          </w:p>
        </w:tc>
      </w:tr>
      <w:tr w:rsidR="00297236" w14:paraId="457EE9F1" w14:textId="77777777" w:rsidTr="00564200">
        <w:tc>
          <w:tcPr>
            <w:tcW w:w="6025" w:type="dxa"/>
            <w:shd w:val="clear" w:color="auto" w:fill="FBE4D5" w:themeFill="accent2" w:themeFillTint="33"/>
          </w:tcPr>
          <w:p w14:paraId="11263DC5" w14:textId="77777777" w:rsidR="00297236" w:rsidRPr="004C6264" w:rsidRDefault="00297236" w:rsidP="00564200">
            <w:r>
              <w:t>Run the estimation method using data up to 2023 and calculate the output from all candidate MPs</w:t>
            </w:r>
          </w:p>
        </w:tc>
        <w:tc>
          <w:tcPr>
            <w:tcW w:w="1620" w:type="dxa"/>
            <w:shd w:val="clear" w:color="auto" w:fill="FBE4D5" w:themeFill="accent2" w:themeFillTint="33"/>
          </w:tcPr>
          <w:p w14:paraId="031C75AD" w14:textId="77777777" w:rsidR="00297236" w:rsidRDefault="00297236" w:rsidP="00564200">
            <w:pPr>
              <w:jc w:val="center"/>
            </w:pPr>
          </w:p>
        </w:tc>
        <w:tc>
          <w:tcPr>
            <w:tcW w:w="720" w:type="dxa"/>
            <w:shd w:val="clear" w:color="auto" w:fill="FBE4D5" w:themeFill="accent2" w:themeFillTint="33"/>
          </w:tcPr>
          <w:p w14:paraId="75DB2FC8" w14:textId="77777777" w:rsidR="00297236" w:rsidRDefault="00297236" w:rsidP="00564200">
            <w:pPr>
              <w:jc w:val="center"/>
            </w:pPr>
            <w:r>
              <w:t>(4)</w:t>
            </w:r>
          </w:p>
        </w:tc>
        <w:tc>
          <w:tcPr>
            <w:tcW w:w="5580" w:type="dxa"/>
            <w:shd w:val="clear" w:color="auto" w:fill="FBE4D5" w:themeFill="accent2" w:themeFillTint="33"/>
          </w:tcPr>
          <w:p w14:paraId="74C505DD" w14:textId="77777777" w:rsidR="00297236" w:rsidRDefault="00297236" w:rsidP="00564200">
            <w:r>
              <w:t>This needs to be done to meet the harvest strategy workplan timetable.</w:t>
            </w:r>
          </w:p>
        </w:tc>
      </w:tr>
    </w:tbl>
    <w:p w14:paraId="16FFCBEE" w14:textId="3118CAE9" w:rsidR="00297236" w:rsidRDefault="00297236" w:rsidP="003F5A97">
      <w:pPr>
        <w:adjustRightInd w:val="0"/>
        <w:snapToGrid w:val="0"/>
        <w:spacing w:before="240" w:after="0"/>
        <w:rPr>
          <w:b/>
          <w:bCs/>
        </w:rPr>
      </w:pPr>
      <w:r>
        <w:rPr>
          <w:b/>
          <w:bCs/>
        </w:rPr>
        <w:t xml:space="preserve">Table 3: </w:t>
      </w:r>
      <w:r w:rsidRPr="00D630A6">
        <w:rPr>
          <w:b/>
          <w:bCs/>
        </w:rPr>
        <w:t xml:space="preserve">The list of requests </w:t>
      </w:r>
      <w:r w:rsidR="000A31BB">
        <w:rPr>
          <w:b/>
          <w:bCs/>
        </w:rPr>
        <w:t>that were ranked</w:t>
      </w:r>
      <w:r w:rsidRPr="00D630A6">
        <w:rPr>
          <w:b/>
          <w:bCs/>
        </w:rPr>
        <w:t xml:space="preserve"> but were not forwarded to the SSP.</w:t>
      </w:r>
    </w:p>
    <w:tbl>
      <w:tblPr>
        <w:tblStyle w:val="TableGrid"/>
        <w:tblW w:w="0" w:type="auto"/>
        <w:tblLook w:val="04A0" w:firstRow="1" w:lastRow="0" w:firstColumn="1" w:lastColumn="0" w:noHBand="0" w:noVBand="1"/>
      </w:tblPr>
      <w:tblGrid>
        <w:gridCol w:w="6070"/>
        <w:gridCol w:w="1572"/>
        <w:gridCol w:w="782"/>
        <w:gridCol w:w="5524"/>
      </w:tblGrid>
      <w:tr w:rsidR="00297236" w14:paraId="50E183D0" w14:textId="77777777" w:rsidTr="00564200">
        <w:tc>
          <w:tcPr>
            <w:tcW w:w="6070" w:type="dxa"/>
          </w:tcPr>
          <w:p w14:paraId="6E3F2DA5" w14:textId="77777777" w:rsidR="00297236" w:rsidRPr="00B63D9F" w:rsidRDefault="00297236" w:rsidP="00564200">
            <w:pPr>
              <w:rPr>
                <w:b/>
                <w:bCs/>
              </w:rPr>
            </w:pPr>
            <w:r w:rsidRPr="00B63D9F">
              <w:rPr>
                <w:b/>
                <w:bCs/>
              </w:rPr>
              <w:t>Request to SSP</w:t>
            </w:r>
          </w:p>
        </w:tc>
        <w:tc>
          <w:tcPr>
            <w:tcW w:w="0" w:type="auto"/>
          </w:tcPr>
          <w:p w14:paraId="08C6F806" w14:textId="77777777" w:rsidR="00297236" w:rsidRPr="00B63D9F" w:rsidRDefault="00297236" w:rsidP="00564200">
            <w:pPr>
              <w:jc w:val="center"/>
              <w:rPr>
                <w:b/>
                <w:bCs/>
              </w:rPr>
            </w:pPr>
            <w:r w:rsidRPr="00B63D9F">
              <w:rPr>
                <w:b/>
                <w:bCs/>
              </w:rPr>
              <w:t>CCM/Observer</w:t>
            </w:r>
          </w:p>
        </w:tc>
        <w:tc>
          <w:tcPr>
            <w:tcW w:w="0" w:type="auto"/>
          </w:tcPr>
          <w:p w14:paraId="5425B301" w14:textId="77777777" w:rsidR="00297236" w:rsidRPr="00B63D9F" w:rsidRDefault="00297236" w:rsidP="00564200">
            <w:pPr>
              <w:jc w:val="center"/>
              <w:rPr>
                <w:b/>
                <w:bCs/>
              </w:rPr>
            </w:pPr>
            <w:r w:rsidRPr="00B63D9F">
              <w:rPr>
                <w:b/>
                <w:bCs/>
              </w:rPr>
              <w:t>Points</w:t>
            </w:r>
          </w:p>
        </w:tc>
        <w:tc>
          <w:tcPr>
            <w:tcW w:w="0" w:type="auto"/>
          </w:tcPr>
          <w:p w14:paraId="45510960" w14:textId="77777777" w:rsidR="00297236" w:rsidRPr="00B63D9F" w:rsidRDefault="00297236" w:rsidP="00564200">
            <w:pPr>
              <w:rPr>
                <w:b/>
                <w:bCs/>
              </w:rPr>
            </w:pPr>
            <w:r w:rsidRPr="00B63D9F">
              <w:rPr>
                <w:b/>
                <w:bCs/>
              </w:rPr>
              <w:t>Notes</w:t>
            </w:r>
          </w:p>
        </w:tc>
      </w:tr>
      <w:tr w:rsidR="00297236" w14:paraId="3DE4157F" w14:textId="77777777" w:rsidTr="00564200">
        <w:tc>
          <w:tcPr>
            <w:tcW w:w="13948" w:type="dxa"/>
            <w:gridSpan w:val="4"/>
            <w:shd w:val="clear" w:color="auto" w:fill="D9E2F3" w:themeFill="accent1" w:themeFillTint="33"/>
          </w:tcPr>
          <w:p w14:paraId="768A9787" w14:textId="77777777" w:rsidR="00297236" w:rsidRDefault="00297236" w:rsidP="00564200">
            <w:r w:rsidRPr="00A63CFE">
              <w:rPr>
                <w:b/>
                <w:bCs/>
              </w:rPr>
              <w:t>Additional MPs</w:t>
            </w:r>
          </w:p>
        </w:tc>
      </w:tr>
      <w:tr w:rsidR="00297236" w14:paraId="137E5072" w14:textId="77777777" w:rsidTr="00564200">
        <w:tc>
          <w:tcPr>
            <w:tcW w:w="6070" w:type="dxa"/>
            <w:shd w:val="clear" w:color="auto" w:fill="D9E2F3" w:themeFill="accent1" w:themeFillTint="33"/>
          </w:tcPr>
          <w:p w14:paraId="721981ED" w14:textId="0E6981D2" w:rsidR="00297236" w:rsidRPr="00343E32" w:rsidRDefault="00297236" w:rsidP="00564200">
            <w:pPr>
              <w:rPr>
                <w:lang w:val="en-US"/>
              </w:rPr>
            </w:pPr>
            <w:r w:rsidRPr="00343E32">
              <w:rPr>
                <w:lang w:val="en-US"/>
              </w:rPr>
              <w:t xml:space="preserve">Develop additional MPs based on the current modified HCR 7 proposal (AU proposal) and HCR 13, which treat </w:t>
            </w:r>
            <w:r>
              <w:rPr>
                <w:lang w:val="en-US"/>
              </w:rPr>
              <w:t xml:space="preserve">longline fisheries targeting southern bluefin tuna with an annual average bycatch of </w:t>
            </w:r>
            <w:r w:rsidR="000A31BB">
              <w:rPr>
                <w:lang w:val="en-US"/>
              </w:rPr>
              <w:t xml:space="preserve">South </w:t>
            </w:r>
            <w:r>
              <w:rPr>
                <w:lang w:val="en-US"/>
              </w:rPr>
              <w:t xml:space="preserve">Pacific albacore less than 2500mt </w:t>
            </w:r>
            <w:r w:rsidRPr="00343E32">
              <w:rPr>
                <w:lang w:val="en-US"/>
              </w:rPr>
              <w:t xml:space="preserve">as an assumed and </w:t>
            </w:r>
            <w:r w:rsidRPr="00343E32">
              <w:rPr>
                <w:lang w:val="en-US"/>
              </w:rPr>
              <w:lastRenderedPageBreak/>
              <w:t>constant “external catch” in the MP. These MPs would be tuned to achieve the appropriate associated TRP</w:t>
            </w:r>
          </w:p>
          <w:p w14:paraId="579A444D" w14:textId="77777777" w:rsidR="00297236" w:rsidRDefault="00297236" w:rsidP="00564200"/>
          <w:p w14:paraId="543B2AB1" w14:textId="77777777" w:rsidR="00297236" w:rsidRPr="004C6264" w:rsidRDefault="00297236" w:rsidP="00564200"/>
        </w:tc>
        <w:tc>
          <w:tcPr>
            <w:tcW w:w="0" w:type="auto"/>
            <w:shd w:val="clear" w:color="auto" w:fill="D9E2F3" w:themeFill="accent1" w:themeFillTint="33"/>
          </w:tcPr>
          <w:p w14:paraId="7CE1B7A4" w14:textId="77777777" w:rsidR="00297236" w:rsidRDefault="00297236" w:rsidP="00564200">
            <w:pPr>
              <w:jc w:val="center"/>
            </w:pPr>
            <w:r>
              <w:lastRenderedPageBreak/>
              <w:t>JP</w:t>
            </w:r>
          </w:p>
        </w:tc>
        <w:tc>
          <w:tcPr>
            <w:tcW w:w="0" w:type="auto"/>
            <w:shd w:val="clear" w:color="auto" w:fill="D9E2F3" w:themeFill="accent1" w:themeFillTint="33"/>
          </w:tcPr>
          <w:p w14:paraId="7A4F0BA1" w14:textId="77777777" w:rsidR="00297236" w:rsidRDefault="00297236" w:rsidP="00564200">
            <w:pPr>
              <w:jc w:val="center"/>
            </w:pPr>
            <w:r>
              <w:t xml:space="preserve">3 </w:t>
            </w:r>
          </w:p>
        </w:tc>
        <w:tc>
          <w:tcPr>
            <w:tcW w:w="0" w:type="auto"/>
            <w:shd w:val="clear" w:color="auto" w:fill="D9E2F3" w:themeFill="accent1" w:themeFillTint="33"/>
          </w:tcPr>
          <w:p w14:paraId="457E25D6" w14:textId="77777777" w:rsidR="00297236" w:rsidRDefault="00297236" w:rsidP="00564200"/>
        </w:tc>
      </w:tr>
      <w:tr w:rsidR="00297236" w14:paraId="22013C94" w14:textId="77777777" w:rsidTr="00564200">
        <w:tc>
          <w:tcPr>
            <w:tcW w:w="13948" w:type="dxa"/>
            <w:gridSpan w:val="4"/>
            <w:shd w:val="clear" w:color="auto" w:fill="FFF2CC" w:themeFill="accent4" w:themeFillTint="33"/>
          </w:tcPr>
          <w:p w14:paraId="6FE0E6C0" w14:textId="77777777" w:rsidR="00297236" w:rsidRDefault="00297236" w:rsidP="00564200">
            <w:r w:rsidRPr="00A63CFE">
              <w:rPr>
                <w:b/>
                <w:bCs/>
              </w:rPr>
              <w:t>Other work</w:t>
            </w:r>
          </w:p>
        </w:tc>
      </w:tr>
      <w:tr w:rsidR="00297236" w14:paraId="20152A75" w14:textId="77777777" w:rsidTr="00564200">
        <w:tc>
          <w:tcPr>
            <w:tcW w:w="6070" w:type="dxa"/>
            <w:shd w:val="clear" w:color="auto" w:fill="FFF2CC" w:themeFill="accent4" w:themeFillTint="33"/>
          </w:tcPr>
          <w:p w14:paraId="247DB1BD" w14:textId="2A17ECE8" w:rsidR="00297236" w:rsidRPr="00FB6F90" w:rsidRDefault="00297236" w:rsidP="00564200">
            <w:pPr>
              <w:rPr>
                <w:lang w:val="en-US"/>
              </w:rPr>
            </w:pPr>
            <w:r>
              <w:t xml:space="preserve">Catch composition of LL catches in Tokelau and Tuvalu EEZ between </w:t>
            </w:r>
            <w:r w:rsidR="000A31BB">
              <w:t xml:space="preserve">the </w:t>
            </w:r>
            <w:r>
              <w:t xml:space="preserve">equator and 10 degrees south and </w:t>
            </w:r>
            <w:r w:rsidRPr="00080667">
              <w:rPr>
                <w:lang w:val="en-US"/>
              </w:rPr>
              <w:t xml:space="preserve">south of 10S </w:t>
            </w:r>
          </w:p>
        </w:tc>
        <w:tc>
          <w:tcPr>
            <w:tcW w:w="0" w:type="auto"/>
            <w:shd w:val="clear" w:color="auto" w:fill="FFF2CC" w:themeFill="accent4" w:themeFillTint="33"/>
          </w:tcPr>
          <w:p w14:paraId="05186D71" w14:textId="77777777" w:rsidR="00297236" w:rsidRDefault="00297236" w:rsidP="00564200">
            <w:pPr>
              <w:jc w:val="center"/>
            </w:pPr>
            <w:r>
              <w:t>New Caledonia</w:t>
            </w:r>
          </w:p>
        </w:tc>
        <w:tc>
          <w:tcPr>
            <w:tcW w:w="0" w:type="auto"/>
            <w:shd w:val="clear" w:color="auto" w:fill="FFF2CC" w:themeFill="accent4" w:themeFillTint="33"/>
          </w:tcPr>
          <w:p w14:paraId="152B29FF" w14:textId="77777777" w:rsidR="00297236" w:rsidRDefault="00297236" w:rsidP="00564200">
            <w:pPr>
              <w:jc w:val="center"/>
            </w:pPr>
            <w:r>
              <w:t>1</w:t>
            </w:r>
          </w:p>
        </w:tc>
        <w:tc>
          <w:tcPr>
            <w:tcW w:w="0" w:type="auto"/>
            <w:shd w:val="clear" w:color="auto" w:fill="FFF2CC" w:themeFill="accent4" w:themeFillTint="33"/>
          </w:tcPr>
          <w:p w14:paraId="33F6D9FA" w14:textId="78EB2586" w:rsidR="00297236" w:rsidRDefault="00297236" w:rsidP="00564200">
            <w:r>
              <w:t xml:space="preserve">Assume as an average over 2020-2023. Note plots are available in </w:t>
            </w:r>
            <w:r w:rsidR="000A31BB">
              <w:t xml:space="preserve">the </w:t>
            </w:r>
            <w:r>
              <w:t>TK Part 1 report.</w:t>
            </w:r>
          </w:p>
        </w:tc>
      </w:tr>
      <w:tr w:rsidR="00297236" w14:paraId="3406A87A" w14:textId="77777777" w:rsidTr="00564200">
        <w:tc>
          <w:tcPr>
            <w:tcW w:w="6070" w:type="dxa"/>
            <w:shd w:val="clear" w:color="auto" w:fill="FFF2CC" w:themeFill="accent4" w:themeFillTint="33"/>
          </w:tcPr>
          <w:p w14:paraId="670A8DCA" w14:textId="1FF40317" w:rsidR="00297236" w:rsidRPr="00FB6F90" w:rsidRDefault="00297236" w:rsidP="00564200">
            <w:pPr>
              <w:rPr>
                <w:lang w:val="en-US"/>
              </w:rPr>
            </w:pPr>
            <w:r>
              <w:t xml:space="preserve">Proportion of domestic and </w:t>
            </w:r>
            <w:r w:rsidRPr="00024094">
              <w:t>foreign catches</w:t>
            </w:r>
            <w:r>
              <w:t xml:space="preserve"> in Tokelau and Tuvalu EEZ between </w:t>
            </w:r>
            <w:r w:rsidR="000A31BB">
              <w:t xml:space="preserve">the </w:t>
            </w:r>
            <w:r>
              <w:t xml:space="preserve">equator and 10 degrees south and </w:t>
            </w:r>
            <w:r w:rsidRPr="00080667">
              <w:rPr>
                <w:lang w:val="en-US"/>
              </w:rPr>
              <w:t xml:space="preserve">south of 10S </w:t>
            </w:r>
          </w:p>
        </w:tc>
        <w:tc>
          <w:tcPr>
            <w:tcW w:w="0" w:type="auto"/>
            <w:shd w:val="clear" w:color="auto" w:fill="FFF2CC" w:themeFill="accent4" w:themeFillTint="33"/>
          </w:tcPr>
          <w:p w14:paraId="1AEE5C92" w14:textId="77777777" w:rsidR="00297236" w:rsidRDefault="00297236" w:rsidP="00564200">
            <w:pPr>
              <w:jc w:val="center"/>
            </w:pPr>
            <w:r>
              <w:t>New Caledonia</w:t>
            </w:r>
          </w:p>
        </w:tc>
        <w:tc>
          <w:tcPr>
            <w:tcW w:w="0" w:type="auto"/>
            <w:shd w:val="clear" w:color="auto" w:fill="FFF2CC" w:themeFill="accent4" w:themeFillTint="33"/>
          </w:tcPr>
          <w:p w14:paraId="45620CE1" w14:textId="77777777" w:rsidR="00297236" w:rsidRDefault="00297236" w:rsidP="00564200">
            <w:pPr>
              <w:jc w:val="center"/>
            </w:pPr>
            <w:r>
              <w:t>-</w:t>
            </w:r>
          </w:p>
        </w:tc>
        <w:tc>
          <w:tcPr>
            <w:tcW w:w="0" w:type="auto"/>
            <w:shd w:val="clear" w:color="auto" w:fill="FFF2CC" w:themeFill="accent4" w:themeFillTint="33"/>
          </w:tcPr>
          <w:p w14:paraId="5D94E449" w14:textId="77777777" w:rsidR="00297236" w:rsidRDefault="00297236" w:rsidP="00564200">
            <w:r>
              <w:t>To be advised by TV (TK responded during SPAM1). Some details are available in Part 1 reports.</w:t>
            </w:r>
          </w:p>
        </w:tc>
      </w:tr>
    </w:tbl>
    <w:p w14:paraId="2BB6A659" w14:textId="77777777" w:rsidR="00297236" w:rsidRPr="00FB6F90" w:rsidRDefault="00297236" w:rsidP="003F5A97">
      <w:pPr>
        <w:adjustRightInd w:val="0"/>
        <w:snapToGrid w:val="0"/>
        <w:spacing w:before="240" w:after="0"/>
        <w:rPr>
          <w:b/>
          <w:bCs/>
        </w:rPr>
      </w:pPr>
      <w:r>
        <w:rPr>
          <w:b/>
          <w:bCs/>
        </w:rPr>
        <w:t xml:space="preserve">Table 4: </w:t>
      </w:r>
      <w:r w:rsidRPr="00FB6F90">
        <w:rPr>
          <w:b/>
          <w:bCs/>
        </w:rPr>
        <w:t xml:space="preserve">Additional </w:t>
      </w:r>
      <w:bookmarkStart w:id="16" w:name="_Hlk208496885"/>
      <w:r w:rsidRPr="00FB6F90">
        <w:rPr>
          <w:b/>
          <w:bCs/>
        </w:rPr>
        <w:t>Requests to SSP that were removed from ranking and will be requested following decisions at WCFPC22</w:t>
      </w:r>
      <w:bookmarkEnd w:id="16"/>
    </w:p>
    <w:tbl>
      <w:tblPr>
        <w:tblStyle w:val="TableGrid"/>
        <w:tblW w:w="0" w:type="auto"/>
        <w:tblLook w:val="04A0" w:firstRow="1" w:lastRow="0" w:firstColumn="1" w:lastColumn="0" w:noHBand="0" w:noVBand="1"/>
      </w:tblPr>
      <w:tblGrid>
        <w:gridCol w:w="6025"/>
        <w:gridCol w:w="1620"/>
        <w:gridCol w:w="810"/>
        <w:gridCol w:w="5490"/>
      </w:tblGrid>
      <w:tr w:rsidR="00297236" w14:paraId="289DBF93" w14:textId="77777777" w:rsidTr="00564200">
        <w:tc>
          <w:tcPr>
            <w:tcW w:w="6025" w:type="dxa"/>
          </w:tcPr>
          <w:p w14:paraId="19187EC6" w14:textId="77777777" w:rsidR="00297236" w:rsidRDefault="00297236" w:rsidP="00564200">
            <w:r w:rsidRPr="00B63D9F">
              <w:rPr>
                <w:b/>
                <w:bCs/>
              </w:rPr>
              <w:t>Request to SSP</w:t>
            </w:r>
          </w:p>
        </w:tc>
        <w:tc>
          <w:tcPr>
            <w:tcW w:w="1620" w:type="dxa"/>
          </w:tcPr>
          <w:p w14:paraId="5BC42E9F" w14:textId="77777777" w:rsidR="00297236" w:rsidRDefault="00297236" w:rsidP="00564200">
            <w:pPr>
              <w:jc w:val="center"/>
            </w:pPr>
            <w:r w:rsidRPr="00B63D9F">
              <w:rPr>
                <w:b/>
                <w:bCs/>
              </w:rPr>
              <w:t>CCM/Observer</w:t>
            </w:r>
          </w:p>
        </w:tc>
        <w:tc>
          <w:tcPr>
            <w:tcW w:w="810" w:type="dxa"/>
          </w:tcPr>
          <w:p w14:paraId="103D688D" w14:textId="77777777" w:rsidR="00297236" w:rsidRDefault="00297236" w:rsidP="00564200">
            <w:pPr>
              <w:jc w:val="center"/>
            </w:pPr>
            <w:r w:rsidRPr="00B63D9F">
              <w:rPr>
                <w:b/>
                <w:bCs/>
              </w:rPr>
              <w:t>Points</w:t>
            </w:r>
          </w:p>
        </w:tc>
        <w:tc>
          <w:tcPr>
            <w:tcW w:w="5490" w:type="dxa"/>
          </w:tcPr>
          <w:p w14:paraId="1EE09416" w14:textId="77777777" w:rsidR="00297236" w:rsidRDefault="00297236" w:rsidP="00564200">
            <w:r w:rsidRPr="00B63D9F">
              <w:rPr>
                <w:b/>
                <w:bCs/>
              </w:rPr>
              <w:t>Notes</w:t>
            </w:r>
          </w:p>
        </w:tc>
      </w:tr>
      <w:tr w:rsidR="00297236" w14:paraId="7F3076CD" w14:textId="77777777" w:rsidTr="00564200">
        <w:tc>
          <w:tcPr>
            <w:tcW w:w="6025" w:type="dxa"/>
            <w:shd w:val="clear" w:color="auto" w:fill="D0CECE" w:themeFill="background2" w:themeFillShade="E6"/>
            <w:vAlign w:val="center"/>
          </w:tcPr>
          <w:p w14:paraId="46CB2AFE" w14:textId="77777777" w:rsidR="00297236" w:rsidRPr="004C6264" w:rsidRDefault="00297236" w:rsidP="00564200">
            <w:r>
              <w:t>Use a</w:t>
            </w:r>
            <w:r w:rsidRPr="000F557F">
              <w:t xml:space="preserve"> baseline of 2000-2004 </w:t>
            </w:r>
            <w:r>
              <w:t>or</w:t>
            </w:r>
            <w:r w:rsidRPr="000F557F">
              <w:t xml:space="preserve"> 2005</w:t>
            </w:r>
            <w:r>
              <w:t xml:space="preserve"> within MPs</w:t>
            </w:r>
            <w:r w:rsidRPr="000F557F">
              <w:t>, as in CMM 2015-02</w:t>
            </w:r>
          </w:p>
        </w:tc>
        <w:tc>
          <w:tcPr>
            <w:tcW w:w="1620" w:type="dxa"/>
            <w:shd w:val="clear" w:color="auto" w:fill="D0CECE" w:themeFill="background2" w:themeFillShade="E6"/>
          </w:tcPr>
          <w:p w14:paraId="7B3D1BC6" w14:textId="77777777" w:rsidR="00297236" w:rsidRDefault="00297236" w:rsidP="00564200">
            <w:pPr>
              <w:jc w:val="center"/>
            </w:pPr>
            <w:r>
              <w:t>Japan</w:t>
            </w:r>
          </w:p>
        </w:tc>
        <w:tc>
          <w:tcPr>
            <w:tcW w:w="810" w:type="dxa"/>
            <w:shd w:val="clear" w:color="auto" w:fill="D0CECE" w:themeFill="background2" w:themeFillShade="E6"/>
          </w:tcPr>
          <w:p w14:paraId="725F8266" w14:textId="77777777" w:rsidR="00297236" w:rsidRDefault="00297236" w:rsidP="00564200">
            <w:pPr>
              <w:jc w:val="center"/>
            </w:pPr>
          </w:p>
        </w:tc>
        <w:tc>
          <w:tcPr>
            <w:tcW w:w="5490" w:type="dxa"/>
            <w:shd w:val="clear" w:color="auto" w:fill="D0CECE" w:themeFill="background2" w:themeFillShade="E6"/>
          </w:tcPr>
          <w:p w14:paraId="551A6C7A" w14:textId="00A608EB" w:rsidR="00297236" w:rsidRPr="00A976E7" w:rsidRDefault="00297236" w:rsidP="00564200">
            <w:pPr>
              <w:rPr>
                <w:lang w:val="en-US"/>
              </w:rPr>
            </w:pPr>
            <w:r>
              <w:t>SPC noted that t</w:t>
            </w:r>
            <w:r w:rsidRPr="00D630A6">
              <w:t xml:space="preserve">his has no material impact on the performance or outputs of the </w:t>
            </w:r>
            <w:r>
              <w:t>MP</w:t>
            </w:r>
            <w:r w:rsidRPr="00DE6228">
              <w:t>s</w:t>
            </w:r>
            <w:r>
              <w:t>. C</w:t>
            </w:r>
            <w:r w:rsidRPr="00A976E7">
              <w:rPr>
                <w:lang w:val="en-US"/>
              </w:rPr>
              <w:t>hanging the baseline of the MP does have implications when developing the CMM for an MP, and would require sufficient notification to</w:t>
            </w:r>
            <w:r w:rsidR="000A31BB">
              <w:rPr>
                <w:lang w:val="en-US"/>
              </w:rPr>
              <w:t>, for example,</w:t>
            </w:r>
            <w:r w:rsidRPr="00A976E7">
              <w:rPr>
                <w:lang w:val="en-US"/>
              </w:rPr>
              <w:t xml:space="preserve"> update the HCR parameter table and plot.</w:t>
            </w:r>
          </w:p>
          <w:p w14:paraId="71C07409" w14:textId="77777777" w:rsidR="00297236" w:rsidRDefault="00297236" w:rsidP="00564200">
            <w:r w:rsidRPr="00A976E7">
              <w:rPr>
                <w:lang w:val="en-US"/>
              </w:rPr>
              <w:t> </w:t>
            </w:r>
          </w:p>
        </w:tc>
      </w:tr>
      <w:tr w:rsidR="00297236" w14:paraId="40F293E1" w14:textId="77777777" w:rsidTr="00564200">
        <w:tc>
          <w:tcPr>
            <w:tcW w:w="6025" w:type="dxa"/>
            <w:shd w:val="clear" w:color="auto" w:fill="D0CECE" w:themeFill="background2" w:themeFillShade="E6"/>
            <w:vAlign w:val="center"/>
          </w:tcPr>
          <w:p w14:paraId="014A884B" w14:textId="6F1BE315" w:rsidR="00297236" w:rsidRDefault="00297236" w:rsidP="00564200">
            <w:r w:rsidRPr="004C6264">
              <w:t>In considering proposed robustness testing of the MP</w:t>
            </w:r>
            <w:r>
              <w:t>7</w:t>
            </w:r>
            <w:r w:rsidRPr="004C6264">
              <w:t xml:space="preserve"> to EPO catch levels outside of historical observations, </w:t>
            </w:r>
            <w:r>
              <w:t xml:space="preserve">test </w:t>
            </w:r>
            <w:r w:rsidRPr="004C6264">
              <w:t>a level of 27,000 mt</w:t>
            </w:r>
            <w:r w:rsidR="000A31BB">
              <w:t>,</w:t>
            </w:r>
            <w:r w:rsidRPr="004C6264">
              <w:t xml:space="preserve"> which is approximately 10% higher than the largest observed catch level in 2021 of 24,700 mt</w:t>
            </w:r>
          </w:p>
        </w:tc>
        <w:tc>
          <w:tcPr>
            <w:tcW w:w="1620" w:type="dxa"/>
            <w:shd w:val="clear" w:color="auto" w:fill="D0CECE" w:themeFill="background2" w:themeFillShade="E6"/>
          </w:tcPr>
          <w:p w14:paraId="235B556D" w14:textId="77777777" w:rsidR="00297236" w:rsidRDefault="00297236" w:rsidP="00564200">
            <w:pPr>
              <w:jc w:val="center"/>
            </w:pPr>
            <w:r>
              <w:t>US</w:t>
            </w:r>
          </w:p>
        </w:tc>
        <w:tc>
          <w:tcPr>
            <w:tcW w:w="810" w:type="dxa"/>
            <w:shd w:val="clear" w:color="auto" w:fill="D0CECE" w:themeFill="background2" w:themeFillShade="E6"/>
          </w:tcPr>
          <w:p w14:paraId="01E90893" w14:textId="77777777" w:rsidR="00297236" w:rsidRDefault="00297236" w:rsidP="00564200">
            <w:pPr>
              <w:jc w:val="center"/>
            </w:pPr>
          </w:p>
        </w:tc>
        <w:tc>
          <w:tcPr>
            <w:tcW w:w="5490" w:type="dxa"/>
            <w:shd w:val="clear" w:color="auto" w:fill="D0CECE" w:themeFill="background2" w:themeFillShade="E6"/>
          </w:tcPr>
          <w:p w14:paraId="63FAA370" w14:textId="19A1CAC1" w:rsidR="00297236" w:rsidRDefault="00297236" w:rsidP="00564200">
            <w:r>
              <w:t xml:space="preserve">In the absence of guidance, catch in 0-10S </w:t>
            </w:r>
            <w:r w:rsidR="000A31BB">
              <w:t xml:space="preserve">is </w:t>
            </w:r>
            <w:r>
              <w:t xml:space="preserve">assumed to be 12,000 mt. </w:t>
            </w:r>
          </w:p>
          <w:p w14:paraId="215CF272" w14:textId="0B66AB3F" w:rsidR="00297236" w:rsidRDefault="00297236" w:rsidP="00564200">
            <w:r>
              <w:t xml:space="preserve">If </w:t>
            </w:r>
            <w:r w:rsidR="000A31BB">
              <w:t xml:space="preserve">the </w:t>
            </w:r>
            <w:r>
              <w:t>new baseline excludes TK and TV, #2 will need to be done first.</w:t>
            </w:r>
          </w:p>
          <w:p w14:paraId="05CDBDAF" w14:textId="77777777" w:rsidR="00297236" w:rsidRDefault="00297236" w:rsidP="00564200">
            <w:r>
              <w:t>Robustness testing is usually performed only on those MPs most likely to be adopted.</w:t>
            </w:r>
          </w:p>
        </w:tc>
      </w:tr>
      <w:tr w:rsidR="00297236" w14:paraId="24DDF42B" w14:textId="77777777" w:rsidTr="00564200">
        <w:tc>
          <w:tcPr>
            <w:tcW w:w="6025" w:type="dxa"/>
            <w:shd w:val="clear" w:color="auto" w:fill="D0CECE" w:themeFill="background2" w:themeFillShade="E6"/>
            <w:vAlign w:val="center"/>
          </w:tcPr>
          <w:p w14:paraId="351FE625" w14:textId="7CB0D89D" w:rsidR="00297236" w:rsidRPr="004C6264" w:rsidRDefault="00297236" w:rsidP="00564200">
            <w:r w:rsidRPr="00707402">
              <w:t xml:space="preserve">Perform additional robustness testing on </w:t>
            </w:r>
            <w:r w:rsidR="000A31BB">
              <w:t>subset</w:t>
            </w:r>
            <w:r w:rsidRPr="00707402">
              <w:t xml:space="preserve"> of candidate MPs</w:t>
            </w:r>
          </w:p>
        </w:tc>
        <w:tc>
          <w:tcPr>
            <w:tcW w:w="1620" w:type="dxa"/>
            <w:shd w:val="clear" w:color="auto" w:fill="D0CECE" w:themeFill="background2" w:themeFillShade="E6"/>
          </w:tcPr>
          <w:p w14:paraId="23CCF741" w14:textId="77777777" w:rsidR="00297236" w:rsidRDefault="00297236" w:rsidP="00564200">
            <w:pPr>
              <w:jc w:val="center"/>
            </w:pPr>
          </w:p>
        </w:tc>
        <w:tc>
          <w:tcPr>
            <w:tcW w:w="810" w:type="dxa"/>
            <w:shd w:val="clear" w:color="auto" w:fill="D0CECE" w:themeFill="background2" w:themeFillShade="E6"/>
          </w:tcPr>
          <w:p w14:paraId="09363BFA" w14:textId="77777777" w:rsidR="00297236" w:rsidRDefault="00297236" w:rsidP="00564200">
            <w:pPr>
              <w:jc w:val="center"/>
            </w:pPr>
          </w:p>
        </w:tc>
        <w:tc>
          <w:tcPr>
            <w:tcW w:w="5490" w:type="dxa"/>
            <w:shd w:val="clear" w:color="auto" w:fill="D0CECE" w:themeFill="background2" w:themeFillShade="E6"/>
          </w:tcPr>
          <w:p w14:paraId="00A7A49D" w14:textId="77777777" w:rsidR="00297236" w:rsidRDefault="00297236" w:rsidP="00564200">
            <w:r>
              <w:t>Effort creep and TLL levels</w:t>
            </w:r>
          </w:p>
          <w:p w14:paraId="3A62D6C1" w14:textId="2772F68C" w:rsidR="00297236" w:rsidRDefault="00297236" w:rsidP="00564200">
            <w:r>
              <w:t xml:space="preserve">Needs to be on a defined </w:t>
            </w:r>
            <w:r w:rsidR="000A31BB">
              <w:t xml:space="preserve">subset of MPs, with an </w:t>
            </w:r>
            <w:r>
              <w:t>agreed geographic scope.</w:t>
            </w:r>
          </w:p>
          <w:p w14:paraId="7CD57B09" w14:textId="77777777" w:rsidR="00297236" w:rsidRDefault="00297236" w:rsidP="00564200">
            <w:r>
              <w:t xml:space="preserve">Suggesting this is unlikely to be feasible until after decisions are made at WCPFC22 </w:t>
            </w:r>
          </w:p>
        </w:tc>
      </w:tr>
    </w:tbl>
    <w:p w14:paraId="71ECDEAC" w14:textId="77777777" w:rsidR="00297236" w:rsidRDefault="00297236" w:rsidP="00297236"/>
    <w:sectPr w:rsidR="00297236" w:rsidSect="000A31BB">
      <w:pgSz w:w="16838" w:h="11906" w:orient="landscape"/>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D403F" w14:textId="77777777" w:rsidR="0046612B" w:rsidRDefault="0046612B" w:rsidP="00963DC5">
      <w:pPr>
        <w:spacing w:after="0" w:line="240" w:lineRule="auto"/>
      </w:pPr>
      <w:r>
        <w:separator/>
      </w:r>
    </w:p>
  </w:endnote>
  <w:endnote w:type="continuationSeparator" w:id="0">
    <w:p w14:paraId="3D8A52AB" w14:textId="77777777" w:rsidR="0046612B" w:rsidRDefault="0046612B" w:rsidP="00963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607168"/>
      <w:docPartObj>
        <w:docPartGallery w:val="Page Numbers (Bottom of Page)"/>
        <w:docPartUnique/>
      </w:docPartObj>
    </w:sdtPr>
    <w:sdtEndPr>
      <w:rPr>
        <w:noProof/>
      </w:rPr>
    </w:sdtEndPr>
    <w:sdtContent>
      <w:p w14:paraId="5E694A64" w14:textId="55B24248" w:rsidR="00963DC5" w:rsidRDefault="00963D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4A91B4" w14:textId="77777777" w:rsidR="00963DC5" w:rsidRDefault="00963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A2798" w14:textId="77777777" w:rsidR="0046612B" w:rsidRDefault="0046612B" w:rsidP="00963DC5">
      <w:pPr>
        <w:spacing w:after="0" w:line="240" w:lineRule="auto"/>
      </w:pPr>
      <w:r>
        <w:separator/>
      </w:r>
    </w:p>
  </w:footnote>
  <w:footnote w:type="continuationSeparator" w:id="0">
    <w:p w14:paraId="06F5BB43" w14:textId="77777777" w:rsidR="0046612B" w:rsidRDefault="0046612B" w:rsidP="00963D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3556"/>
    <w:multiLevelType w:val="hybridMultilevel"/>
    <w:tmpl w:val="A396648C"/>
    <w:lvl w:ilvl="0" w:tplc="36526F88">
      <w:start w:val="2"/>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1140C67"/>
    <w:multiLevelType w:val="hybridMultilevel"/>
    <w:tmpl w:val="0A3E3A7C"/>
    <w:lvl w:ilvl="0" w:tplc="B6DEE59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66F09"/>
    <w:multiLevelType w:val="hybridMultilevel"/>
    <w:tmpl w:val="F1DE7A50"/>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3" w15:restartNumberingAfterBreak="0">
    <w:nsid w:val="098D168C"/>
    <w:multiLevelType w:val="hybridMultilevel"/>
    <w:tmpl w:val="8DF2DD98"/>
    <w:lvl w:ilvl="0" w:tplc="CCECF49C">
      <w:start w:val="5"/>
      <w:numFmt w:val="bullet"/>
      <w:lvlText w:val="-"/>
      <w:lvlJc w:val="left"/>
      <w:pPr>
        <w:ind w:left="927" w:hanging="360"/>
      </w:pPr>
      <w:rPr>
        <w:rFonts w:ascii="Calibri" w:eastAsiaTheme="minorHAnsi" w:hAnsi="Calibri" w:cs="Calibri"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4" w15:restartNumberingAfterBreak="0">
    <w:nsid w:val="09BE6FA7"/>
    <w:multiLevelType w:val="hybridMultilevel"/>
    <w:tmpl w:val="FD4276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611D4C"/>
    <w:multiLevelType w:val="hybridMultilevel"/>
    <w:tmpl w:val="5186FE2E"/>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6" w15:restartNumberingAfterBreak="0">
    <w:nsid w:val="120B66F9"/>
    <w:multiLevelType w:val="hybridMultilevel"/>
    <w:tmpl w:val="51D81B96"/>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7" w15:restartNumberingAfterBreak="0">
    <w:nsid w:val="37DC4397"/>
    <w:multiLevelType w:val="hybridMultilevel"/>
    <w:tmpl w:val="97DEC1F2"/>
    <w:lvl w:ilvl="0" w:tplc="70FAA4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6C1088"/>
    <w:multiLevelType w:val="hybridMultilevel"/>
    <w:tmpl w:val="6854C996"/>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9" w15:restartNumberingAfterBreak="0">
    <w:nsid w:val="45976FAA"/>
    <w:multiLevelType w:val="hybridMultilevel"/>
    <w:tmpl w:val="B27260C4"/>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0" w15:restartNumberingAfterBreak="0">
    <w:nsid w:val="47BE0D93"/>
    <w:multiLevelType w:val="hybridMultilevel"/>
    <w:tmpl w:val="AE72DDCE"/>
    <w:lvl w:ilvl="0" w:tplc="963C18E6">
      <w:start w:val="5"/>
      <w:numFmt w:val="bullet"/>
      <w:lvlText w:val="-"/>
      <w:lvlJc w:val="left"/>
      <w:pPr>
        <w:ind w:left="927" w:hanging="360"/>
      </w:pPr>
      <w:rPr>
        <w:rFonts w:ascii="Calibri" w:eastAsiaTheme="minorHAnsi" w:hAnsi="Calibri" w:cs="Calibri"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11" w15:restartNumberingAfterBreak="0">
    <w:nsid w:val="48F516BC"/>
    <w:multiLevelType w:val="hybridMultilevel"/>
    <w:tmpl w:val="AB8E05FE"/>
    <w:lvl w:ilvl="0" w:tplc="FF96CE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8C6F71"/>
    <w:multiLevelType w:val="hybridMultilevel"/>
    <w:tmpl w:val="4580B098"/>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3" w15:restartNumberingAfterBreak="0">
    <w:nsid w:val="4CDE1923"/>
    <w:multiLevelType w:val="hybridMultilevel"/>
    <w:tmpl w:val="13A88716"/>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4" w15:restartNumberingAfterBreak="0">
    <w:nsid w:val="7B50045B"/>
    <w:multiLevelType w:val="hybridMultilevel"/>
    <w:tmpl w:val="FD42761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928489873">
    <w:abstractNumId w:val="14"/>
  </w:num>
  <w:num w:numId="2" w16cid:durableId="1485852070">
    <w:abstractNumId w:val="10"/>
  </w:num>
  <w:num w:numId="3" w16cid:durableId="279071723">
    <w:abstractNumId w:val="3"/>
  </w:num>
  <w:num w:numId="4" w16cid:durableId="691417478">
    <w:abstractNumId w:val="2"/>
  </w:num>
  <w:num w:numId="5" w16cid:durableId="1088501297">
    <w:abstractNumId w:val="5"/>
  </w:num>
  <w:num w:numId="6" w16cid:durableId="895238532">
    <w:abstractNumId w:val="9"/>
  </w:num>
  <w:num w:numId="7" w16cid:durableId="1467893543">
    <w:abstractNumId w:val="8"/>
  </w:num>
  <w:num w:numId="8" w16cid:durableId="466902246">
    <w:abstractNumId w:val="13"/>
  </w:num>
  <w:num w:numId="9" w16cid:durableId="1332218626">
    <w:abstractNumId w:val="12"/>
  </w:num>
  <w:num w:numId="10" w16cid:durableId="1457867933">
    <w:abstractNumId w:val="4"/>
  </w:num>
  <w:num w:numId="11" w16cid:durableId="891498320">
    <w:abstractNumId w:val="0"/>
  </w:num>
  <w:num w:numId="12" w16cid:durableId="1582063875">
    <w:abstractNumId w:val="6"/>
  </w:num>
  <w:num w:numId="13" w16cid:durableId="235938954">
    <w:abstractNumId w:val="11"/>
  </w:num>
  <w:num w:numId="14" w16cid:durableId="1466312310">
    <w:abstractNumId w:val="7"/>
  </w:num>
  <w:num w:numId="15" w16cid:durableId="1170026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GkiZA2tzE3NBMSUcpOLW4ODM/D6TAsBYAuj/JXiwAAAA="/>
  </w:docVars>
  <w:rsids>
    <w:rsidRoot w:val="00FD15A0"/>
    <w:rsid w:val="0000333C"/>
    <w:rsid w:val="000549C2"/>
    <w:rsid w:val="00072E27"/>
    <w:rsid w:val="000A31BB"/>
    <w:rsid w:val="000C2209"/>
    <w:rsid w:val="000F4D15"/>
    <w:rsid w:val="00172C2E"/>
    <w:rsid w:val="00177021"/>
    <w:rsid w:val="001C1AB2"/>
    <w:rsid w:val="00220520"/>
    <w:rsid w:val="002451CE"/>
    <w:rsid w:val="002562B0"/>
    <w:rsid w:val="0026311F"/>
    <w:rsid w:val="0027286C"/>
    <w:rsid w:val="00297236"/>
    <w:rsid w:val="002A7288"/>
    <w:rsid w:val="002E7C0C"/>
    <w:rsid w:val="003105B7"/>
    <w:rsid w:val="00334CDE"/>
    <w:rsid w:val="00365B69"/>
    <w:rsid w:val="003F5A97"/>
    <w:rsid w:val="0046612B"/>
    <w:rsid w:val="00471220"/>
    <w:rsid w:val="00497577"/>
    <w:rsid w:val="00506228"/>
    <w:rsid w:val="00524BEB"/>
    <w:rsid w:val="00531561"/>
    <w:rsid w:val="0059728F"/>
    <w:rsid w:val="005A00C0"/>
    <w:rsid w:val="005C38AD"/>
    <w:rsid w:val="005F35A4"/>
    <w:rsid w:val="00655272"/>
    <w:rsid w:val="00674739"/>
    <w:rsid w:val="006B6F9D"/>
    <w:rsid w:val="006D71F9"/>
    <w:rsid w:val="006F2ABF"/>
    <w:rsid w:val="00726FD2"/>
    <w:rsid w:val="00730EE5"/>
    <w:rsid w:val="00766F9B"/>
    <w:rsid w:val="00784D5F"/>
    <w:rsid w:val="00786C0A"/>
    <w:rsid w:val="007B1E17"/>
    <w:rsid w:val="007B5824"/>
    <w:rsid w:val="007D731E"/>
    <w:rsid w:val="007E2AC0"/>
    <w:rsid w:val="008573A4"/>
    <w:rsid w:val="00873131"/>
    <w:rsid w:val="00873709"/>
    <w:rsid w:val="008A234A"/>
    <w:rsid w:val="008A6784"/>
    <w:rsid w:val="008E60F4"/>
    <w:rsid w:val="00903514"/>
    <w:rsid w:val="00911C92"/>
    <w:rsid w:val="009346A7"/>
    <w:rsid w:val="00963DC5"/>
    <w:rsid w:val="00963F46"/>
    <w:rsid w:val="00964798"/>
    <w:rsid w:val="009C02B8"/>
    <w:rsid w:val="009C0A94"/>
    <w:rsid w:val="009F21AB"/>
    <w:rsid w:val="00A44CB3"/>
    <w:rsid w:val="00A575DD"/>
    <w:rsid w:val="00A869DF"/>
    <w:rsid w:val="00A9689A"/>
    <w:rsid w:val="00AF2AB6"/>
    <w:rsid w:val="00B7276D"/>
    <w:rsid w:val="00B804E5"/>
    <w:rsid w:val="00BD00F0"/>
    <w:rsid w:val="00C159BE"/>
    <w:rsid w:val="00C33AD6"/>
    <w:rsid w:val="00C43CBF"/>
    <w:rsid w:val="00CA19AC"/>
    <w:rsid w:val="00CA7A40"/>
    <w:rsid w:val="00CB47F8"/>
    <w:rsid w:val="00CD52C4"/>
    <w:rsid w:val="00CD705C"/>
    <w:rsid w:val="00CE0096"/>
    <w:rsid w:val="00D54CC6"/>
    <w:rsid w:val="00D76F43"/>
    <w:rsid w:val="00D77A00"/>
    <w:rsid w:val="00D864C9"/>
    <w:rsid w:val="00DA58A6"/>
    <w:rsid w:val="00DD39B1"/>
    <w:rsid w:val="00DF38B4"/>
    <w:rsid w:val="00E110FA"/>
    <w:rsid w:val="00E2606F"/>
    <w:rsid w:val="00E32A69"/>
    <w:rsid w:val="00E36207"/>
    <w:rsid w:val="00E42144"/>
    <w:rsid w:val="00E765BE"/>
    <w:rsid w:val="00EF1ACB"/>
    <w:rsid w:val="00F17821"/>
    <w:rsid w:val="00FB3B7E"/>
    <w:rsid w:val="00FD15A0"/>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ACAFF5"/>
  <w15:chartTrackingRefBased/>
  <w15:docId w15:val="{B28C8B32-5414-4576-BD92-D723D7DD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15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D15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15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15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15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15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5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5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5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5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D15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15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15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15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15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5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5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5A0"/>
    <w:rPr>
      <w:rFonts w:eastAsiaTheme="majorEastAsia" w:cstheme="majorBidi"/>
      <w:color w:val="272727" w:themeColor="text1" w:themeTint="D8"/>
    </w:rPr>
  </w:style>
  <w:style w:type="paragraph" w:styleId="Title">
    <w:name w:val="Title"/>
    <w:basedOn w:val="Normal"/>
    <w:next w:val="Normal"/>
    <w:link w:val="TitleChar"/>
    <w:uiPriority w:val="10"/>
    <w:qFormat/>
    <w:rsid w:val="00FD15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5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5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5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5A0"/>
    <w:pPr>
      <w:spacing w:before="160"/>
      <w:jc w:val="center"/>
    </w:pPr>
    <w:rPr>
      <w:i/>
      <w:iCs/>
      <w:color w:val="404040" w:themeColor="text1" w:themeTint="BF"/>
    </w:rPr>
  </w:style>
  <w:style w:type="character" w:customStyle="1" w:styleId="QuoteChar">
    <w:name w:val="Quote Char"/>
    <w:basedOn w:val="DefaultParagraphFont"/>
    <w:link w:val="Quote"/>
    <w:uiPriority w:val="29"/>
    <w:rsid w:val="00FD15A0"/>
    <w:rPr>
      <w:i/>
      <w:iCs/>
      <w:color w:val="404040" w:themeColor="text1" w:themeTint="BF"/>
    </w:rPr>
  </w:style>
  <w:style w:type="paragraph" w:styleId="ListParagraph">
    <w:name w:val="List Paragraph"/>
    <w:basedOn w:val="Normal"/>
    <w:uiPriority w:val="34"/>
    <w:qFormat/>
    <w:rsid w:val="00FD15A0"/>
    <w:pPr>
      <w:ind w:left="720"/>
      <w:contextualSpacing/>
    </w:pPr>
  </w:style>
  <w:style w:type="character" w:styleId="IntenseEmphasis">
    <w:name w:val="Intense Emphasis"/>
    <w:basedOn w:val="DefaultParagraphFont"/>
    <w:uiPriority w:val="21"/>
    <w:qFormat/>
    <w:rsid w:val="00FD15A0"/>
    <w:rPr>
      <w:i/>
      <w:iCs/>
      <w:color w:val="2F5496" w:themeColor="accent1" w:themeShade="BF"/>
    </w:rPr>
  </w:style>
  <w:style w:type="paragraph" w:styleId="IntenseQuote">
    <w:name w:val="Intense Quote"/>
    <w:basedOn w:val="Normal"/>
    <w:next w:val="Normal"/>
    <w:link w:val="IntenseQuoteChar"/>
    <w:uiPriority w:val="30"/>
    <w:qFormat/>
    <w:rsid w:val="00FD15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15A0"/>
    <w:rPr>
      <w:i/>
      <w:iCs/>
      <w:color w:val="2F5496" w:themeColor="accent1" w:themeShade="BF"/>
    </w:rPr>
  </w:style>
  <w:style w:type="character" w:styleId="IntenseReference">
    <w:name w:val="Intense Reference"/>
    <w:basedOn w:val="DefaultParagraphFont"/>
    <w:uiPriority w:val="32"/>
    <w:qFormat/>
    <w:rsid w:val="00FD15A0"/>
    <w:rPr>
      <w:b/>
      <w:bCs/>
      <w:smallCaps/>
      <w:color w:val="2F5496" w:themeColor="accent1" w:themeShade="BF"/>
      <w:spacing w:val="5"/>
    </w:rPr>
  </w:style>
  <w:style w:type="paragraph" w:styleId="Header">
    <w:name w:val="header"/>
    <w:basedOn w:val="Normal"/>
    <w:link w:val="HeaderChar"/>
    <w:uiPriority w:val="99"/>
    <w:unhideWhenUsed/>
    <w:rsid w:val="00963D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DC5"/>
  </w:style>
  <w:style w:type="paragraph" w:styleId="Footer">
    <w:name w:val="footer"/>
    <w:basedOn w:val="Normal"/>
    <w:link w:val="FooterChar"/>
    <w:uiPriority w:val="99"/>
    <w:unhideWhenUsed/>
    <w:rsid w:val="00963D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DC5"/>
  </w:style>
  <w:style w:type="paragraph" w:styleId="Revision">
    <w:name w:val="Revision"/>
    <w:hidden/>
    <w:uiPriority w:val="99"/>
    <w:semiHidden/>
    <w:rsid w:val="005A00C0"/>
    <w:pPr>
      <w:spacing w:after="0" w:line="240" w:lineRule="auto"/>
    </w:pPr>
  </w:style>
  <w:style w:type="character" w:styleId="CommentReference">
    <w:name w:val="annotation reference"/>
    <w:basedOn w:val="DefaultParagraphFont"/>
    <w:uiPriority w:val="99"/>
    <w:semiHidden/>
    <w:unhideWhenUsed/>
    <w:rsid w:val="005A00C0"/>
    <w:rPr>
      <w:sz w:val="16"/>
      <w:szCs w:val="16"/>
    </w:rPr>
  </w:style>
  <w:style w:type="paragraph" w:styleId="CommentText">
    <w:name w:val="annotation text"/>
    <w:basedOn w:val="Normal"/>
    <w:link w:val="CommentTextChar"/>
    <w:uiPriority w:val="99"/>
    <w:unhideWhenUsed/>
    <w:rsid w:val="005A00C0"/>
    <w:pPr>
      <w:spacing w:line="240" w:lineRule="auto"/>
    </w:pPr>
    <w:rPr>
      <w:sz w:val="20"/>
      <w:szCs w:val="20"/>
    </w:rPr>
  </w:style>
  <w:style w:type="character" w:customStyle="1" w:styleId="CommentTextChar">
    <w:name w:val="Comment Text Char"/>
    <w:basedOn w:val="DefaultParagraphFont"/>
    <w:link w:val="CommentText"/>
    <w:uiPriority w:val="99"/>
    <w:rsid w:val="005A00C0"/>
    <w:rPr>
      <w:sz w:val="20"/>
      <w:szCs w:val="20"/>
    </w:rPr>
  </w:style>
  <w:style w:type="paragraph" w:styleId="CommentSubject">
    <w:name w:val="annotation subject"/>
    <w:basedOn w:val="CommentText"/>
    <w:next w:val="CommentText"/>
    <w:link w:val="CommentSubjectChar"/>
    <w:uiPriority w:val="99"/>
    <w:semiHidden/>
    <w:unhideWhenUsed/>
    <w:rsid w:val="005A00C0"/>
    <w:rPr>
      <w:b/>
      <w:bCs/>
    </w:rPr>
  </w:style>
  <w:style w:type="character" w:customStyle="1" w:styleId="CommentSubjectChar">
    <w:name w:val="Comment Subject Char"/>
    <w:basedOn w:val="CommentTextChar"/>
    <w:link w:val="CommentSubject"/>
    <w:uiPriority w:val="99"/>
    <w:semiHidden/>
    <w:rsid w:val="005A00C0"/>
    <w:rPr>
      <w:b/>
      <w:bCs/>
      <w:sz w:val="20"/>
      <w:szCs w:val="20"/>
    </w:rPr>
  </w:style>
  <w:style w:type="table" w:styleId="TableGrid">
    <w:name w:val="Table Grid"/>
    <w:basedOn w:val="TableNormal"/>
    <w:uiPriority w:val="39"/>
    <w:rsid w:val="0029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E7C0C"/>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2E7C0C"/>
    <w:pPr>
      <w:spacing w:after="100"/>
      <w:ind w:left="220"/>
    </w:pPr>
  </w:style>
  <w:style w:type="character" w:styleId="Hyperlink">
    <w:name w:val="Hyperlink"/>
    <w:basedOn w:val="DefaultParagraphFont"/>
    <w:uiPriority w:val="99"/>
    <w:unhideWhenUsed/>
    <w:rsid w:val="002E7C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E0C91-211E-4E19-AB98-D70A1D432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2863</Words>
  <Characters>14832</Characters>
  <Application>Microsoft Office Word</Application>
  <DocSecurity>0</DocSecurity>
  <Lines>358</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SungKwon Soh</cp:lastModifiedBy>
  <cp:revision>5</cp:revision>
  <cp:lastPrinted>2025-09-14T08:51:00Z</cp:lastPrinted>
  <dcterms:created xsi:type="dcterms:W3CDTF">2025-09-14T08:33:00Z</dcterms:created>
  <dcterms:modified xsi:type="dcterms:W3CDTF">2025-09-14T08:51:00Z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36b76d28-e0f5-4d27-8447-3cb40e189d9a</vt:lpwstr>
  </property>
</Properties>
</file>