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87D5" w14:textId="62D318FF" w:rsidR="000F557F" w:rsidRPr="00B416CD" w:rsidRDefault="00B416CD" w:rsidP="00B416CD">
      <w:pPr>
        <w:ind w:left="927" w:hanging="360"/>
        <w:jc w:val="center"/>
        <w:rPr>
          <w:b/>
          <w:bCs/>
          <w:sz w:val="32"/>
          <w:szCs w:val="32"/>
        </w:rPr>
      </w:pPr>
      <w:r w:rsidRPr="00B416CD">
        <w:rPr>
          <w:b/>
          <w:bCs/>
          <w:sz w:val="32"/>
          <w:szCs w:val="32"/>
        </w:rPr>
        <w:t>List of requests from Day 1 of SPAM</w:t>
      </w:r>
      <w:r w:rsidR="004E2D98">
        <w:rPr>
          <w:b/>
          <w:bCs/>
          <w:sz w:val="32"/>
          <w:szCs w:val="32"/>
        </w:rPr>
        <w:t>WS0</w:t>
      </w:r>
      <w:r w:rsidRPr="00B416CD">
        <w:rPr>
          <w:b/>
          <w:bCs/>
          <w:sz w:val="32"/>
          <w:szCs w:val="32"/>
        </w:rPr>
        <w:t>1</w:t>
      </w:r>
    </w:p>
    <w:p w14:paraId="0F6BDE2C" w14:textId="67E95F4C" w:rsidR="00A2448B" w:rsidRDefault="00A63CFE" w:rsidP="00A2448B">
      <w:r>
        <w:t xml:space="preserve">List of requests from Day 1 of SPAM 1 with an estimate of the SSP time (points) required to deliver </w:t>
      </w:r>
      <w:r w:rsidR="001C45FE">
        <w:t xml:space="preserve">each of </w:t>
      </w:r>
      <w:r>
        <w:t>them, based upon the assumptions provided in the ‘Notes’ section of the table.</w:t>
      </w:r>
      <w:r w:rsidR="001C45FE">
        <w:t xml:space="preserve"> Work up to a maximum total of 14 points can be feasibly undertaken between SPAM1 and the Commission meeting.</w:t>
      </w:r>
      <w:r w:rsidR="00D201A1">
        <w:t xml:space="preserve"> A points score of ‘0’ means that </w:t>
      </w:r>
      <w:r w:rsidR="00B416CD">
        <w:t xml:space="preserve">the </w:t>
      </w:r>
      <w:r w:rsidR="00D201A1">
        <w:t>request will be done and does not need prioritisation.</w:t>
      </w:r>
    </w:p>
    <w:p w14:paraId="28655CF9" w14:textId="0F784163" w:rsidR="00A63CFE" w:rsidRDefault="00A63CFE" w:rsidP="00A2448B">
      <w:r>
        <w:t>There is an assumption that the estimation method (EM) will need to be run before WCPFC22 in line with the WCPFC harvest strategy work plan. That activity is included in a separate table at the bottom of this document.</w:t>
      </w:r>
    </w:p>
    <w:p w14:paraId="260A4D75" w14:textId="37FAAB40" w:rsidR="00B416CD" w:rsidRDefault="00B416CD" w:rsidP="00A2448B">
      <w:r>
        <w:t xml:space="preserve">Additional explanatory notes are available on the last page. </w:t>
      </w:r>
    </w:p>
    <w:tbl>
      <w:tblPr>
        <w:tblStyle w:val="TableGrid"/>
        <w:tblW w:w="0" w:type="auto"/>
        <w:tblLook w:val="04A0" w:firstRow="1" w:lastRow="0" w:firstColumn="1" w:lastColumn="0" w:noHBand="0" w:noVBand="1"/>
      </w:tblPr>
      <w:tblGrid>
        <w:gridCol w:w="440"/>
        <w:gridCol w:w="6643"/>
        <w:gridCol w:w="1572"/>
        <w:gridCol w:w="782"/>
        <w:gridCol w:w="4511"/>
      </w:tblGrid>
      <w:tr w:rsidR="00A63CFE" w14:paraId="320E7F39" w14:textId="77777777" w:rsidTr="00A63CFE">
        <w:tc>
          <w:tcPr>
            <w:tcW w:w="0" w:type="auto"/>
          </w:tcPr>
          <w:p w14:paraId="4F610869" w14:textId="77777777" w:rsidR="00A63CFE" w:rsidRDefault="00A63CFE" w:rsidP="000F557F">
            <w:pPr>
              <w:rPr>
                <w:b/>
                <w:bCs/>
              </w:rPr>
            </w:pPr>
          </w:p>
        </w:tc>
        <w:tc>
          <w:tcPr>
            <w:tcW w:w="6643" w:type="dxa"/>
          </w:tcPr>
          <w:p w14:paraId="07F98E6C" w14:textId="07F1A019" w:rsidR="00A63CFE" w:rsidRPr="00B63D9F" w:rsidRDefault="00A63CFE" w:rsidP="000F557F">
            <w:pPr>
              <w:rPr>
                <w:b/>
                <w:bCs/>
              </w:rPr>
            </w:pPr>
            <w:r w:rsidRPr="00B63D9F">
              <w:rPr>
                <w:b/>
                <w:bCs/>
              </w:rPr>
              <w:t>Request to SSP</w:t>
            </w:r>
          </w:p>
        </w:tc>
        <w:tc>
          <w:tcPr>
            <w:tcW w:w="0" w:type="auto"/>
          </w:tcPr>
          <w:p w14:paraId="0BD97E2F" w14:textId="70F8FA51" w:rsidR="00A63CFE" w:rsidRPr="00B63D9F" w:rsidRDefault="00A63CFE" w:rsidP="006E24B4">
            <w:pPr>
              <w:jc w:val="center"/>
              <w:rPr>
                <w:b/>
                <w:bCs/>
              </w:rPr>
            </w:pPr>
            <w:r w:rsidRPr="00B63D9F">
              <w:rPr>
                <w:b/>
                <w:bCs/>
              </w:rPr>
              <w:t>CCM/Observer</w:t>
            </w:r>
          </w:p>
        </w:tc>
        <w:tc>
          <w:tcPr>
            <w:tcW w:w="0" w:type="auto"/>
          </w:tcPr>
          <w:p w14:paraId="31CA8659" w14:textId="26964EEC" w:rsidR="00A63CFE" w:rsidRPr="00B63D9F" w:rsidRDefault="00A63CFE" w:rsidP="006E24B4">
            <w:pPr>
              <w:jc w:val="center"/>
              <w:rPr>
                <w:b/>
                <w:bCs/>
              </w:rPr>
            </w:pPr>
            <w:r w:rsidRPr="00B63D9F">
              <w:rPr>
                <w:b/>
                <w:bCs/>
              </w:rPr>
              <w:t>Points</w:t>
            </w:r>
          </w:p>
        </w:tc>
        <w:tc>
          <w:tcPr>
            <w:tcW w:w="0" w:type="auto"/>
          </w:tcPr>
          <w:p w14:paraId="4190E3CA" w14:textId="70D2BE64" w:rsidR="00A63CFE" w:rsidRPr="00B63D9F" w:rsidRDefault="00A63CFE" w:rsidP="000F557F">
            <w:pPr>
              <w:rPr>
                <w:b/>
                <w:bCs/>
              </w:rPr>
            </w:pPr>
            <w:r w:rsidRPr="00B63D9F">
              <w:rPr>
                <w:b/>
                <w:bCs/>
              </w:rPr>
              <w:t>Notes</w:t>
            </w:r>
          </w:p>
        </w:tc>
      </w:tr>
      <w:tr w:rsidR="006E24B4" w14:paraId="709B33AE" w14:textId="77777777" w:rsidTr="00A952E3">
        <w:tc>
          <w:tcPr>
            <w:tcW w:w="0" w:type="auto"/>
            <w:shd w:val="clear" w:color="auto" w:fill="D9E2F3" w:themeFill="accent1" w:themeFillTint="33"/>
          </w:tcPr>
          <w:p w14:paraId="55172963" w14:textId="77777777" w:rsidR="006E24B4" w:rsidRDefault="006E24B4" w:rsidP="00A2448B"/>
        </w:tc>
        <w:tc>
          <w:tcPr>
            <w:tcW w:w="13508" w:type="dxa"/>
            <w:gridSpan w:val="4"/>
            <w:shd w:val="clear" w:color="auto" w:fill="D9E2F3" w:themeFill="accent1" w:themeFillTint="33"/>
          </w:tcPr>
          <w:p w14:paraId="1F35DE3B" w14:textId="40CCB3A9" w:rsidR="006E24B4" w:rsidRDefault="006E24B4" w:rsidP="00A2448B">
            <w:r w:rsidRPr="00A63CFE">
              <w:rPr>
                <w:b/>
                <w:bCs/>
              </w:rPr>
              <w:t>Additional MPs</w:t>
            </w:r>
          </w:p>
        </w:tc>
      </w:tr>
      <w:tr w:rsidR="00A63CFE" w14:paraId="445E87EA" w14:textId="77777777" w:rsidTr="00A63CFE">
        <w:tc>
          <w:tcPr>
            <w:tcW w:w="0" w:type="auto"/>
            <w:shd w:val="clear" w:color="auto" w:fill="D9E2F3" w:themeFill="accent1" w:themeFillTint="33"/>
          </w:tcPr>
          <w:p w14:paraId="213A192D" w14:textId="3CFBC0BC" w:rsidR="00A63CFE" w:rsidRDefault="00A63CFE" w:rsidP="00A2448B">
            <w:r>
              <w:t>1</w:t>
            </w:r>
          </w:p>
        </w:tc>
        <w:tc>
          <w:tcPr>
            <w:tcW w:w="6643" w:type="dxa"/>
            <w:shd w:val="clear" w:color="auto" w:fill="D9E2F3" w:themeFill="accent1" w:themeFillTint="33"/>
          </w:tcPr>
          <w:p w14:paraId="2C68855D" w14:textId="531F0400" w:rsidR="00A63CFE" w:rsidRPr="004C6264" w:rsidRDefault="00A63CFE" w:rsidP="00A2448B">
            <w:r>
              <w:t xml:space="preserve">Include MPs that reflect </w:t>
            </w:r>
            <w:r w:rsidR="00B416CD">
              <w:t xml:space="preserve">the </w:t>
            </w:r>
            <w:r>
              <w:t>implementation of the MP from the equator southward</w:t>
            </w:r>
          </w:p>
        </w:tc>
        <w:tc>
          <w:tcPr>
            <w:tcW w:w="0" w:type="auto"/>
            <w:shd w:val="clear" w:color="auto" w:fill="D9E2F3" w:themeFill="accent1" w:themeFillTint="33"/>
          </w:tcPr>
          <w:p w14:paraId="40D0F9CE" w14:textId="17A9D253" w:rsidR="00A63CFE" w:rsidRDefault="00A63CFE" w:rsidP="006E24B4">
            <w:pPr>
              <w:jc w:val="center"/>
            </w:pPr>
            <w:r>
              <w:t>Japan</w:t>
            </w:r>
          </w:p>
        </w:tc>
        <w:tc>
          <w:tcPr>
            <w:tcW w:w="0" w:type="auto"/>
            <w:shd w:val="clear" w:color="auto" w:fill="D9E2F3" w:themeFill="accent1" w:themeFillTint="33"/>
          </w:tcPr>
          <w:p w14:paraId="2C0C3671" w14:textId="0C01AE4B" w:rsidR="00A63CFE" w:rsidRDefault="00A63CFE" w:rsidP="006E24B4">
            <w:pPr>
              <w:jc w:val="center"/>
            </w:pPr>
            <w:r>
              <w:t>(8)</w:t>
            </w:r>
          </w:p>
        </w:tc>
        <w:tc>
          <w:tcPr>
            <w:tcW w:w="0" w:type="auto"/>
            <w:shd w:val="clear" w:color="auto" w:fill="D9E2F3" w:themeFill="accent1" w:themeFillTint="33"/>
          </w:tcPr>
          <w:p w14:paraId="36EC612A" w14:textId="7F0824E7" w:rsidR="00A63CFE" w:rsidRDefault="00A63CFE" w:rsidP="00A2448B">
            <w:r>
              <w:t xml:space="preserve">Query whether results presented to WCPFC21 in WCPFC21-2024-30 meet this request, noting </w:t>
            </w:r>
            <w:r w:rsidR="00B416CD">
              <w:t xml:space="preserve">the </w:t>
            </w:r>
            <w:r>
              <w:t>EPO assumption was 22,500mt not 18,000mt</w:t>
            </w:r>
            <w:r w:rsidR="00B416CD">
              <w:t>,</w:t>
            </w:r>
            <w:r>
              <w:t xml:space="preserve"> in runs performed for SC21</w:t>
            </w:r>
            <w:r w:rsidR="00B416CD">
              <w:t>.</w:t>
            </w:r>
          </w:p>
          <w:p w14:paraId="6B916863" w14:textId="0DF98EF1" w:rsidR="00A63CFE" w:rsidRDefault="00A63CFE" w:rsidP="00A2448B">
            <w:r>
              <w:t>Points represent work level to re-tune 10 MPs with specific constraints using the current EPO baseline.</w:t>
            </w:r>
          </w:p>
        </w:tc>
      </w:tr>
      <w:tr w:rsidR="00A63CFE" w14:paraId="003CA64F" w14:textId="77777777" w:rsidTr="00A63CFE">
        <w:tc>
          <w:tcPr>
            <w:tcW w:w="0" w:type="auto"/>
            <w:shd w:val="clear" w:color="auto" w:fill="D9E2F3" w:themeFill="accent1" w:themeFillTint="33"/>
          </w:tcPr>
          <w:p w14:paraId="7AACC96D" w14:textId="211DBDF9" w:rsidR="00A63CFE" w:rsidRPr="004C6264" w:rsidRDefault="00A63CFE" w:rsidP="00A2448B">
            <w:r>
              <w:t>2</w:t>
            </w:r>
          </w:p>
        </w:tc>
        <w:tc>
          <w:tcPr>
            <w:tcW w:w="6643" w:type="dxa"/>
            <w:shd w:val="clear" w:color="auto" w:fill="D9E2F3" w:themeFill="accent1" w:themeFillTint="33"/>
          </w:tcPr>
          <w:p w14:paraId="6ED0C783" w14:textId="0CE91E41" w:rsidR="00A63CFE" w:rsidRPr="004C6264" w:rsidRDefault="00A63CFE" w:rsidP="00A2448B">
            <w:r>
              <w:t xml:space="preserve">Re-tune all 7 candidate MPs operating south of </w:t>
            </w:r>
            <w:r w:rsidR="00B416CD">
              <w:t>10°S</w:t>
            </w:r>
            <w:r>
              <w:t xml:space="preserve"> with exclusion of TK and TV catches that are south of </w:t>
            </w:r>
            <w:r w:rsidR="00B416CD">
              <w:t>10°S</w:t>
            </w:r>
            <w:r>
              <w:t xml:space="preserve">. </w:t>
            </w:r>
          </w:p>
        </w:tc>
        <w:tc>
          <w:tcPr>
            <w:tcW w:w="0" w:type="auto"/>
            <w:shd w:val="clear" w:color="auto" w:fill="D9E2F3" w:themeFill="accent1" w:themeFillTint="33"/>
          </w:tcPr>
          <w:p w14:paraId="5A82D869" w14:textId="49141640" w:rsidR="00A63CFE" w:rsidRDefault="00A63CFE" w:rsidP="006E24B4">
            <w:pPr>
              <w:jc w:val="center"/>
            </w:pPr>
            <w:r>
              <w:t>FFA</w:t>
            </w:r>
          </w:p>
        </w:tc>
        <w:tc>
          <w:tcPr>
            <w:tcW w:w="0" w:type="auto"/>
            <w:shd w:val="clear" w:color="auto" w:fill="D9E2F3" w:themeFill="accent1" w:themeFillTint="33"/>
          </w:tcPr>
          <w:p w14:paraId="68B51CAB" w14:textId="5EBAF20B" w:rsidR="00A63CFE" w:rsidRDefault="00A63CFE" w:rsidP="006E24B4">
            <w:pPr>
              <w:jc w:val="center"/>
            </w:pPr>
            <w:r>
              <w:t>5</w:t>
            </w:r>
          </w:p>
        </w:tc>
        <w:tc>
          <w:tcPr>
            <w:tcW w:w="0" w:type="auto"/>
            <w:shd w:val="clear" w:color="auto" w:fill="D9E2F3" w:themeFill="accent1" w:themeFillTint="33"/>
          </w:tcPr>
          <w:p w14:paraId="0719B4E0" w14:textId="77777777" w:rsidR="00A63CFE" w:rsidRDefault="00A63CFE" w:rsidP="00A2448B"/>
        </w:tc>
      </w:tr>
      <w:tr w:rsidR="00A63CFE" w14:paraId="1F1042B1" w14:textId="77777777" w:rsidTr="00A63CFE">
        <w:tc>
          <w:tcPr>
            <w:tcW w:w="0" w:type="auto"/>
            <w:shd w:val="clear" w:color="auto" w:fill="D9E2F3" w:themeFill="accent1" w:themeFillTint="33"/>
          </w:tcPr>
          <w:p w14:paraId="28CDD8CE" w14:textId="0D0DAC7D" w:rsidR="00A63CFE" w:rsidRPr="004C6264" w:rsidRDefault="00A63CFE" w:rsidP="00A2448B">
            <w:r>
              <w:t>3</w:t>
            </w:r>
          </w:p>
        </w:tc>
        <w:tc>
          <w:tcPr>
            <w:tcW w:w="6643" w:type="dxa"/>
            <w:shd w:val="clear" w:color="auto" w:fill="D9E2F3" w:themeFill="accent1" w:themeFillTint="33"/>
          </w:tcPr>
          <w:p w14:paraId="2CB3BB15" w14:textId="3FC506AF" w:rsidR="00A63CFE" w:rsidRDefault="00A63CFE" w:rsidP="00A2448B">
            <w:r>
              <w:t>Perform sensitivity analyses on re-tuned MPs in #2</w:t>
            </w:r>
          </w:p>
        </w:tc>
        <w:tc>
          <w:tcPr>
            <w:tcW w:w="0" w:type="auto"/>
            <w:shd w:val="clear" w:color="auto" w:fill="D9E2F3" w:themeFill="accent1" w:themeFillTint="33"/>
          </w:tcPr>
          <w:p w14:paraId="061CE22F" w14:textId="77777777" w:rsidR="00A63CFE" w:rsidRDefault="00A63CFE" w:rsidP="006E24B4">
            <w:pPr>
              <w:jc w:val="center"/>
            </w:pPr>
          </w:p>
        </w:tc>
        <w:tc>
          <w:tcPr>
            <w:tcW w:w="0" w:type="auto"/>
            <w:shd w:val="clear" w:color="auto" w:fill="D9E2F3" w:themeFill="accent1" w:themeFillTint="33"/>
          </w:tcPr>
          <w:p w14:paraId="1D1DD87A" w14:textId="378831D0" w:rsidR="00A63CFE" w:rsidRDefault="00A63CFE" w:rsidP="006E24B4">
            <w:pPr>
              <w:jc w:val="center"/>
            </w:pPr>
            <w:r>
              <w:t>3</w:t>
            </w:r>
          </w:p>
        </w:tc>
        <w:tc>
          <w:tcPr>
            <w:tcW w:w="0" w:type="auto"/>
            <w:shd w:val="clear" w:color="auto" w:fill="D9E2F3" w:themeFill="accent1" w:themeFillTint="33"/>
          </w:tcPr>
          <w:p w14:paraId="1D068B07" w14:textId="77777777" w:rsidR="00A63CFE" w:rsidRDefault="00A63CFE" w:rsidP="00A2448B"/>
        </w:tc>
      </w:tr>
      <w:tr w:rsidR="00A63CFE" w14:paraId="517A8B04" w14:textId="77777777" w:rsidTr="00A63CFE">
        <w:tc>
          <w:tcPr>
            <w:tcW w:w="0" w:type="auto"/>
            <w:shd w:val="clear" w:color="auto" w:fill="D9E2F3" w:themeFill="accent1" w:themeFillTint="33"/>
          </w:tcPr>
          <w:p w14:paraId="1E4772DD" w14:textId="609EDF45" w:rsidR="00A63CFE" w:rsidRPr="004C6264" w:rsidRDefault="00A63CFE" w:rsidP="00A2448B">
            <w:r>
              <w:t>4</w:t>
            </w:r>
          </w:p>
        </w:tc>
        <w:tc>
          <w:tcPr>
            <w:tcW w:w="6643" w:type="dxa"/>
            <w:shd w:val="clear" w:color="auto" w:fill="D9E2F3" w:themeFill="accent1" w:themeFillTint="33"/>
          </w:tcPr>
          <w:p w14:paraId="1B5B5371" w14:textId="68F13ECB" w:rsidR="00A63CFE" w:rsidRPr="004C6264" w:rsidRDefault="00A63CFE" w:rsidP="00A2448B">
            <w:r w:rsidRPr="004C6264">
              <w:t>Develop additional MPs based on the current modified HCR 7 proposal (AU proposal) and HCR 13, which treat troll catch as an assumed and constant “external catch” in the MP. These MPs would be tuned to achieve the appropriate associated TRP. In developing these MPs the “external troll catch”</w:t>
            </w:r>
            <w:r>
              <w:t xml:space="preserve"> </w:t>
            </w:r>
            <w:r w:rsidRPr="004C6264">
              <w:t>could be set at 2000-2004 average troll levels (in line with the baseline referenced in CMM 2015-02) with a sensitivity of using the more recent average level of 2020 -2022 troll catch.</w:t>
            </w:r>
          </w:p>
        </w:tc>
        <w:tc>
          <w:tcPr>
            <w:tcW w:w="0" w:type="auto"/>
            <w:shd w:val="clear" w:color="auto" w:fill="D9E2F3" w:themeFill="accent1" w:themeFillTint="33"/>
          </w:tcPr>
          <w:p w14:paraId="199CE40E" w14:textId="2AB89CFA" w:rsidR="00A63CFE" w:rsidRDefault="00A63CFE" w:rsidP="006E24B4">
            <w:pPr>
              <w:jc w:val="center"/>
            </w:pPr>
            <w:r>
              <w:t>US</w:t>
            </w:r>
          </w:p>
        </w:tc>
        <w:tc>
          <w:tcPr>
            <w:tcW w:w="0" w:type="auto"/>
            <w:shd w:val="clear" w:color="auto" w:fill="D9E2F3" w:themeFill="accent1" w:themeFillTint="33"/>
          </w:tcPr>
          <w:p w14:paraId="32E5A3EF" w14:textId="6FDCA13F" w:rsidR="00A63CFE" w:rsidRDefault="00A63CFE" w:rsidP="006E24B4">
            <w:pPr>
              <w:jc w:val="center"/>
            </w:pPr>
            <w:r>
              <w:t>3</w:t>
            </w:r>
          </w:p>
        </w:tc>
        <w:tc>
          <w:tcPr>
            <w:tcW w:w="0" w:type="auto"/>
            <w:shd w:val="clear" w:color="auto" w:fill="D9E2F3" w:themeFill="accent1" w:themeFillTint="33"/>
          </w:tcPr>
          <w:p w14:paraId="7BDBA5D2" w14:textId="77777777" w:rsidR="00A63CFE" w:rsidRDefault="00A63CFE" w:rsidP="00A2448B">
            <w:r>
              <w:t>Equates to 4 new MPs</w:t>
            </w:r>
          </w:p>
          <w:p w14:paraId="3E86C5A7" w14:textId="164331E2" w:rsidR="00A63CFE" w:rsidRDefault="00A63CFE" w:rsidP="00A2448B">
            <w:r>
              <w:t xml:space="preserve">Assume </w:t>
            </w:r>
            <w:r w:rsidRPr="00136D26">
              <w:rPr>
                <w:u w:val="single"/>
              </w:rPr>
              <w:t>ONLY</w:t>
            </w:r>
            <w:r>
              <w:t xml:space="preserve"> HCR7 is excluding TK/TV catch south of </w:t>
            </w:r>
            <w:r w:rsidR="00B416CD">
              <w:t>10°S</w:t>
            </w:r>
            <w:r>
              <w:t xml:space="preserve"> here; #2 will need to be done first</w:t>
            </w:r>
          </w:p>
          <w:p w14:paraId="2ECEE02B" w14:textId="22A66846" w:rsidR="00A63CFE" w:rsidRDefault="00A63CFE" w:rsidP="00A2448B"/>
        </w:tc>
      </w:tr>
      <w:tr w:rsidR="006E24B4" w14:paraId="304538BB" w14:textId="77777777" w:rsidTr="00FD3364">
        <w:tc>
          <w:tcPr>
            <w:tcW w:w="0" w:type="auto"/>
            <w:shd w:val="clear" w:color="auto" w:fill="E2EFD9" w:themeFill="accent6" w:themeFillTint="33"/>
          </w:tcPr>
          <w:p w14:paraId="683EA4C4" w14:textId="77777777" w:rsidR="006E24B4" w:rsidRDefault="006E24B4" w:rsidP="00A2448B"/>
        </w:tc>
        <w:tc>
          <w:tcPr>
            <w:tcW w:w="13508" w:type="dxa"/>
            <w:gridSpan w:val="4"/>
            <w:shd w:val="clear" w:color="auto" w:fill="E2EFD9" w:themeFill="accent6" w:themeFillTint="33"/>
          </w:tcPr>
          <w:p w14:paraId="56BD1E6E" w14:textId="39D65BDA" w:rsidR="006E24B4" w:rsidRDefault="006E24B4" w:rsidP="00A2448B">
            <w:r w:rsidRPr="00A63CFE">
              <w:rPr>
                <w:b/>
                <w:bCs/>
              </w:rPr>
              <w:t>Additional sensitivity analyses</w:t>
            </w:r>
          </w:p>
        </w:tc>
      </w:tr>
      <w:tr w:rsidR="00A63CFE" w14:paraId="6392F796" w14:textId="77777777" w:rsidTr="00A63CFE">
        <w:tc>
          <w:tcPr>
            <w:tcW w:w="0" w:type="auto"/>
            <w:shd w:val="clear" w:color="auto" w:fill="E2EFD9" w:themeFill="accent6" w:themeFillTint="33"/>
          </w:tcPr>
          <w:p w14:paraId="342D6CB4" w14:textId="785C7A87" w:rsidR="00A63CFE" w:rsidRDefault="00A63CFE" w:rsidP="00A2448B">
            <w:r>
              <w:t>5</w:t>
            </w:r>
          </w:p>
        </w:tc>
        <w:tc>
          <w:tcPr>
            <w:tcW w:w="6643" w:type="dxa"/>
            <w:shd w:val="clear" w:color="auto" w:fill="E2EFD9" w:themeFill="accent6" w:themeFillTint="33"/>
          </w:tcPr>
          <w:p w14:paraId="28EC05FB" w14:textId="681B0405" w:rsidR="00A63CFE" w:rsidRPr="004C6264" w:rsidRDefault="00A63CFE" w:rsidP="00A2448B">
            <w:r w:rsidRPr="004C6264">
              <w:t>In considering proposed robustness testing of the MP</w:t>
            </w:r>
            <w:r>
              <w:t>7</w:t>
            </w:r>
            <w:r w:rsidRPr="004C6264">
              <w:t xml:space="preserve"> </w:t>
            </w:r>
            <w:r>
              <w:t>[</w:t>
            </w:r>
            <w:r w:rsidRPr="00136D26">
              <w:rPr>
                <w:b/>
                <w:bCs/>
              </w:rPr>
              <w:t>to be confirmed by US</w:t>
            </w:r>
            <w:r>
              <w:t xml:space="preserve">] </w:t>
            </w:r>
            <w:r w:rsidRPr="004C6264">
              <w:t xml:space="preserve">to EPO catch levels outside of historical observations, </w:t>
            </w:r>
            <w:r>
              <w:lastRenderedPageBreak/>
              <w:t xml:space="preserve">test </w:t>
            </w:r>
            <w:r w:rsidRPr="004C6264">
              <w:t>a level of 27,000 mt</w:t>
            </w:r>
            <w:r w:rsidR="00B416CD">
              <w:t>,</w:t>
            </w:r>
            <w:r w:rsidRPr="004C6264">
              <w:t xml:space="preserve"> which is approximately 10% higher than the largest observed catch level in 2021 of 24,700 mt</w:t>
            </w:r>
          </w:p>
        </w:tc>
        <w:tc>
          <w:tcPr>
            <w:tcW w:w="0" w:type="auto"/>
            <w:shd w:val="clear" w:color="auto" w:fill="E2EFD9" w:themeFill="accent6" w:themeFillTint="33"/>
          </w:tcPr>
          <w:p w14:paraId="01AE294E" w14:textId="682A9CED" w:rsidR="00A63CFE" w:rsidRDefault="00A63CFE" w:rsidP="006E24B4">
            <w:pPr>
              <w:jc w:val="center"/>
            </w:pPr>
            <w:r>
              <w:lastRenderedPageBreak/>
              <w:t>US</w:t>
            </w:r>
          </w:p>
        </w:tc>
        <w:tc>
          <w:tcPr>
            <w:tcW w:w="0" w:type="auto"/>
            <w:shd w:val="clear" w:color="auto" w:fill="E2EFD9" w:themeFill="accent6" w:themeFillTint="33"/>
          </w:tcPr>
          <w:p w14:paraId="117354E1" w14:textId="008DD8C3" w:rsidR="00A63CFE" w:rsidRDefault="00A63CFE" w:rsidP="006E24B4">
            <w:pPr>
              <w:jc w:val="center"/>
            </w:pPr>
            <w:r>
              <w:t>1</w:t>
            </w:r>
          </w:p>
        </w:tc>
        <w:tc>
          <w:tcPr>
            <w:tcW w:w="0" w:type="auto"/>
            <w:shd w:val="clear" w:color="auto" w:fill="E2EFD9" w:themeFill="accent6" w:themeFillTint="33"/>
          </w:tcPr>
          <w:p w14:paraId="5D9063C7" w14:textId="329DB0C7" w:rsidR="00A63CFE" w:rsidRDefault="00A63CFE" w:rsidP="00A2448B">
            <w:r>
              <w:t xml:space="preserve">In the absence of guidance, </w:t>
            </w:r>
            <w:r w:rsidR="00B416CD">
              <w:t xml:space="preserve">the catch in 0-10°S is </w:t>
            </w:r>
            <w:r>
              <w:t xml:space="preserve">assumed to be 12,000 mt. </w:t>
            </w:r>
          </w:p>
          <w:p w14:paraId="3E524136" w14:textId="02C2C5D7" w:rsidR="00A63CFE" w:rsidRDefault="00A63CFE" w:rsidP="00A2448B">
            <w:r>
              <w:lastRenderedPageBreak/>
              <w:t xml:space="preserve">If </w:t>
            </w:r>
            <w:r w:rsidR="00B416CD">
              <w:t xml:space="preserve">the </w:t>
            </w:r>
            <w:r>
              <w:t>new baseline excludes TK and TV, #2 will need to be done first.</w:t>
            </w:r>
          </w:p>
          <w:p w14:paraId="108BF06B" w14:textId="62661058" w:rsidR="00A63CFE" w:rsidRDefault="00A63CFE" w:rsidP="00A2448B">
            <w:r>
              <w:t>Robustness testing is usually performed only on those MPs most likely to be adopted.</w:t>
            </w:r>
          </w:p>
        </w:tc>
      </w:tr>
      <w:tr w:rsidR="00A63CFE" w14:paraId="5B197DBC" w14:textId="77777777" w:rsidTr="00A63CFE">
        <w:tc>
          <w:tcPr>
            <w:tcW w:w="0" w:type="auto"/>
            <w:shd w:val="clear" w:color="auto" w:fill="E2EFD9" w:themeFill="accent6" w:themeFillTint="33"/>
          </w:tcPr>
          <w:p w14:paraId="553F4192" w14:textId="2813E7FF" w:rsidR="00A63CFE" w:rsidRDefault="00A63CFE" w:rsidP="00A2448B">
            <w:r>
              <w:lastRenderedPageBreak/>
              <w:t>6</w:t>
            </w:r>
          </w:p>
        </w:tc>
        <w:tc>
          <w:tcPr>
            <w:tcW w:w="6643" w:type="dxa"/>
            <w:shd w:val="clear" w:color="auto" w:fill="E2EFD9" w:themeFill="accent6" w:themeFillTint="33"/>
          </w:tcPr>
          <w:p w14:paraId="3E73EB65" w14:textId="1239077C" w:rsidR="00A63CFE" w:rsidRPr="004C6264" w:rsidRDefault="00A63CFE" w:rsidP="00A2448B">
            <w:pPr>
              <w:rPr>
                <w:lang w:val="en-AU"/>
              </w:rPr>
            </w:pPr>
            <w:r>
              <w:rPr>
                <w:lang w:val="en-AU"/>
              </w:rPr>
              <w:t>R</w:t>
            </w:r>
            <w:r w:rsidRPr="009F2B0F">
              <w:rPr>
                <w:lang w:val="en-AU"/>
              </w:rPr>
              <w:t xml:space="preserve">un HCR7 </w:t>
            </w:r>
            <w:r>
              <w:rPr>
                <w:lang w:val="en-AU"/>
              </w:rPr>
              <w:t>with no constraint</w:t>
            </w:r>
          </w:p>
        </w:tc>
        <w:tc>
          <w:tcPr>
            <w:tcW w:w="0" w:type="auto"/>
            <w:shd w:val="clear" w:color="auto" w:fill="E2EFD9" w:themeFill="accent6" w:themeFillTint="33"/>
          </w:tcPr>
          <w:p w14:paraId="001A5371" w14:textId="07ACF44C" w:rsidR="00A63CFE" w:rsidRDefault="00A63CFE" w:rsidP="006E24B4">
            <w:pPr>
              <w:jc w:val="center"/>
            </w:pPr>
            <w:r>
              <w:t>US</w:t>
            </w:r>
          </w:p>
        </w:tc>
        <w:tc>
          <w:tcPr>
            <w:tcW w:w="0" w:type="auto"/>
            <w:shd w:val="clear" w:color="auto" w:fill="E2EFD9" w:themeFill="accent6" w:themeFillTint="33"/>
          </w:tcPr>
          <w:p w14:paraId="0CFFD00C" w14:textId="39E1636C" w:rsidR="00A63CFE" w:rsidRDefault="00A63CFE" w:rsidP="006E24B4">
            <w:pPr>
              <w:jc w:val="center"/>
            </w:pPr>
            <w:r>
              <w:t>1</w:t>
            </w:r>
          </w:p>
        </w:tc>
        <w:tc>
          <w:tcPr>
            <w:tcW w:w="0" w:type="auto"/>
            <w:shd w:val="clear" w:color="auto" w:fill="E2EFD9" w:themeFill="accent6" w:themeFillTint="33"/>
          </w:tcPr>
          <w:p w14:paraId="4CDD2677" w14:textId="4EDB73FC" w:rsidR="00A63CFE" w:rsidRDefault="00A63CFE" w:rsidP="00A2448B">
            <w:r>
              <w:t xml:space="preserve">If </w:t>
            </w:r>
            <w:r w:rsidR="00B416CD">
              <w:t xml:space="preserve">the </w:t>
            </w:r>
            <w:r>
              <w:t xml:space="preserve">new baseline excludes TK and TV, #2 will need to be done first </w:t>
            </w:r>
          </w:p>
        </w:tc>
      </w:tr>
      <w:tr w:rsidR="00A63CFE" w14:paraId="5A535840" w14:textId="77777777" w:rsidTr="00A63CFE">
        <w:tc>
          <w:tcPr>
            <w:tcW w:w="0" w:type="auto"/>
            <w:shd w:val="clear" w:color="auto" w:fill="E2EFD9" w:themeFill="accent6" w:themeFillTint="33"/>
          </w:tcPr>
          <w:p w14:paraId="761FBDC9" w14:textId="10AAC65A" w:rsidR="00A63CFE" w:rsidRPr="004C6264" w:rsidRDefault="00A63CFE" w:rsidP="00A2448B">
            <w:r>
              <w:t>7</w:t>
            </w:r>
          </w:p>
        </w:tc>
        <w:tc>
          <w:tcPr>
            <w:tcW w:w="6643" w:type="dxa"/>
            <w:shd w:val="clear" w:color="auto" w:fill="E2EFD9" w:themeFill="accent6" w:themeFillTint="33"/>
          </w:tcPr>
          <w:p w14:paraId="1145DE2B" w14:textId="74714061" w:rsidR="00A63CFE" w:rsidRPr="004C6264" w:rsidRDefault="00A63CFE" w:rsidP="00A2448B">
            <w:r w:rsidRPr="004C6264">
              <w:rPr>
                <w:lang w:val="en-AU"/>
              </w:rPr>
              <w:t>Updat</w:t>
            </w:r>
            <w:r>
              <w:rPr>
                <w:lang w:val="en-AU"/>
              </w:rPr>
              <w:t>e</w:t>
            </w:r>
            <w:r w:rsidRPr="004C6264">
              <w:rPr>
                <w:lang w:val="en-AU"/>
              </w:rPr>
              <w:t xml:space="preserve"> SPAMPLE to include </w:t>
            </w:r>
            <w:r w:rsidR="00B416CD">
              <w:rPr>
                <w:lang w:val="en-AU"/>
              </w:rPr>
              <w:t xml:space="preserve">the </w:t>
            </w:r>
            <w:r w:rsidRPr="004C6264">
              <w:rPr>
                <w:lang w:val="en-AU"/>
              </w:rPr>
              <w:t>full suite of considered MPs</w:t>
            </w:r>
          </w:p>
        </w:tc>
        <w:tc>
          <w:tcPr>
            <w:tcW w:w="0" w:type="auto"/>
            <w:shd w:val="clear" w:color="auto" w:fill="E2EFD9" w:themeFill="accent6" w:themeFillTint="33"/>
          </w:tcPr>
          <w:p w14:paraId="4068CA0C" w14:textId="2337355D" w:rsidR="00A63CFE" w:rsidRDefault="00A63CFE" w:rsidP="006E24B4">
            <w:pPr>
              <w:jc w:val="center"/>
            </w:pPr>
            <w:r>
              <w:t>US</w:t>
            </w:r>
          </w:p>
        </w:tc>
        <w:tc>
          <w:tcPr>
            <w:tcW w:w="0" w:type="auto"/>
            <w:shd w:val="clear" w:color="auto" w:fill="E2EFD9" w:themeFill="accent6" w:themeFillTint="33"/>
          </w:tcPr>
          <w:p w14:paraId="0F1C1191" w14:textId="5710E26D" w:rsidR="00A63CFE" w:rsidRDefault="00A63CFE" w:rsidP="006E24B4">
            <w:pPr>
              <w:jc w:val="center"/>
            </w:pPr>
            <w:r>
              <w:t>2</w:t>
            </w:r>
          </w:p>
        </w:tc>
        <w:tc>
          <w:tcPr>
            <w:tcW w:w="0" w:type="auto"/>
            <w:shd w:val="clear" w:color="auto" w:fill="E2EFD9" w:themeFill="accent6" w:themeFillTint="33"/>
          </w:tcPr>
          <w:p w14:paraId="42DAAE09" w14:textId="77777777" w:rsidR="00A63CFE" w:rsidRDefault="00A63CFE" w:rsidP="00A2448B"/>
        </w:tc>
      </w:tr>
      <w:tr w:rsidR="00A63CFE" w14:paraId="7E54B319" w14:textId="77777777" w:rsidTr="00A63CFE">
        <w:tc>
          <w:tcPr>
            <w:tcW w:w="0" w:type="auto"/>
            <w:shd w:val="clear" w:color="auto" w:fill="E2EFD9" w:themeFill="accent6" w:themeFillTint="33"/>
          </w:tcPr>
          <w:p w14:paraId="0D448D1F" w14:textId="3D1F56F5" w:rsidR="00A63CFE" w:rsidRPr="004C6264" w:rsidRDefault="00A63CFE" w:rsidP="00A2448B">
            <w:r>
              <w:t>8</w:t>
            </w:r>
          </w:p>
        </w:tc>
        <w:tc>
          <w:tcPr>
            <w:tcW w:w="6643" w:type="dxa"/>
            <w:shd w:val="clear" w:color="auto" w:fill="E2EFD9" w:themeFill="accent6" w:themeFillTint="33"/>
          </w:tcPr>
          <w:p w14:paraId="0E161031" w14:textId="5B930827" w:rsidR="00A63CFE" w:rsidRPr="004C6264" w:rsidRDefault="00A63CFE" w:rsidP="00A2448B">
            <w:r w:rsidRPr="00707402">
              <w:t xml:space="preserve">Perform additional robustness testing on </w:t>
            </w:r>
            <w:r w:rsidR="00B416CD">
              <w:t>a subset</w:t>
            </w:r>
            <w:r w:rsidRPr="00707402">
              <w:t xml:space="preserve"> of candidate MPs [</w:t>
            </w:r>
            <w:r w:rsidR="00E266C5" w:rsidRPr="00E266C5">
              <w:rPr>
                <w:b/>
                <w:bCs/>
              </w:rPr>
              <w:t>subset</w:t>
            </w:r>
            <w:r w:rsidR="00E266C5">
              <w:t xml:space="preserve"> </w:t>
            </w:r>
            <w:r w:rsidRPr="00707402">
              <w:rPr>
                <w:b/>
                <w:bCs/>
              </w:rPr>
              <w:t>to be defined by SPAM1?</w:t>
            </w:r>
            <w:r w:rsidRPr="00707402">
              <w:t>]</w:t>
            </w:r>
          </w:p>
        </w:tc>
        <w:tc>
          <w:tcPr>
            <w:tcW w:w="0" w:type="auto"/>
            <w:shd w:val="clear" w:color="auto" w:fill="E2EFD9" w:themeFill="accent6" w:themeFillTint="33"/>
          </w:tcPr>
          <w:p w14:paraId="7F77E3D1" w14:textId="77777777" w:rsidR="00A63CFE" w:rsidRDefault="00A63CFE" w:rsidP="006E24B4">
            <w:pPr>
              <w:jc w:val="center"/>
            </w:pPr>
          </w:p>
        </w:tc>
        <w:tc>
          <w:tcPr>
            <w:tcW w:w="0" w:type="auto"/>
            <w:shd w:val="clear" w:color="auto" w:fill="E2EFD9" w:themeFill="accent6" w:themeFillTint="33"/>
          </w:tcPr>
          <w:p w14:paraId="356BB5B9" w14:textId="77777777" w:rsidR="00A63CFE" w:rsidRDefault="00A63CFE" w:rsidP="006E24B4">
            <w:pPr>
              <w:jc w:val="center"/>
            </w:pPr>
          </w:p>
        </w:tc>
        <w:tc>
          <w:tcPr>
            <w:tcW w:w="0" w:type="auto"/>
            <w:shd w:val="clear" w:color="auto" w:fill="E2EFD9" w:themeFill="accent6" w:themeFillTint="33"/>
          </w:tcPr>
          <w:p w14:paraId="1E29B201" w14:textId="77777777" w:rsidR="00A63CFE" w:rsidRDefault="00A63CFE" w:rsidP="00A2448B">
            <w:r>
              <w:t>Effort creep and TLL levels</w:t>
            </w:r>
          </w:p>
          <w:p w14:paraId="0DDD8581" w14:textId="704596E7" w:rsidR="00A63CFE" w:rsidRDefault="00A63CFE" w:rsidP="00A2448B">
            <w:r>
              <w:t xml:space="preserve">Needs to be on a defined </w:t>
            </w:r>
            <w:r w:rsidR="00B416CD">
              <w:t xml:space="preserve">subset of MPs, with an </w:t>
            </w:r>
            <w:r>
              <w:t>agreed geographic scope.</w:t>
            </w:r>
          </w:p>
          <w:p w14:paraId="00274A29" w14:textId="43BA2DC0" w:rsidR="00A63CFE" w:rsidRDefault="00A63CFE" w:rsidP="00A2448B">
            <w:r>
              <w:t xml:space="preserve">Suggesting this is unlikely to be feasible until after decisions are made at WCPFC22 </w:t>
            </w:r>
          </w:p>
        </w:tc>
      </w:tr>
      <w:tr w:rsidR="006E24B4" w14:paraId="3B89AAB6" w14:textId="77777777" w:rsidTr="00CF3B8F">
        <w:tc>
          <w:tcPr>
            <w:tcW w:w="0" w:type="auto"/>
            <w:shd w:val="clear" w:color="auto" w:fill="FFF2CC" w:themeFill="accent4" w:themeFillTint="33"/>
          </w:tcPr>
          <w:p w14:paraId="22E3277B" w14:textId="77777777" w:rsidR="006E24B4" w:rsidRDefault="006E24B4" w:rsidP="00A2448B"/>
        </w:tc>
        <w:tc>
          <w:tcPr>
            <w:tcW w:w="13508" w:type="dxa"/>
            <w:gridSpan w:val="4"/>
            <w:shd w:val="clear" w:color="auto" w:fill="FFF2CC" w:themeFill="accent4" w:themeFillTint="33"/>
          </w:tcPr>
          <w:p w14:paraId="1B342C06" w14:textId="264DAC8C" w:rsidR="006E24B4" w:rsidRDefault="006E24B4" w:rsidP="00A2448B">
            <w:r w:rsidRPr="00A63CFE">
              <w:rPr>
                <w:b/>
                <w:bCs/>
              </w:rPr>
              <w:t>Other work</w:t>
            </w:r>
          </w:p>
        </w:tc>
      </w:tr>
      <w:tr w:rsidR="00A63CFE" w14:paraId="5F4D29A4" w14:textId="77777777" w:rsidTr="00A63CFE">
        <w:tc>
          <w:tcPr>
            <w:tcW w:w="0" w:type="auto"/>
            <w:shd w:val="clear" w:color="auto" w:fill="FFF2CC" w:themeFill="accent4" w:themeFillTint="33"/>
          </w:tcPr>
          <w:p w14:paraId="2CFFC0DA" w14:textId="4E89C05A" w:rsidR="00A63CFE" w:rsidRPr="004C6264" w:rsidRDefault="006D7512" w:rsidP="00A2448B">
            <w:r>
              <w:t>9</w:t>
            </w:r>
          </w:p>
        </w:tc>
        <w:tc>
          <w:tcPr>
            <w:tcW w:w="6643" w:type="dxa"/>
            <w:shd w:val="clear" w:color="auto" w:fill="FFF2CC" w:themeFill="accent4" w:themeFillTint="33"/>
          </w:tcPr>
          <w:p w14:paraId="1D87EE1F" w14:textId="2E62922A" w:rsidR="00A63CFE" w:rsidRPr="004C6264" w:rsidRDefault="00A63CFE" w:rsidP="00A2448B">
            <w:r w:rsidRPr="004C6264">
              <w:t>SPC paper be revised for WCPFC22</w:t>
            </w:r>
            <w:r w:rsidR="00B416CD">
              <w:t>,</w:t>
            </w:r>
            <w:r w:rsidRPr="004C6264">
              <w:t xml:space="preserve"> include catches in the modelled area of the application of the SPA MP, south of 10</w:t>
            </w:r>
            <w:r w:rsidR="00B416CD">
              <w:t>°</w:t>
            </w:r>
            <w:r w:rsidRPr="004C6264">
              <w:t>S</w:t>
            </w:r>
            <w:r w:rsidR="00B416CD">
              <w:t>,</w:t>
            </w:r>
            <w:r w:rsidRPr="004C6264">
              <w:t xml:space="preserve"> in the same </w:t>
            </w:r>
            <w:r>
              <w:t>figure</w:t>
            </w:r>
            <w:r w:rsidRPr="004C6264">
              <w:t xml:space="preserve"> </w:t>
            </w:r>
            <w:r>
              <w:t xml:space="preserve">presenting the </w:t>
            </w:r>
            <w:r w:rsidRPr="004C6264">
              <w:t>SPA catches from the equator to 10 S and in the EPO</w:t>
            </w:r>
          </w:p>
        </w:tc>
        <w:tc>
          <w:tcPr>
            <w:tcW w:w="0" w:type="auto"/>
            <w:shd w:val="clear" w:color="auto" w:fill="FFF2CC" w:themeFill="accent4" w:themeFillTint="33"/>
          </w:tcPr>
          <w:p w14:paraId="02C6E85E" w14:textId="5D62F513" w:rsidR="00A63CFE" w:rsidRDefault="00A63CFE" w:rsidP="006E24B4">
            <w:pPr>
              <w:jc w:val="center"/>
            </w:pPr>
            <w:r>
              <w:t>Japan</w:t>
            </w:r>
          </w:p>
        </w:tc>
        <w:tc>
          <w:tcPr>
            <w:tcW w:w="0" w:type="auto"/>
            <w:shd w:val="clear" w:color="auto" w:fill="FFF2CC" w:themeFill="accent4" w:themeFillTint="33"/>
          </w:tcPr>
          <w:p w14:paraId="23CD0E1B" w14:textId="39BEEB84" w:rsidR="00A63CFE" w:rsidRDefault="00A63CFE" w:rsidP="006E24B4">
            <w:pPr>
              <w:jc w:val="center"/>
            </w:pPr>
            <w:r>
              <w:t>0</w:t>
            </w:r>
          </w:p>
        </w:tc>
        <w:tc>
          <w:tcPr>
            <w:tcW w:w="0" w:type="auto"/>
            <w:shd w:val="clear" w:color="auto" w:fill="FFF2CC" w:themeFill="accent4" w:themeFillTint="33"/>
          </w:tcPr>
          <w:p w14:paraId="0CA2DEE2" w14:textId="77777777" w:rsidR="00A63CFE" w:rsidRDefault="00A63CFE" w:rsidP="00A2448B"/>
        </w:tc>
      </w:tr>
      <w:tr w:rsidR="00A63CFE" w14:paraId="18119C61" w14:textId="77777777" w:rsidTr="00A63CFE">
        <w:tc>
          <w:tcPr>
            <w:tcW w:w="0" w:type="auto"/>
            <w:shd w:val="clear" w:color="auto" w:fill="FFF2CC" w:themeFill="accent4" w:themeFillTint="33"/>
          </w:tcPr>
          <w:p w14:paraId="0AC34A2E" w14:textId="7D0BBD1F" w:rsidR="00A63CFE" w:rsidRPr="004C6264" w:rsidRDefault="00A63CFE" w:rsidP="00A2448B">
            <w:r>
              <w:t>1</w:t>
            </w:r>
            <w:r w:rsidR="006D7512">
              <w:t>0</w:t>
            </w:r>
          </w:p>
        </w:tc>
        <w:tc>
          <w:tcPr>
            <w:tcW w:w="6643" w:type="dxa"/>
            <w:shd w:val="clear" w:color="auto" w:fill="FFF2CC" w:themeFill="accent4" w:themeFillTint="33"/>
          </w:tcPr>
          <w:p w14:paraId="2881CBB7" w14:textId="3860B52A" w:rsidR="00A63CFE" w:rsidRPr="004C6264" w:rsidRDefault="00A63CFE" w:rsidP="00A2448B">
            <w:r>
              <w:t>T</w:t>
            </w:r>
            <w:r w:rsidRPr="000F557F">
              <w:t>he reference in the paper to “all” fisheries for SPA be clarified</w:t>
            </w:r>
          </w:p>
        </w:tc>
        <w:tc>
          <w:tcPr>
            <w:tcW w:w="0" w:type="auto"/>
            <w:shd w:val="clear" w:color="auto" w:fill="FFF2CC" w:themeFill="accent4" w:themeFillTint="33"/>
          </w:tcPr>
          <w:p w14:paraId="1670E421" w14:textId="7112EF3C" w:rsidR="00A63CFE" w:rsidRDefault="00A63CFE" w:rsidP="006E24B4">
            <w:pPr>
              <w:jc w:val="center"/>
            </w:pPr>
            <w:r>
              <w:t>Japan</w:t>
            </w:r>
          </w:p>
        </w:tc>
        <w:tc>
          <w:tcPr>
            <w:tcW w:w="0" w:type="auto"/>
            <w:shd w:val="clear" w:color="auto" w:fill="FFF2CC" w:themeFill="accent4" w:themeFillTint="33"/>
          </w:tcPr>
          <w:p w14:paraId="03EC85C2" w14:textId="707C70ED" w:rsidR="00A63CFE" w:rsidRDefault="00A63CFE" w:rsidP="006E24B4">
            <w:pPr>
              <w:jc w:val="center"/>
            </w:pPr>
            <w:r>
              <w:t>0</w:t>
            </w:r>
          </w:p>
        </w:tc>
        <w:tc>
          <w:tcPr>
            <w:tcW w:w="0" w:type="auto"/>
            <w:shd w:val="clear" w:color="auto" w:fill="FFF2CC" w:themeFill="accent4" w:themeFillTint="33"/>
          </w:tcPr>
          <w:p w14:paraId="23D406B2" w14:textId="4B996696" w:rsidR="00A63CFE" w:rsidRDefault="00B836EA" w:rsidP="00A2448B">
            <w:r>
              <w:t>SSP w</w:t>
            </w:r>
            <w:r w:rsidR="00A63CFE">
              <w:t>ill tighten</w:t>
            </w:r>
            <w:r>
              <w:t xml:space="preserve"> the</w:t>
            </w:r>
            <w:r w:rsidR="00A63CFE">
              <w:t xml:space="preserve"> text up.</w:t>
            </w:r>
          </w:p>
        </w:tc>
      </w:tr>
      <w:tr w:rsidR="00A63CFE" w14:paraId="4B651BB0" w14:textId="77777777" w:rsidTr="00A63CFE">
        <w:tc>
          <w:tcPr>
            <w:tcW w:w="0" w:type="auto"/>
            <w:shd w:val="clear" w:color="auto" w:fill="FFF2CC" w:themeFill="accent4" w:themeFillTint="33"/>
          </w:tcPr>
          <w:p w14:paraId="2F2CA6F5" w14:textId="6A3083B3" w:rsidR="00A63CFE" w:rsidRPr="004C6264" w:rsidRDefault="00A63CFE" w:rsidP="00A2448B">
            <w:r>
              <w:t>1</w:t>
            </w:r>
            <w:r w:rsidR="006D7512">
              <w:t>1</w:t>
            </w:r>
          </w:p>
        </w:tc>
        <w:tc>
          <w:tcPr>
            <w:tcW w:w="6643" w:type="dxa"/>
            <w:shd w:val="clear" w:color="auto" w:fill="FFF2CC" w:themeFill="accent4" w:themeFillTint="33"/>
          </w:tcPr>
          <w:p w14:paraId="0E9F310D" w14:textId="213806FE" w:rsidR="00A63CFE" w:rsidRPr="004C6264" w:rsidRDefault="00A63CFE" w:rsidP="00A2448B">
            <w:r>
              <w:t xml:space="preserve">Catch composition of LL catches in </w:t>
            </w:r>
            <w:r w:rsidR="00B416CD">
              <w:t xml:space="preserve">the </w:t>
            </w:r>
            <w:r>
              <w:t xml:space="preserve">Tokelau and Tuvalu EEZ between </w:t>
            </w:r>
            <w:r w:rsidR="00B416CD">
              <w:t xml:space="preserve">the </w:t>
            </w:r>
            <w:r>
              <w:t>equator and 10 degrees south</w:t>
            </w:r>
          </w:p>
        </w:tc>
        <w:tc>
          <w:tcPr>
            <w:tcW w:w="0" w:type="auto"/>
            <w:shd w:val="clear" w:color="auto" w:fill="FFF2CC" w:themeFill="accent4" w:themeFillTint="33"/>
          </w:tcPr>
          <w:p w14:paraId="0C297048" w14:textId="34487AE7" w:rsidR="00A63CFE" w:rsidRDefault="00A63CFE" w:rsidP="006E24B4">
            <w:pPr>
              <w:jc w:val="center"/>
            </w:pPr>
            <w:r>
              <w:t>New Caledonia</w:t>
            </w:r>
          </w:p>
        </w:tc>
        <w:tc>
          <w:tcPr>
            <w:tcW w:w="0" w:type="auto"/>
            <w:shd w:val="clear" w:color="auto" w:fill="FFF2CC" w:themeFill="accent4" w:themeFillTint="33"/>
          </w:tcPr>
          <w:p w14:paraId="2CC5223F" w14:textId="710530C7" w:rsidR="00A63CFE" w:rsidRDefault="00A63CFE" w:rsidP="006E24B4">
            <w:pPr>
              <w:jc w:val="center"/>
            </w:pPr>
            <w:r>
              <w:t>1</w:t>
            </w:r>
          </w:p>
        </w:tc>
        <w:tc>
          <w:tcPr>
            <w:tcW w:w="0" w:type="auto"/>
            <w:shd w:val="clear" w:color="auto" w:fill="FFF2CC" w:themeFill="accent4" w:themeFillTint="33"/>
          </w:tcPr>
          <w:p w14:paraId="21BF852F" w14:textId="23B626EA" w:rsidR="00A63CFE" w:rsidRDefault="00A63CFE" w:rsidP="00A2448B">
            <w:r>
              <w:t xml:space="preserve">Assume as an average over 2020-2023. Note plots are available in </w:t>
            </w:r>
            <w:r w:rsidR="00B416CD">
              <w:t xml:space="preserve">the </w:t>
            </w:r>
            <w:r>
              <w:t>TK Part 1 report.</w:t>
            </w:r>
          </w:p>
        </w:tc>
      </w:tr>
      <w:tr w:rsidR="00A63CFE" w14:paraId="3303566E" w14:textId="77777777" w:rsidTr="00A63CFE">
        <w:tc>
          <w:tcPr>
            <w:tcW w:w="0" w:type="auto"/>
            <w:shd w:val="clear" w:color="auto" w:fill="FFF2CC" w:themeFill="accent4" w:themeFillTint="33"/>
          </w:tcPr>
          <w:p w14:paraId="3116EE0F" w14:textId="4E45DB45" w:rsidR="00A63CFE" w:rsidRPr="004C6264" w:rsidRDefault="00A63CFE" w:rsidP="00A2448B">
            <w:r>
              <w:t>1</w:t>
            </w:r>
            <w:r w:rsidR="006D7512">
              <w:t>2</w:t>
            </w:r>
          </w:p>
        </w:tc>
        <w:tc>
          <w:tcPr>
            <w:tcW w:w="6643" w:type="dxa"/>
            <w:shd w:val="clear" w:color="auto" w:fill="FFF2CC" w:themeFill="accent4" w:themeFillTint="33"/>
          </w:tcPr>
          <w:p w14:paraId="129B0999" w14:textId="44BD0D5B" w:rsidR="00A63CFE" w:rsidRPr="004C6264" w:rsidRDefault="00A63CFE" w:rsidP="00A2448B">
            <w:r>
              <w:t xml:space="preserve">Proportion of domestic and </w:t>
            </w:r>
            <w:r w:rsidRPr="00024094">
              <w:t>foreign catches</w:t>
            </w:r>
            <w:r>
              <w:t xml:space="preserve"> in </w:t>
            </w:r>
            <w:r w:rsidR="00B416CD">
              <w:t xml:space="preserve">the </w:t>
            </w:r>
            <w:r>
              <w:t xml:space="preserve">Tokelau and Tuvalu EEZ between </w:t>
            </w:r>
            <w:r w:rsidR="00B416CD">
              <w:t xml:space="preserve">the </w:t>
            </w:r>
            <w:r>
              <w:t xml:space="preserve">equator and </w:t>
            </w:r>
            <w:r w:rsidR="00B416CD" w:rsidRPr="004C6264">
              <w:t>10</w:t>
            </w:r>
            <w:r w:rsidR="00B416CD">
              <w:t>°</w:t>
            </w:r>
            <w:r w:rsidR="00B416CD" w:rsidRPr="004C6264">
              <w:t>S</w:t>
            </w:r>
            <w:r w:rsidR="00B416CD">
              <w:t>.</w:t>
            </w:r>
          </w:p>
        </w:tc>
        <w:tc>
          <w:tcPr>
            <w:tcW w:w="0" w:type="auto"/>
            <w:shd w:val="clear" w:color="auto" w:fill="FFF2CC" w:themeFill="accent4" w:themeFillTint="33"/>
          </w:tcPr>
          <w:p w14:paraId="60CBFF62" w14:textId="19D5A2A1" w:rsidR="00A63CFE" w:rsidRDefault="00A63CFE" w:rsidP="006E24B4">
            <w:pPr>
              <w:jc w:val="center"/>
            </w:pPr>
            <w:r>
              <w:t>New Caledonia</w:t>
            </w:r>
          </w:p>
        </w:tc>
        <w:tc>
          <w:tcPr>
            <w:tcW w:w="0" w:type="auto"/>
            <w:shd w:val="clear" w:color="auto" w:fill="FFF2CC" w:themeFill="accent4" w:themeFillTint="33"/>
          </w:tcPr>
          <w:p w14:paraId="0D11336A" w14:textId="6F2D25B8" w:rsidR="00A63CFE" w:rsidRDefault="00A63CFE" w:rsidP="006E24B4">
            <w:pPr>
              <w:jc w:val="center"/>
            </w:pPr>
            <w:r>
              <w:t>-</w:t>
            </w:r>
          </w:p>
        </w:tc>
        <w:tc>
          <w:tcPr>
            <w:tcW w:w="0" w:type="auto"/>
            <w:shd w:val="clear" w:color="auto" w:fill="FFF2CC" w:themeFill="accent4" w:themeFillTint="33"/>
          </w:tcPr>
          <w:p w14:paraId="67EE10B1" w14:textId="608013F9" w:rsidR="00A63CFE" w:rsidRDefault="00A63CFE" w:rsidP="00A2448B">
            <w:r>
              <w:t>To be advised by TV (TK responded during SPAM1)</w:t>
            </w:r>
            <w:r w:rsidR="00D201A1">
              <w:t>. Some details are available in Part 1 report</w:t>
            </w:r>
            <w:r w:rsidR="006E24B4">
              <w:t>s</w:t>
            </w:r>
            <w:r w:rsidR="00D201A1">
              <w:t>.</w:t>
            </w:r>
          </w:p>
        </w:tc>
      </w:tr>
      <w:tr w:rsidR="00A63CFE" w14:paraId="3E264D63" w14:textId="77777777" w:rsidTr="00A63CFE">
        <w:tc>
          <w:tcPr>
            <w:tcW w:w="0" w:type="auto"/>
            <w:shd w:val="clear" w:color="auto" w:fill="FFF2CC" w:themeFill="accent4" w:themeFillTint="33"/>
          </w:tcPr>
          <w:p w14:paraId="6B97951F" w14:textId="52A83D68" w:rsidR="00A63CFE" w:rsidRPr="004C6264" w:rsidRDefault="00A63CFE" w:rsidP="00A2448B">
            <w:r>
              <w:t>1</w:t>
            </w:r>
            <w:r w:rsidR="006D7512">
              <w:t>3</w:t>
            </w:r>
          </w:p>
        </w:tc>
        <w:tc>
          <w:tcPr>
            <w:tcW w:w="6643" w:type="dxa"/>
            <w:shd w:val="clear" w:color="auto" w:fill="FFF2CC" w:themeFill="accent4" w:themeFillTint="33"/>
          </w:tcPr>
          <w:p w14:paraId="190E22D1" w14:textId="4F8E0003" w:rsidR="00A63CFE" w:rsidRDefault="00A63CFE" w:rsidP="00A2448B">
            <w:r>
              <w:t>Use a</w:t>
            </w:r>
            <w:r w:rsidRPr="000F557F">
              <w:t xml:space="preserve"> baseline of 2000-2004 and 2005</w:t>
            </w:r>
            <w:r>
              <w:t xml:space="preserve"> within MPs</w:t>
            </w:r>
            <w:r w:rsidRPr="000F557F">
              <w:t>, as in CMM 2015-02</w:t>
            </w:r>
          </w:p>
        </w:tc>
        <w:tc>
          <w:tcPr>
            <w:tcW w:w="0" w:type="auto"/>
            <w:shd w:val="clear" w:color="auto" w:fill="FFF2CC" w:themeFill="accent4" w:themeFillTint="33"/>
          </w:tcPr>
          <w:p w14:paraId="4E5A641F" w14:textId="6A4BD17F" w:rsidR="00A63CFE" w:rsidRDefault="00A63CFE" w:rsidP="006E24B4">
            <w:pPr>
              <w:jc w:val="center"/>
            </w:pPr>
            <w:r>
              <w:t>Japan</w:t>
            </w:r>
          </w:p>
        </w:tc>
        <w:tc>
          <w:tcPr>
            <w:tcW w:w="0" w:type="auto"/>
            <w:shd w:val="clear" w:color="auto" w:fill="FFF2CC" w:themeFill="accent4" w:themeFillTint="33"/>
          </w:tcPr>
          <w:p w14:paraId="7CBFDBF0" w14:textId="1C89A54D" w:rsidR="00A63CFE" w:rsidRDefault="00A63CFE" w:rsidP="006E24B4">
            <w:pPr>
              <w:jc w:val="center"/>
            </w:pPr>
            <w:r>
              <w:t>2</w:t>
            </w:r>
          </w:p>
        </w:tc>
        <w:tc>
          <w:tcPr>
            <w:tcW w:w="0" w:type="auto"/>
            <w:shd w:val="clear" w:color="auto" w:fill="FFF2CC" w:themeFill="accent4" w:themeFillTint="33"/>
          </w:tcPr>
          <w:p w14:paraId="74B21611" w14:textId="77777777" w:rsidR="00A63CFE" w:rsidRDefault="00A63CFE" w:rsidP="00A2448B">
            <w:r>
              <w:t>Is this for longlines only?</w:t>
            </w:r>
          </w:p>
          <w:p w14:paraId="67658EDB" w14:textId="132F6754" w:rsidR="00A63CFE" w:rsidRDefault="00A63CFE" w:rsidP="00A2448B">
            <w:r>
              <w:t>This has no material impact on the performance or outputs of the MPs.</w:t>
            </w:r>
          </w:p>
        </w:tc>
      </w:tr>
      <w:tr w:rsidR="00085D03" w14:paraId="28B6397A" w14:textId="77777777" w:rsidTr="00B416CD">
        <w:trPr>
          <w:trHeight w:val="395"/>
        </w:trPr>
        <w:tc>
          <w:tcPr>
            <w:tcW w:w="13948" w:type="dxa"/>
            <w:gridSpan w:val="5"/>
            <w:vAlign w:val="center"/>
          </w:tcPr>
          <w:p w14:paraId="6EB5259E" w14:textId="5B2A020D" w:rsidR="00085D03" w:rsidRPr="00085D03" w:rsidRDefault="00085D03" w:rsidP="00B416CD">
            <w:pPr>
              <w:rPr>
                <w:b/>
                <w:bCs/>
              </w:rPr>
            </w:pPr>
            <w:r w:rsidRPr="00A2448B">
              <w:rPr>
                <w:b/>
                <w:bCs/>
              </w:rPr>
              <w:t>Maximum ‘points’ available</w:t>
            </w:r>
            <w:r>
              <w:rPr>
                <w:b/>
                <w:bCs/>
              </w:rPr>
              <w:t xml:space="preserve"> for the selection from the options listed in the above = 1</w:t>
            </w:r>
            <w:r w:rsidRPr="00A2448B">
              <w:rPr>
                <w:b/>
                <w:bCs/>
              </w:rPr>
              <w:t>4</w:t>
            </w:r>
            <w:r>
              <w:rPr>
                <w:b/>
                <w:bCs/>
              </w:rPr>
              <w:t>.</w:t>
            </w:r>
          </w:p>
        </w:tc>
      </w:tr>
    </w:tbl>
    <w:p w14:paraId="0F35441A" w14:textId="77777777" w:rsidR="00B416CD" w:rsidRDefault="00B416CD" w:rsidP="00B416CD">
      <w:pPr>
        <w:spacing w:after="0" w:line="240" w:lineRule="auto"/>
        <w:rPr>
          <w:b/>
          <w:bCs/>
        </w:rPr>
      </w:pPr>
    </w:p>
    <w:p w14:paraId="58A0EA5F" w14:textId="4FBC8B35" w:rsidR="00A2448B" w:rsidRPr="00A63CFE" w:rsidRDefault="00A63CFE" w:rsidP="000F557F">
      <w:pPr>
        <w:rPr>
          <w:b/>
          <w:bCs/>
        </w:rPr>
      </w:pPr>
      <w:r w:rsidRPr="00A63CFE">
        <w:rPr>
          <w:b/>
          <w:bCs/>
        </w:rPr>
        <w:t>Essential SSP</w:t>
      </w:r>
      <w:r w:rsidR="00A2448B" w:rsidRPr="00A63CFE">
        <w:rPr>
          <w:b/>
          <w:bCs/>
        </w:rPr>
        <w:t xml:space="preserve"> activities prior to WCPFC22</w:t>
      </w:r>
    </w:p>
    <w:tbl>
      <w:tblPr>
        <w:tblStyle w:val="TableGrid"/>
        <w:tblW w:w="0" w:type="auto"/>
        <w:tblLook w:val="04A0" w:firstRow="1" w:lastRow="0" w:firstColumn="1" w:lastColumn="0" w:noHBand="0" w:noVBand="1"/>
      </w:tblPr>
      <w:tblGrid>
        <w:gridCol w:w="562"/>
        <w:gridCol w:w="6521"/>
        <w:gridCol w:w="1599"/>
        <w:gridCol w:w="782"/>
        <w:gridCol w:w="4423"/>
      </w:tblGrid>
      <w:tr w:rsidR="00A63CFE" w14:paraId="59354A5B" w14:textId="77777777" w:rsidTr="006D7512">
        <w:tc>
          <w:tcPr>
            <w:tcW w:w="562" w:type="dxa"/>
          </w:tcPr>
          <w:p w14:paraId="7E8AEE19" w14:textId="77777777" w:rsidR="00A63CFE" w:rsidRDefault="00A63CFE" w:rsidP="00A63CFE"/>
        </w:tc>
        <w:tc>
          <w:tcPr>
            <w:tcW w:w="6521" w:type="dxa"/>
          </w:tcPr>
          <w:p w14:paraId="6D8E099A" w14:textId="31F3997B" w:rsidR="00A63CFE" w:rsidRDefault="00A63CFE" w:rsidP="00A63CFE">
            <w:r w:rsidRPr="00B63D9F">
              <w:rPr>
                <w:b/>
                <w:bCs/>
              </w:rPr>
              <w:t>Request to SSP</w:t>
            </w:r>
          </w:p>
        </w:tc>
        <w:tc>
          <w:tcPr>
            <w:tcW w:w="1599" w:type="dxa"/>
          </w:tcPr>
          <w:p w14:paraId="7D13582C" w14:textId="6953CC83" w:rsidR="00A63CFE" w:rsidRDefault="00A63CFE" w:rsidP="006E24B4">
            <w:pPr>
              <w:jc w:val="center"/>
            </w:pPr>
            <w:r w:rsidRPr="00B63D9F">
              <w:rPr>
                <w:b/>
                <w:bCs/>
              </w:rPr>
              <w:t>CCM/Observer</w:t>
            </w:r>
          </w:p>
        </w:tc>
        <w:tc>
          <w:tcPr>
            <w:tcW w:w="782" w:type="dxa"/>
          </w:tcPr>
          <w:p w14:paraId="6A2A7A4E" w14:textId="4ED9ACB5" w:rsidR="00A63CFE" w:rsidRDefault="00A63CFE" w:rsidP="006E24B4">
            <w:pPr>
              <w:jc w:val="center"/>
            </w:pPr>
            <w:r w:rsidRPr="00B63D9F">
              <w:rPr>
                <w:b/>
                <w:bCs/>
              </w:rPr>
              <w:t>Points</w:t>
            </w:r>
          </w:p>
        </w:tc>
        <w:tc>
          <w:tcPr>
            <w:tcW w:w="4423" w:type="dxa"/>
          </w:tcPr>
          <w:p w14:paraId="7AA2F8F2" w14:textId="0FC383E8" w:rsidR="00A63CFE" w:rsidRDefault="00A63CFE" w:rsidP="00A63CFE">
            <w:r w:rsidRPr="00B63D9F">
              <w:rPr>
                <w:b/>
                <w:bCs/>
              </w:rPr>
              <w:t>Notes</w:t>
            </w:r>
          </w:p>
        </w:tc>
      </w:tr>
      <w:tr w:rsidR="00A63CFE" w14:paraId="2363AA33" w14:textId="77777777" w:rsidTr="006D7512">
        <w:tc>
          <w:tcPr>
            <w:tcW w:w="562" w:type="dxa"/>
            <w:shd w:val="clear" w:color="auto" w:fill="FBE4D5" w:themeFill="accent2" w:themeFillTint="33"/>
          </w:tcPr>
          <w:p w14:paraId="576B2297" w14:textId="39DDB038" w:rsidR="00A63CFE" w:rsidRDefault="00A63CFE" w:rsidP="00DE06D3"/>
        </w:tc>
        <w:tc>
          <w:tcPr>
            <w:tcW w:w="6521" w:type="dxa"/>
            <w:shd w:val="clear" w:color="auto" w:fill="FBE4D5" w:themeFill="accent2" w:themeFillTint="33"/>
          </w:tcPr>
          <w:p w14:paraId="54336446" w14:textId="77777777" w:rsidR="00A63CFE" w:rsidRPr="004C6264" w:rsidRDefault="00A63CFE" w:rsidP="00DE06D3">
            <w:r>
              <w:t>Run the estimation method using data up to 2023 and calculate the output from all candidate MPs</w:t>
            </w:r>
          </w:p>
        </w:tc>
        <w:tc>
          <w:tcPr>
            <w:tcW w:w="1599" w:type="dxa"/>
            <w:shd w:val="clear" w:color="auto" w:fill="FBE4D5" w:themeFill="accent2" w:themeFillTint="33"/>
          </w:tcPr>
          <w:p w14:paraId="529AC245" w14:textId="77777777" w:rsidR="00A63CFE" w:rsidRDefault="00A63CFE" w:rsidP="006E24B4">
            <w:pPr>
              <w:jc w:val="center"/>
            </w:pPr>
          </w:p>
        </w:tc>
        <w:tc>
          <w:tcPr>
            <w:tcW w:w="782" w:type="dxa"/>
            <w:shd w:val="clear" w:color="auto" w:fill="FBE4D5" w:themeFill="accent2" w:themeFillTint="33"/>
          </w:tcPr>
          <w:p w14:paraId="161BC00A" w14:textId="0944D3F8" w:rsidR="00A63CFE" w:rsidRDefault="00D87F44" w:rsidP="006E24B4">
            <w:pPr>
              <w:jc w:val="center"/>
            </w:pPr>
            <w:r>
              <w:t>(</w:t>
            </w:r>
            <w:r w:rsidR="00A63CFE">
              <w:t>4</w:t>
            </w:r>
            <w:r>
              <w:t>)</w:t>
            </w:r>
          </w:p>
        </w:tc>
        <w:tc>
          <w:tcPr>
            <w:tcW w:w="4423" w:type="dxa"/>
            <w:shd w:val="clear" w:color="auto" w:fill="FBE4D5" w:themeFill="accent2" w:themeFillTint="33"/>
          </w:tcPr>
          <w:p w14:paraId="41A2F37C" w14:textId="77777777" w:rsidR="00A63CFE" w:rsidRDefault="00A63CFE" w:rsidP="00DE06D3">
            <w:r>
              <w:t>This needs to be done to meet the harvest strategy workplan timetable.</w:t>
            </w:r>
          </w:p>
        </w:tc>
      </w:tr>
    </w:tbl>
    <w:p w14:paraId="1AD1245E" w14:textId="77777777" w:rsidR="00B416CD" w:rsidRDefault="00B416CD" w:rsidP="00B416CD">
      <w:pPr>
        <w:pStyle w:val="NormalWeb"/>
        <w:rPr>
          <w:rStyle w:val="Strong"/>
          <w:rFonts w:eastAsiaTheme="majorEastAsia"/>
        </w:rPr>
        <w:sectPr w:rsidR="00B416CD" w:rsidSect="004C6264">
          <w:pgSz w:w="16838" w:h="11906" w:orient="landscape"/>
          <w:pgMar w:top="1440" w:right="1440" w:bottom="1440" w:left="1440" w:header="708" w:footer="708" w:gutter="0"/>
          <w:cols w:space="708"/>
          <w:docGrid w:linePitch="360"/>
        </w:sectPr>
      </w:pPr>
    </w:p>
    <w:p w14:paraId="3D95D560" w14:textId="77777777" w:rsidR="00B416CD" w:rsidRDefault="00B416CD" w:rsidP="00B416CD">
      <w:pPr>
        <w:pStyle w:val="NormalWeb"/>
        <w:rPr>
          <w:rStyle w:val="Strong"/>
          <w:rFonts w:eastAsiaTheme="majorEastAsia"/>
        </w:rPr>
      </w:pPr>
    </w:p>
    <w:p w14:paraId="571C2AC3" w14:textId="71A13008" w:rsidR="00B416CD" w:rsidRPr="00B416CD" w:rsidRDefault="00B416CD" w:rsidP="00B416CD">
      <w:pPr>
        <w:pStyle w:val="NormalWeb"/>
        <w:jc w:val="center"/>
        <w:rPr>
          <w:rStyle w:val="Strong"/>
          <w:rFonts w:ascii="Calibri" w:eastAsiaTheme="majorEastAsia" w:hAnsi="Calibri" w:cs="Calibri"/>
          <w:sz w:val="22"/>
          <w:szCs w:val="22"/>
        </w:rPr>
      </w:pPr>
      <w:r>
        <w:rPr>
          <w:rStyle w:val="Strong"/>
          <w:rFonts w:ascii="Calibri" w:eastAsiaTheme="majorEastAsia" w:hAnsi="Calibri" w:cs="Calibri"/>
          <w:sz w:val="22"/>
          <w:szCs w:val="22"/>
        </w:rPr>
        <w:t>ADDITIONAL EXPLANATORY</w:t>
      </w:r>
      <w:r w:rsidRPr="00B416CD">
        <w:rPr>
          <w:rStyle w:val="Strong"/>
          <w:rFonts w:ascii="Calibri" w:eastAsiaTheme="majorEastAsia" w:hAnsi="Calibri" w:cs="Calibri"/>
          <w:sz w:val="22"/>
          <w:szCs w:val="22"/>
        </w:rPr>
        <w:t xml:space="preserve"> NOTES</w:t>
      </w:r>
    </w:p>
    <w:p w14:paraId="55410711" w14:textId="416B9411" w:rsidR="00B416CD" w:rsidRPr="00B416CD" w:rsidRDefault="00B416CD" w:rsidP="00B416CD">
      <w:pPr>
        <w:pStyle w:val="NormalWeb"/>
        <w:rPr>
          <w:rFonts w:ascii="Calibri" w:hAnsi="Calibri" w:cs="Calibri"/>
          <w:sz w:val="22"/>
          <w:szCs w:val="22"/>
        </w:rPr>
      </w:pPr>
      <w:r w:rsidRPr="00B416CD">
        <w:rPr>
          <w:rStyle w:val="Strong"/>
          <w:rFonts w:ascii="Calibri" w:eastAsiaTheme="majorEastAsia" w:hAnsi="Calibri" w:cs="Calibri"/>
          <w:sz w:val="22"/>
          <w:szCs w:val="22"/>
        </w:rPr>
        <w:t>1. Grouping and Scoring of Requests</w:t>
      </w:r>
      <w:r w:rsidRPr="00B416CD">
        <w:rPr>
          <w:rFonts w:ascii="Calibri" w:hAnsi="Calibri" w:cs="Calibri"/>
          <w:sz w:val="22"/>
          <w:szCs w:val="22"/>
        </w:rPr>
        <w:br/>
        <w:t>The SSP has grouped and ‘scored’ the requests according to the level of SSP input required to deliver them.</w:t>
      </w:r>
    </w:p>
    <w:p w14:paraId="3AB8FB0E" w14:textId="77777777" w:rsidR="00B416CD" w:rsidRPr="00B416CD" w:rsidRDefault="00B416CD" w:rsidP="00B416CD">
      <w:pPr>
        <w:pStyle w:val="NormalWeb"/>
        <w:rPr>
          <w:rFonts w:ascii="Calibri" w:hAnsi="Calibri" w:cs="Calibri"/>
          <w:sz w:val="22"/>
          <w:szCs w:val="22"/>
        </w:rPr>
      </w:pPr>
      <w:r w:rsidRPr="00B416CD">
        <w:rPr>
          <w:rStyle w:val="Strong"/>
          <w:rFonts w:ascii="Calibri" w:eastAsiaTheme="majorEastAsia" w:hAnsi="Calibri" w:cs="Calibri"/>
          <w:sz w:val="22"/>
          <w:szCs w:val="22"/>
        </w:rPr>
        <w:t>2. Notes and Conditional Questions</w:t>
      </w:r>
      <w:r w:rsidRPr="00B416CD">
        <w:rPr>
          <w:rFonts w:ascii="Calibri" w:hAnsi="Calibri" w:cs="Calibri"/>
          <w:sz w:val="22"/>
          <w:szCs w:val="22"/>
        </w:rPr>
        <w:br/>
        <w:t>The notes in the last column further define the work being assessed and include bolded questions which, depending on the answers, may affect the level of effort needed.</w:t>
      </w:r>
    </w:p>
    <w:p w14:paraId="658426CB" w14:textId="77777777" w:rsidR="00B416CD" w:rsidRPr="00B416CD" w:rsidRDefault="00B416CD" w:rsidP="00B416CD">
      <w:pPr>
        <w:pStyle w:val="NormalWeb"/>
        <w:rPr>
          <w:rFonts w:ascii="Calibri" w:hAnsi="Calibri" w:cs="Calibri"/>
          <w:sz w:val="22"/>
          <w:szCs w:val="22"/>
        </w:rPr>
      </w:pPr>
      <w:r w:rsidRPr="00B416CD">
        <w:rPr>
          <w:rStyle w:val="Strong"/>
          <w:rFonts w:ascii="Calibri" w:eastAsiaTheme="majorEastAsia" w:hAnsi="Calibri" w:cs="Calibri"/>
          <w:sz w:val="22"/>
          <w:szCs w:val="22"/>
        </w:rPr>
        <w:t>3. Request #1 (Equator-South Request)</w:t>
      </w:r>
    </w:p>
    <w:p w14:paraId="19D12A5E" w14:textId="77777777" w:rsidR="00B416CD" w:rsidRPr="00B416CD" w:rsidRDefault="00B416CD" w:rsidP="00B416CD">
      <w:pPr>
        <w:pStyle w:val="NormalWeb"/>
        <w:numPr>
          <w:ilvl w:val="0"/>
          <w:numId w:val="3"/>
        </w:numPr>
        <w:rPr>
          <w:rFonts w:ascii="Calibri" w:hAnsi="Calibri" w:cs="Calibri"/>
          <w:sz w:val="22"/>
          <w:szCs w:val="22"/>
        </w:rPr>
      </w:pPr>
      <w:r w:rsidRPr="00B416CD">
        <w:rPr>
          <w:rFonts w:ascii="Calibri" w:hAnsi="Calibri" w:cs="Calibri"/>
          <w:sz w:val="22"/>
          <w:szCs w:val="22"/>
        </w:rPr>
        <w:t>The points allocated are shown in brackets pending Japan’s confirmation on whether the existing runs are sufficient.</w:t>
      </w:r>
    </w:p>
    <w:p w14:paraId="08530BDA" w14:textId="77777777" w:rsidR="00B416CD" w:rsidRPr="00B416CD" w:rsidRDefault="00B416CD" w:rsidP="00B416CD">
      <w:pPr>
        <w:pStyle w:val="NormalWeb"/>
        <w:numPr>
          <w:ilvl w:val="0"/>
          <w:numId w:val="3"/>
        </w:numPr>
        <w:rPr>
          <w:rFonts w:ascii="Calibri" w:hAnsi="Calibri" w:cs="Calibri"/>
          <w:sz w:val="22"/>
          <w:szCs w:val="22"/>
        </w:rPr>
      </w:pPr>
      <w:r w:rsidRPr="00B416CD">
        <w:rPr>
          <w:rFonts w:ascii="Calibri" w:hAnsi="Calibri" w:cs="Calibri"/>
          <w:sz w:val="22"/>
          <w:szCs w:val="22"/>
        </w:rPr>
        <w:t>If sufficient: this line can be disregarded.</w:t>
      </w:r>
    </w:p>
    <w:p w14:paraId="74FA6A68" w14:textId="77777777" w:rsidR="00B416CD" w:rsidRPr="00B416CD" w:rsidRDefault="00B416CD" w:rsidP="00B416CD">
      <w:pPr>
        <w:pStyle w:val="NormalWeb"/>
        <w:numPr>
          <w:ilvl w:val="0"/>
          <w:numId w:val="3"/>
        </w:numPr>
        <w:rPr>
          <w:rFonts w:ascii="Calibri" w:hAnsi="Calibri" w:cs="Calibri"/>
          <w:sz w:val="22"/>
          <w:szCs w:val="22"/>
        </w:rPr>
      </w:pPr>
      <w:r w:rsidRPr="00B416CD">
        <w:rPr>
          <w:rFonts w:ascii="Calibri" w:hAnsi="Calibri" w:cs="Calibri"/>
          <w:sz w:val="22"/>
          <w:szCs w:val="22"/>
        </w:rPr>
        <w:t>If not: the brackets will be removed and the request ranked accordingly.</w:t>
      </w:r>
    </w:p>
    <w:p w14:paraId="45D10B2C" w14:textId="77777777" w:rsidR="00B416CD" w:rsidRPr="00B416CD" w:rsidRDefault="00B416CD" w:rsidP="00B416CD">
      <w:pPr>
        <w:pStyle w:val="NormalWeb"/>
        <w:rPr>
          <w:rFonts w:ascii="Calibri" w:hAnsi="Calibri" w:cs="Calibri"/>
          <w:sz w:val="22"/>
          <w:szCs w:val="22"/>
        </w:rPr>
      </w:pPr>
      <w:r w:rsidRPr="00B416CD">
        <w:rPr>
          <w:rStyle w:val="Strong"/>
          <w:rFonts w:ascii="Calibri" w:eastAsiaTheme="majorEastAsia" w:hAnsi="Calibri" w:cs="Calibri"/>
          <w:sz w:val="22"/>
          <w:szCs w:val="22"/>
        </w:rPr>
        <w:t>4. Request #8 (Additional Robustness Testing)</w:t>
      </w:r>
    </w:p>
    <w:p w14:paraId="7FA66654" w14:textId="77777777" w:rsidR="00B416CD" w:rsidRPr="00B416CD" w:rsidRDefault="00B416CD" w:rsidP="00B416CD">
      <w:pPr>
        <w:pStyle w:val="NormalWeb"/>
        <w:numPr>
          <w:ilvl w:val="0"/>
          <w:numId w:val="4"/>
        </w:numPr>
        <w:rPr>
          <w:rFonts w:ascii="Calibri" w:hAnsi="Calibri" w:cs="Calibri"/>
          <w:sz w:val="22"/>
          <w:szCs w:val="22"/>
        </w:rPr>
      </w:pPr>
      <w:r w:rsidRPr="00B416CD">
        <w:rPr>
          <w:rFonts w:ascii="Calibri" w:hAnsi="Calibri" w:cs="Calibri"/>
          <w:sz w:val="22"/>
          <w:szCs w:val="22"/>
        </w:rPr>
        <w:t>No score has been assigned.</w:t>
      </w:r>
    </w:p>
    <w:p w14:paraId="2DB0B26E" w14:textId="77777777" w:rsidR="00B416CD" w:rsidRPr="00B416CD" w:rsidRDefault="00B416CD" w:rsidP="00B416CD">
      <w:pPr>
        <w:pStyle w:val="NormalWeb"/>
        <w:numPr>
          <w:ilvl w:val="0"/>
          <w:numId w:val="4"/>
        </w:numPr>
        <w:rPr>
          <w:rFonts w:ascii="Calibri" w:hAnsi="Calibri" w:cs="Calibri"/>
          <w:sz w:val="22"/>
          <w:szCs w:val="22"/>
        </w:rPr>
      </w:pPr>
      <w:r w:rsidRPr="00B416CD">
        <w:rPr>
          <w:rFonts w:ascii="Calibri" w:hAnsi="Calibri" w:cs="Calibri"/>
          <w:sz w:val="22"/>
          <w:szCs w:val="22"/>
        </w:rPr>
        <w:t>It is considered too early to undertake this (beyond the US-specific request) until the number of MPs has been narrowed down.</w:t>
      </w:r>
    </w:p>
    <w:p w14:paraId="6EBA00FF" w14:textId="77777777" w:rsidR="00B416CD" w:rsidRPr="00B416CD" w:rsidRDefault="00B416CD" w:rsidP="00B416CD">
      <w:pPr>
        <w:pStyle w:val="NormalWeb"/>
        <w:rPr>
          <w:rFonts w:ascii="Calibri" w:hAnsi="Calibri" w:cs="Calibri"/>
          <w:sz w:val="22"/>
          <w:szCs w:val="22"/>
        </w:rPr>
      </w:pPr>
      <w:r w:rsidRPr="00B416CD">
        <w:rPr>
          <w:rStyle w:val="Strong"/>
          <w:rFonts w:ascii="Calibri" w:eastAsiaTheme="majorEastAsia" w:hAnsi="Calibri" w:cs="Calibri"/>
          <w:sz w:val="22"/>
          <w:szCs w:val="22"/>
        </w:rPr>
        <w:t>5. Scoring Clarification</w:t>
      </w:r>
      <w:r w:rsidRPr="00B416CD">
        <w:rPr>
          <w:rFonts w:ascii="Calibri" w:hAnsi="Calibri" w:cs="Calibri"/>
          <w:sz w:val="22"/>
          <w:szCs w:val="22"/>
        </w:rPr>
        <w:br/>
        <w:t>Scores of ‘0’ indicate tasks the SSP will certainly complete.</w:t>
      </w:r>
    </w:p>
    <w:p w14:paraId="70C52B13" w14:textId="77777777" w:rsidR="00B416CD" w:rsidRPr="00B416CD" w:rsidRDefault="00B416CD" w:rsidP="00B416CD">
      <w:pPr>
        <w:pStyle w:val="NormalWeb"/>
        <w:rPr>
          <w:rFonts w:ascii="Calibri" w:hAnsi="Calibri" w:cs="Calibri"/>
          <w:sz w:val="22"/>
          <w:szCs w:val="22"/>
        </w:rPr>
      </w:pPr>
      <w:r w:rsidRPr="00B416CD">
        <w:rPr>
          <w:rStyle w:val="Strong"/>
          <w:rFonts w:ascii="Calibri" w:eastAsiaTheme="majorEastAsia" w:hAnsi="Calibri" w:cs="Calibri"/>
          <w:sz w:val="22"/>
          <w:szCs w:val="22"/>
        </w:rPr>
        <w:t>6. Estimation Method Activity</w:t>
      </w:r>
    </w:p>
    <w:p w14:paraId="57125C3B" w14:textId="77777777" w:rsidR="00B416CD" w:rsidRPr="00B416CD" w:rsidRDefault="00B416CD" w:rsidP="00B416CD">
      <w:pPr>
        <w:pStyle w:val="NormalWeb"/>
        <w:numPr>
          <w:ilvl w:val="0"/>
          <w:numId w:val="5"/>
        </w:numPr>
        <w:rPr>
          <w:rFonts w:ascii="Calibri" w:hAnsi="Calibri" w:cs="Calibri"/>
          <w:sz w:val="22"/>
          <w:szCs w:val="22"/>
        </w:rPr>
      </w:pPr>
      <w:r w:rsidRPr="00B416CD">
        <w:rPr>
          <w:rFonts w:ascii="Calibri" w:hAnsi="Calibri" w:cs="Calibri"/>
          <w:sz w:val="22"/>
          <w:szCs w:val="22"/>
        </w:rPr>
        <w:t>Running the estimation method is considered an essential SSP task prior to WCPFC22.</w:t>
      </w:r>
    </w:p>
    <w:p w14:paraId="766925A9" w14:textId="77777777" w:rsidR="00B416CD" w:rsidRPr="00B416CD" w:rsidRDefault="00B416CD" w:rsidP="00B416CD">
      <w:pPr>
        <w:pStyle w:val="NormalWeb"/>
        <w:numPr>
          <w:ilvl w:val="0"/>
          <w:numId w:val="5"/>
        </w:numPr>
        <w:rPr>
          <w:rFonts w:ascii="Calibri" w:hAnsi="Calibri" w:cs="Calibri"/>
          <w:sz w:val="22"/>
          <w:szCs w:val="22"/>
        </w:rPr>
      </w:pPr>
      <w:r w:rsidRPr="00B416CD">
        <w:rPr>
          <w:rFonts w:ascii="Calibri" w:hAnsi="Calibri" w:cs="Calibri"/>
          <w:sz w:val="22"/>
          <w:szCs w:val="22"/>
        </w:rPr>
        <w:t>This is required to implement whichever MP is selected under the harvest strategy workplan.</w:t>
      </w:r>
    </w:p>
    <w:p w14:paraId="3AD6C99E" w14:textId="77777777" w:rsidR="00B416CD" w:rsidRPr="00B416CD" w:rsidRDefault="00B416CD" w:rsidP="00B416CD">
      <w:pPr>
        <w:pStyle w:val="NormalWeb"/>
        <w:numPr>
          <w:ilvl w:val="0"/>
          <w:numId w:val="5"/>
        </w:numPr>
        <w:rPr>
          <w:rFonts w:ascii="Calibri" w:hAnsi="Calibri" w:cs="Calibri"/>
          <w:sz w:val="22"/>
          <w:szCs w:val="22"/>
        </w:rPr>
      </w:pPr>
      <w:r w:rsidRPr="00B416CD">
        <w:rPr>
          <w:rFonts w:ascii="Calibri" w:hAnsi="Calibri" w:cs="Calibri"/>
          <w:sz w:val="22"/>
          <w:szCs w:val="22"/>
        </w:rPr>
        <w:t>It is listed in a separate table at the bottom.</w:t>
      </w:r>
    </w:p>
    <w:p w14:paraId="5D018ABD" w14:textId="77777777" w:rsidR="00B416CD" w:rsidRPr="00B416CD" w:rsidRDefault="00B416CD" w:rsidP="00B416CD">
      <w:pPr>
        <w:pStyle w:val="NormalWeb"/>
        <w:numPr>
          <w:ilvl w:val="0"/>
          <w:numId w:val="5"/>
        </w:numPr>
        <w:rPr>
          <w:rFonts w:ascii="Calibri" w:hAnsi="Calibri" w:cs="Calibri"/>
          <w:sz w:val="22"/>
          <w:szCs w:val="22"/>
        </w:rPr>
      </w:pPr>
      <w:r w:rsidRPr="00B416CD">
        <w:rPr>
          <w:rFonts w:ascii="Calibri" w:hAnsi="Calibri" w:cs="Calibri"/>
          <w:sz w:val="22"/>
          <w:szCs w:val="22"/>
        </w:rPr>
        <w:t>The time required for this task has been subtracted from the overall estimate of available effort.</w:t>
      </w:r>
    </w:p>
    <w:p w14:paraId="1F34546C" w14:textId="77777777" w:rsidR="00B416CD" w:rsidRPr="00B416CD" w:rsidRDefault="00B416CD" w:rsidP="00B416CD">
      <w:pPr>
        <w:pStyle w:val="NormalWeb"/>
        <w:rPr>
          <w:rFonts w:ascii="Calibri" w:hAnsi="Calibri" w:cs="Calibri"/>
          <w:sz w:val="22"/>
          <w:szCs w:val="22"/>
        </w:rPr>
      </w:pPr>
      <w:r w:rsidRPr="00B416CD">
        <w:rPr>
          <w:rStyle w:val="Strong"/>
          <w:rFonts w:ascii="Calibri" w:eastAsiaTheme="majorEastAsia" w:hAnsi="Calibri" w:cs="Calibri"/>
          <w:sz w:val="22"/>
          <w:szCs w:val="22"/>
        </w:rPr>
        <w:t>7. Remaining Capacity</w:t>
      </w:r>
      <w:r w:rsidRPr="00B416CD">
        <w:rPr>
          <w:rFonts w:ascii="Calibri" w:hAnsi="Calibri" w:cs="Calibri"/>
          <w:sz w:val="22"/>
          <w:szCs w:val="22"/>
        </w:rPr>
        <w:br/>
        <w:t xml:space="preserve">This leaves a total of </w:t>
      </w:r>
      <w:r w:rsidRPr="00B416CD">
        <w:rPr>
          <w:rStyle w:val="Strong"/>
          <w:rFonts w:ascii="Calibri" w:eastAsiaTheme="majorEastAsia" w:hAnsi="Calibri" w:cs="Calibri"/>
          <w:sz w:val="22"/>
          <w:szCs w:val="22"/>
        </w:rPr>
        <w:t>14 ‘science units’</w:t>
      </w:r>
      <w:r w:rsidRPr="00B416CD">
        <w:rPr>
          <w:rFonts w:ascii="Calibri" w:hAnsi="Calibri" w:cs="Calibri"/>
          <w:sz w:val="22"/>
          <w:szCs w:val="22"/>
        </w:rPr>
        <w:t xml:space="preserve"> for SPAMWS01 to use in prioritising their work requests.</w:t>
      </w:r>
    </w:p>
    <w:sectPr w:rsidR="00B416CD" w:rsidRPr="00B416CD" w:rsidSect="00B416C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794"/>
    <w:multiLevelType w:val="multilevel"/>
    <w:tmpl w:val="6442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1111"/>
    <w:multiLevelType w:val="multilevel"/>
    <w:tmpl w:val="EF1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46874"/>
    <w:multiLevelType w:val="multilevel"/>
    <w:tmpl w:val="CD1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E0D93"/>
    <w:multiLevelType w:val="hybridMultilevel"/>
    <w:tmpl w:val="AE72DDCE"/>
    <w:lvl w:ilvl="0" w:tplc="963C18E6">
      <w:start w:val="5"/>
      <w:numFmt w:val="bullet"/>
      <w:lvlText w:val="-"/>
      <w:lvlJc w:val="left"/>
      <w:pPr>
        <w:ind w:left="927" w:hanging="360"/>
      </w:pPr>
      <w:rPr>
        <w:rFonts w:ascii="Calibri" w:eastAsiaTheme="minorHAnsi" w:hAnsi="Calibri" w:cs="Calibri"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4A85221E"/>
    <w:multiLevelType w:val="multilevel"/>
    <w:tmpl w:val="FE8C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15021724">
    <w:abstractNumId w:val="3"/>
  </w:num>
  <w:num w:numId="2" w16cid:durableId="1740055213">
    <w:abstractNumId w:val="4"/>
  </w:num>
  <w:num w:numId="3" w16cid:durableId="1316760158">
    <w:abstractNumId w:val="2"/>
  </w:num>
  <w:num w:numId="4" w16cid:durableId="1855996521">
    <w:abstractNumId w:val="0"/>
  </w:num>
  <w:num w:numId="5" w16cid:durableId="82112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wMbQ0N7Y0NTUztjBV0lEKTi0uzszPAykwrAUAJFkGLywAAAA="/>
  </w:docVars>
  <w:rsids>
    <w:rsidRoot w:val="000F557F"/>
    <w:rsid w:val="00024094"/>
    <w:rsid w:val="00085D03"/>
    <w:rsid w:val="000F4D15"/>
    <w:rsid w:val="000F557F"/>
    <w:rsid w:val="00136D26"/>
    <w:rsid w:val="001C45FE"/>
    <w:rsid w:val="002451CE"/>
    <w:rsid w:val="003A5EAB"/>
    <w:rsid w:val="003D17EF"/>
    <w:rsid w:val="00423726"/>
    <w:rsid w:val="004C6264"/>
    <w:rsid w:val="004E2D98"/>
    <w:rsid w:val="00655887"/>
    <w:rsid w:val="006D71F9"/>
    <w:rsid w:val="006D7512"/>
    <w:rsid w:val="006E24B4"/>
    <w:rsid w:val="00707402"/>
    <w:rsid w:val="00775779"/>
    <w:rsid w:val="007B5824"/>
    <w:rsid w:val="008A7CAC"/>
    <w:rsid w:val="008E61B4"/>
    <w:rsid w:val="0092397D"/>
    <w:rsid w:val="00946E9A"/>
    <w:rsid w:val="009C0A94"/>
    <w:rsid w:val="009F2B0F"/>
    <w:rsid w:val="00A2448B"/>
    <w:rsid w:val="00A63CFE"/>
    <w:rsid w:val="00A72D6E"/>
    <w:rsid w:val="00A869DF"/>
    <w:rsid w:val="00A9689A"/>
    <w:rsid w:val="00B416CD"/>
    <w:rsid w:val="00B63D9F"/>
    <w:rsid w:val="00B836EA"/>
    <w:rsid w:val="00BB2A35"/>
    <w:rsid w:val="00CC495B"/>
    <w:rsid w:val="00CF4A34"/>
    <w:rsid w:val="00D201A1"/>
    <w:rsid w:val="00D87F44"/>
    <w:rsid w:val="00DD7879"/>
    <w:rsid w:val="00E266C5"/>
    <w:rsid w:val="00E765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6AD9D"/>
  <w15:chartTrackingRefBased/>
  <w15:docId w15:val="{E6D6D861-7154-4927-A88D-41A18DC1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5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55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55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55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55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5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5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55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55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55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55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5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57F"/>
    <w:rPr>
      <w:rFonts w:eastAsiaTheme="majorEastAsia" w:cstheme="majorBidi"/>
      <w:color w:val="272727" w:themeColor="text1" w:themeTint="D8"/>
    </w:rPr>
  </w:style>
  <w:style w:type="paragraph" w:styleId="Title">
    <w:name w:val="Title"/>
    <w:basedOn w:val="Normal"/>
    <w:next w:val="Normal"/>
    <w:link w:val="TitleChar"/>
    <w:uiPriority w:val="10"/>
    <w:qFormat/>
    <w:rsid w:val="000F5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57F"/>
    <w:pPr>
      <w:spacing w:before="160"/>
      <w:jc w:val="center"/>
    </w:pPr>
    <w:rPr>
      <w:i/>
      <w:iCs/>
      <w:color w:val="404040" w:themeColor="text1" w:themeTint="BF"/>
    </w:rPr>
  </w:style>
  <w:style w:type="character" w:customStyle="1" w:styleId="QuoteChar">
    <w:name w:val="Quote Char"/>
    <w:basedOn w:val="DefaultParagraphFont"/>
    <w:link w:val="Quote"/>
    <w:uiPriority w:val="29"/>
    <w:rsid w:val="000F557F"/>
    <w:rPr>
      <w:i/>
      <w:iCs/>
      <w:color w:val="404040" w:themeColor="text1" w:themeTint="BF"/>
    </w:rPr>
  </w:style>
  <w:style w:type="paragraph" w:styleId="ListParagraph">
    <w:name w:val="List Paragraph"/>
    <w:basedOn w:val="Normal"/>
    <w:uiPriority w:val="34"/>
    <w:qFormat/>
    <w:rsid w:val="000F557F"/>
    <w:pPr>
      <w:ind w:left="720"/>
      <w:contextualSpacing/>
    </w:pPr>
  </w:style>
  <w:style w:type="character" w:styleId="IntenseEmphasis">
    <w:name w:val="Intense Emphasis"/>
    <w:basedOn w:val="DefaultParagraphFont"/>
    <w:uiPriority w:val="21"/>
    <w:qFormat/>
    <w:rsid w:val="000F557F"/>
    <w:rPr>
      <w:i/>
      <w:iCs/>
      <w:color w:val="2F5496" w:themeColor="accent1" w:themeShade="BF"/>
    </w:rPr>
  </w:style>
  <w:style w:type="paragraph" w:styleId="IntenseQuote">
    <w:name w:val="Intense Quote"/>
    <w:basedOn w:val="Normal"/>
    <w:next w:val="Normal"/>
    <w:link w:val="IntenseQuoteChar"/>
    <w:uiPriority w:val="30"/>
    <w:qFormat/>
    <w:rsid w:val="000F5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557F"/>
    <w:rPr>
      <w:i/>
      <w:iCs/>
      <w:color w:val="2F5496" w:themeColor="accent1" w:themeShade="BF"/>
    </w:rPr>
  </w:style>
  <w:style w:type="character" w:styleId="IntenseReference">
    <w:name w:val="Intense Reference"/>
    <w:basedOn w:val="DefaultParagraphFont"/>
    <w:uiPriority w:val="32"/>
    <w:qFormat/>
    <w:rsid w:val="000F557F"/>
    <w:rPr>
      <w:b/>
      <w:bCs/>
      <w:smallCaps/>
      <w:color w:val="2F5496" w:themeColor="accent1" w:themeShade="BF"/>
      <w:spacing w:val="5"/>
    </w:rPr>
  </w:style>
  <w:style w:type="table" w:styleId="TableGrid">
    <w:name w:val="Table Grid"/>
    <w:basedOn w:val="TableNormal"/>
    <w:uiPriority w:val="39"/>
    <w:rsid w:val="004C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16CD"/>
    <w:pPr>
      <w:spacing w:before="100" w:beforeAutospacing="1" w:after="100" w:afterAutospacing="1" w:line="240" w:lineRule="auto"/>
    </w:pPr>
    <w:rPr>
      <w:rFonts w:ascii="Times New Roman" w:eastAsia="Times New Roman" w:hAnsi="Times New Roman" w:cs="Times New Roman"/>
      <w:kern w:val="0"/>
      <w:sz w:val="24"/>
      <w:szCs w:val="24"/>
      <w:lang w:val="en-US" w:eastAsia="zh-TW"/>
      <w14:ligatures w14:val="none"/>
    </w:rPr>
  </w:style>
  <w:style w:type="character" w:styleId="Strong">
    <w:name w:val="Strong"/>
    <w:basedOn w:val="DefaultParagraphFont"/>
    <w:uiPriority w:val="22"/>
    <w:qFormat/>
    <w:rsid w:val="00B41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326565">
      <w:bodyDiv w:val="1"/>
      <w:marLeft w:val="0"/>
      <w:marRight w:val="0"/>
      <w:marTop w:val="0"/>
      <w:marBottom w:val="0"/>
      <w:divBdr>
        <w:top w:val="none" w:sz="0" w:space="0" w:color="auto"/>
        <w:left w:val="none" w:sz="0" w:space="0" w:color="auto"/>
        <w:bottom w:val="none" w:sz="0" w:space="0" w:color="auto"/>
        <w:right w:val="none" w:sz="0" w:space="0" w:color="auto"/>
      </w:divBdr>
    </w:div>
    <w:div w:id="20614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4611</Characters>
  <Application>Microsoft Office Word</Application>
  <DocSecurity>0</DocSecurity>
  <Lines>167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SungKwon Soh</cp:lastModifiedBy>
  <cp:revision>2</cp:revision>
  <cp:lastPrinted>2025-09-11T05:58:00Z</cp:lastPrinted>
  <dcterms:created xsi:type="dcterms:W3CDTF">2025-09-11T06:03:00Z</dcterms:created>
  <dcterms:modified xsi:type="dcterms:W3CDTF">2025-09-11T06:03:00Z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c77fd22f-8c6c-4d03-8fd7-93048279157b</vt:lpwstr>
  </property>
</Properties>
</file>