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C066A" w14:textId="77777777" w:rsidR="00F65695" w:rsidRDefault="00FF2343">
      <w:pPr>
        <w:spacing w:after="0"/>
        <w:jc w:val="center"/>
        <w:rPr>
          <w:rFonts w:ascii="Calibri" w:eastAsia="Times New Roman" w:hAnsi="Calibri" w:cs="Calibri"/>
          <w:b/>
          <w:bCs/>
          <w:color w:val="000000"/>
          <w:kern w:val="0"/>
          <w:sz w:val="24"/>
          <w:szCs w:val="24"/>
          <w:lang w:val="en-US"/>
          <w14:ligatures w14:val="none"/>
        </w:rPr>
      </w:pPr>
      <w:r>
        <w:rPr>
          <w:noProof/>
        </w:rPr>
        <w:drawing>
          <wp:inline distT="0" distB="0" distL="0" distR="0" wp14:anchorId="16682019" wp14:editId="33A41B8D">
            <wp:extent cx="2467610" cy="858520"/>
            <wp:effectExtent l="0" t="0" r="0" b="0"/>
            <wp:docPr id="1" name="Picture 1623072238"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623072238" descr="A blue and black logo&#10;&#10;Description automatically generated"/>
                    <pic:cNvPicPr>
                      <a:picLocks noChangeAspect="1" noChangeArrowheads="1"/>
                    </pic:cNvPicPr>
                  </pic:nvPicPr>
                  <pic:blipFill>
                    <a:blip r:embed="rId11"/>
                    <a:stretch>
                      <a:fillRect/>
                    </a:stretch>
                  </pic:blipFill>
                  <pic:spPr bwMode="auto">
                    <a:xfrm>
                      <a:off x="0" y="0"/>
                      <a:ext cx="2467610" cy="858520"/>
                    </a:xfrm>
                    <a:prstGeom prst="rect">
                      <a:avLst/>
                    </a:prstGeom>
                  </pic:spPr>
                </pic:pic>
              </a:graphicData>
            </a:graphic>
          </wp:inline>
        </w:drawing>
      </w:r>
    </w:p>
    <w:p w14:paraId="04EEE1A9" w14:textId="77777777" w:rsidR="00F65695" w:rsidRDefault="00F65695">
      <w:pPr>
        <w:spacing w:after="0" w:line="240" w:lineRule="auto"/>
        <w:jc w:val="center"/>
        <w:rPr>
          <w:rFonts w:ascii="Constantia" w:eastAsia="Constantia" w:hAnsi="Constantia" w:cs="Times New Roman"/>
          <w:color w:val="595959"/>
          <w:kern w:val="0"/>
          <w14:ligatures w14:val="none"/>
        </w:rPr>
      </w:pPr>
      <w:bookmarkStart w:id="0" w:name="_Toc321147011"/>
      <w:bookmarkStart w:id="1" w:name="_Toc318189312"/>
      <w:bookmarkStart w:id="2" w:name="_Toc318188327"/>
      <w:bookmarkStart w:id="3" w:name="_Toc318188227"/>
      <w:bookmarkStart w:id="4" w:name="_Toc321147149"/>
      <w:bookmarkEnd w:id="0"/>
      <w:bookmarkEnd w:id="1"/>
      <w:bookmarkEnd w:id="2"/>
      <w:bookmarkEnd w:id="3"/>
      <w:bookmarkEnd w:id="4"/>
    </w:p>
    <w:p w14:paraId="5B53B901" w14:textId="77777777" w:rsidR="00F65695" w:rsidRPr="008113DA" w:rsidRDefault="00FF2343" w:rsidP="00B60A2C">
      <w:pPr>
        <w:suppressAutoHyphens w:val="0"/>
        <w:spacing w:before="480" w:after="40" w:line="240" w:lineRule="auto"/>
        <w:contextualSpacing/>
        <w:jc w:val="center"/>
        <w:rPr>
          <w:rFonts w:ascii="Century Gothic" w:eastAsia="Times New Roman" w:hAnsi="Century Gothic" w:cs="Times New Roman"/>
          <w:color w:val="007789"/>
          <w:sz w:val="60"/>
          <w:lang w:val="en-US"/>
          <w14:ligatures w14:val="none"/>
        </w:rPr>
      </w:pPr>
      <w:r w:rsidRPr="00B60A2C">
        <w:rPr>
          <w:rFonts w:ascii="Constantia" w:eastAsia="Times New Roman" w:hAnsi="Constantia" w:cs="Times New Roman"/>
          <w:color w:val="007789"/>
          <w:kern w:val="28"/>
          <w:sz w:val="60"/>
          <w:lang w:val="en-US"/>
          <w14:ligatures w14:val="none"/>
        </w:rPr>
        <w:t>Voluntary HSBI Regional Guides</w:t>
      </w:r>
    </w:p>
    <w:p w14:paraId="35ED4670" w14:textId="77777777" w:rsidR="00F65695" w:rsidRPr="008113DA" w:rsidRDefault="00FF2343">
      <w:pPr>
        <w:spacing w:after="480" w:line="264" w:lineRule="auto"/>
        <w:contextualSpacing/>
        <w:jc w:val="center"/>
        <w:rPr>
          <w:rFonts w:ascii="Century Gothic" w:eastAsia="Times New Roman" w:hAnsi="Century Gothic" w:cs="Calibri"/>
          <w:caps/>
          <w:color w:val="595959"/>
          <w:kern w:val="0"/>
          <w:sz w:val="26"/>
          <w:lang w:val="en-US"/>
          <w14:ligatures w14:val="none"/>
        </w:rPr>
      </w:pPr>
      <w:r w:rsidRPr="008113DA">
        <w:rPr>
          <w:rFonts w:ascii="Century Gothic" w:eastAsia="Times New Roman" w:hAnsi="Century Gothic" w:cs="Calibri"/>
          <w:caps/>
          <w:color w:val="595959"/>
          <w:kern w:val="0"/>
          <w:sz w:val="26"/>
          <w:lang w:val="en-US"/>
          <w14:ligatures w14:val="none"/>
        </w:rPr>
        <w:t>Tools for High Seas Boarding and Inspections</w:t>
      </w:r>
    </w:p>
    <w:p w14:paraId="6AB3FFD1" w14:textId="1531501F" w:rsidR="00F65695" w:rsidRDefault="00D81F3F" w:rsidP="00B60A2C">
      <w:pPr>
        <w:pStyle w:val="ListBullet"/>
        <w:numPr>
          <w:ilvl w:val="0"/>
          <w:numId w:val="9"/>
        </w:numPr>
        <w:spacing w:line="240" w:lineRule="auto"/>
        <w:rPr>
          <w:rFonts w:ascii="Century Gothic" w:hAnsi="Century Gothic"/>
        </w:rPr>
      </w:pPr>
      <w:r>
        <w:rPr>
          <w:rFonts w:ascii="Century Gothic" w:hAnsi="Century Gothic"/>
        </w:rPr>
        <w:t>M</w:t>
      </w:r>
      <w:r w:rsidR="00DE6A52">
        <w:rPr>
          <w:rFonts w:ascii="Century Gothic" w:hAnsi="Century Gothic"/>
        </w:rPr>
        <w:t>edia evidence collection during HSBI activities</w:t>
      </w:r>
    </w:p>
    <w:p w14:paraId="52BD012C" w14:textId="1A7C314C" w:rsidR="00DE6A52" w:rsidRDefault="00D81F3F" w:rsidP="00B60A2C">
      <w:pPr>
        <w:pStyle w:val="ListBullet"/>
        <w:numPr>
          <w:ilvl w:val="0"/>
          <w:numId w:val="9"/>
        </w:numPr>
        <w:spacing w:line="240" w:lineRule="auto"/>
        <w:rPr>
          <w:rFonts w:ascii="Century Gothic" w:hAnsi="Century Gothic"/>
        </w:rPr>
      </w:pPr>
      <w:r>
        <w:rPr>
          <w:rFonts w:ascii="Century Gothic" w:hAnsi="Century Gothic"/>
        </w:rPr>
        <w:t>Handling and documentation of media evidence</w:t>
      </w:r>
    </w:p>
    <w:p w14:paraId="1525A0E9" w14:textId="7BB31EF1" w:rsidR="00D81F3F" w:rsidRPr="00DE6A52" w:rsidRDefault="00D81F3F" w:rsidP="00B60A2C">
      <w:pPr>
        <w:pStyle w:val="ListBullet"/>
        <w:numPr>
          <w:ilvl w:val="0"/>
          <w:numId w:val="9"/>
        </w:numPr>
        <w:spacing w:line="240" w:lineRule="auto"/>
        <w:rPr>
          <w:rFonts w:ascii="Century Gothic" w:hAnsi="Century Gothic"/>
        </w:rPr>
      </w:pPr>
      <w:r>
        <w:rPr>
          <w:rFonts w:ascii="Century Gothic" w:hAnsi="Century Gothic"/>
        </w:rPr>
        <w:t>Dissemination practices</w:t>
      </w:r>
    </w:p>
    <w:p w14:paraId="53E2FDB8" w14:textId="77777777" w:rsidR="00F65695" w:rsidRPr="008113DA" w:rsidRDefault="00F65695">
      <w:pPr>
        <w:pStyle w:val="ListBullet"/>
        <w:numPr>
          <w:ilvl w:val="0"/>
          <w:numId w:val="0"/>
        </w:numPr>
        <w:spacing w:line="240" w:lineRule="auto"/>
        <w:ind w:left="720"/>
        <w:rPr>
          <w:rFonts w:ascii="Century Gothic" w:hAnsi="Century Gothic"/>
        </w:rPr>
      </w:pPr>
    </w:p>
    <w:p w14:paraId="462C5CE0" w14:textId="0365C07C" w:rsidR="00F65695" w:rsidRPr="008113DA" w:rsidRDefault="00FF2343">
      <w:pPr>
        <w:jc w:val="center"/>
        <w:rPr>
          <w:rFonts w:ascii="Century Gothic" w:hAnsi="Century Gothic"/>
          <w:b/>
          <w:bCs/>
          <w:spacing w:val="5"/>
          <w:sz w:val="36"/>
          <w:szCs w:val="36"/>
        </w:rPr>
      </w:pPr>
      <w:r w:rsidRPr="008113DA">
        <w:rPr>
          <w:rStyle w:val="BookTitle"/>
          <w:rFonts w:ascii="Century Gothic" w:hAnsi="Century Gothic"/>
          <w:i w:val="0"/>
          <w:iCs w:val="0"/>
          <w:sz w:val="36"/>
          <w:szCs w:val="36"/>
        </w:rPr>
        <w:t xml:space="preserve">HSBI </w:t>
      </w:r>
      <w:r w:rsidR="00A55F68" w:rsidRPr="008113DA">
        <w:rPr>
          <w:rStyle w:val="BookTitle"/>
          <w:rFonts w:ascii="Century Gothic" w:hAnsi="Century Gothic"/>
          <w:i w:val="0"/>
          <w:iCs w:val="0"/>
          <w:sz w:val="36"/>
          <w:szCs w:val="36"/>
        </w:rPr>
        <w:t>Collection and Dissemination of Photographic and Video Evidence</w:t>
      </w:r>
    </w:p>
    <w:p w14:paraId="2EF3DFD5" w14:textId="77777777" w:rsidR="00F65695" w:rsidRPr="008113DA" w:rsidRDefault="00FF2343">
      <w:pPr>
        <w:rPr>
          <w:rFonts w:ascii="Century Gothic" w:hAnsi="Century Gothic"/>
        </w:rPr>
      </w:pPr>
      <w:r w:rsidRPr="008113DA">
        <w:rPr>
          <w:rFonts w:ascii="Century Gothic" w:hAnsi="Century Gothic"/>
        </w:rPr>
        <w:t>Document History</w:t>
      </w:r>
    </w:p>
    <w:tbl>
      <w:tblPr>
        <w:tblStyle w:val="TableGrid"/>
        <w:tblW w:w="8931" w:type="dxa"/>
        <w:tblInd w:w="-5" w:type="dxa"/>
        <w:tblLayout w:type="fixed"/>
        <w:tblLook w:val="04A0" w:firstRow="1" w:lastRow="0" w:firstColumn="1" w:lastColumn="0" w:noHBand="0" w:noVBand="1"/>
      </w:tblPr>
      <w:tblGrid>
        <w:gridCol w:w="976"/>
        <w:gridCol w:w="1560"/>
        <w:gridCol w:w="2851"/>
        <w:gridCol w:w="1698"/>
        <w:gridCol w:w="1846"/>
      </w:tblGrid>
      <w:tr w:rsidR="00F65695" w:rsidRPr="008113DA" w14:paraId="4E650E61" w14:textId="77777777">
        <w:tc>
          <w:tcPr>
            <w:tcW w:w="976" w:type="dxa"/>
            <w:shd w:val="clear" w:color="auto" w:fill="95DCF7" w:themeFill="accent4" w:themeFillTint="66"/>
          </w:tcPr>
          <w:p w14:paraId="5CDEBBC7" w14:textId="77777777" w:rsidR="00F65695" w:rsidRPr="008113DA" w:rsidRDefault="00FF2343">
            <w:pPr>
              <w:pStyle w:val="ListParagraph"/>
              <w:widowControl w:val="0"/>
              <w:spacing w:after="0" w:line="240" w:lineRule="auto"/>
              <w:ind w:left="0"/>
              <w:rPr>
                <w:rFonts w:ascii="Century Gothic" w:hAnsi="Century Gothic"/>
                <w:sz w:val="18"/>
                <w:szCs w:val="18"/>
              </w:rPr>
            </w:pPr>
            <w:r w:rsidRPr="008113DA">
              <w:rPr>
                <w:rFonts w:ascii="Century Gothic" w:eastAsia="Aptos" w:hAnsi="Century Gothic"/>
                <w:sz w:val="18"/>
                <w:szCs w:val="18"/>
              </w:rPr>
              <w:t>Version</w:t>
            </w:r>
          </w:p>
        </w:tc>
        <w:tc>
          <w:tcPr>
            <w:tcW w:w="1560" w:type="dxa"/>
            <w:shd w:val="clear" w:color="auto" w:fill="95DCF7" w:themeFill="accent4" w:themeFillTint="66"/>
          </w:tcPr>
          <w:p w14:paraId="67D6B37B" w14:textId="77777777" w:rsidR="00F65695" w:rsidRPr="008113DA" w:rsidRDefault="00FF2343">
            <w:pPr>
              <w:pStyle w:val="ListParagraph"/>
              <w:widowControl w:val="0"/>
              <w:spacing w:after="0" w:line="240" w:lineRule="auto"/>
              <w:ind w:left="0"/>
              <w:rPr>
                <w:rFonts w:ascii="Century Gothic" w:hAnsi="Century Gothic"/>
                <w:sz w:val="18"/>
                <w:szCs w:val="18"/>
              </w:rPr>
            </w:pPr>
            <w:r w:rsidRPr="008113DA">
              <w:rPr>
                <w:rFonts w:ascii="Century Gothic" w:eastAsia="Aptos" w:hAnsi="Century Gothic"/>
                <w:sz w:val="18"/>
                <w:szCs w:val="18"/>
              </w:rPr>
              <w:t>Effective Date</w:t>
            </w:r>
          </w:p>
        </w:tc>
        <w:tc>
          <w:tcPr>
            <w:tcW w:w="2851" w:type="dxa"/>
            <w:shd w:val="clear" w:color="auto" w:fill="95DCF7" w:themeFill="accent4" w:themeFillTint="66"/>
          </w:tcPr>
          <w:p w14:paraId="32B06EFE" w14:textId="77777777" w:rsidR="00F65695" w:rsidRPr="008113DA" w:rsidRDefault="00FF2343">
            <w:pPr>
              <w:pStyle w:val="ListParagraph"/>
              <w:widowControl w:val="0"/>
              <w:spacing w:after="0" w:line="240" w:lineRule="auto"/>
              <w:ind w:left="0"/>
              <w:rPr>
                <w:rFonts w:ascii="Century Gothic" w:hAnsi="Century Gothic"/>
                <w:sz w:val="18"/>
                <w:szCs w:val="18"/>
              </w:rPr>
            </w:pPr>
            <w:r w:rsidRPr="008113DA">
              <w:rPr>
                <w:rFonts w:ascii="Century Gothic" w:eastAsia="Aptos" w:hAnsi="Century Gothic"/>
                <w:sz w:val="18"/>
                <w:szCs w:val="18"/>
              </w:rPr>
              <w:t>Description of Revision</w:t>
            </w:r>
          </w:p>
        </w:tc>
        <w:tc>
          <w:tcPr>
            <w:tcW w:w="1698" w:type="dxa"/>
            <w:shd w:val="clear" w:color="auto" w:fill="95DCF7" w:themeFill="accent4" w:themeFillTint="66"/>
          </w:tcPr>
          <w:p w14:paraId="359EE309" w14:textId="77777777" w:rsidR="00F65695" w:rsidRPr="008113DA" w:rsidRDefault="00FF2343">
            <w:pPr>
              <w:pStyle w:val="ListParagraph"/>
              <w:widowControl w:val="0"/>
              <w:spacing w:after="0" w:line="240" w:lineRule="auto"/>
              <w:ind w:left="0"/>
              <w:rPr>
                <w:rFonts w:ascii="Century Gothic" w:hAnsi="Century Gothic"/>
                <w:sz w:val="18"/>
                <w:szCs w:val="18"/>
              </w:rPr>
            </w:pPr>
            <w:r w:rsidRPr="008113DA">
              <w:rPr>
                <w:rFonts w:ascii="Century Gothic" w:eastAsia="Aptos" w:hAnsi="Century Gothic"/>
                <w:sz w:val="18"/>
                <w:szCs w:val="18"/>
              </w:rPr>
              <w:t>Prepared by</w:t>
            </w:r>
          </w:p>
        </w:tc>
        <w:tc>
          <w:tcPr>
            <w:tcW w:w="1846" w:type="dxa"/>
            <w:shd w:val="clear" w:color="auto" w:fill="95DCF7" w:themeFill="accent4" w:themeFillTint="66"/>
          </w:tcPr>
          <w:p w14:paraId="2B78A52A" w14:textId="77777777" w:rsidR="00F65695" w:rsidRPr="008113DA" w:rsidRDefault="00FF2343">
            <w:pPr>
              <w:pStyle w:val="ListParagraph"/>
              <w:widowControl w:val="0"/>
              <w:spacing w:after="0" w:line="240" w:lineRule="auto"/>
              <w:ind w:left="0"/>
              <w:rPr>
                <w:rFonts w:ascii="Century Gothic" w:hAnsi="Century Gothic"/>
                <w:sz w:val="18"/>
                <w:szCs w:val="18"/>
              </w:rPr>
            </w:pPr>
            <w:r w:rsidRPr="008113DA">
              <w:rPr>
                <w:rFonts w:ascii="Century Gothic" w:eastAsia="Aptos" w:hAnsi="Century Gothic"/>
                <w:sz w:val="18"/>
                <w:szCs w:val="18"/>
              </w:rPr>
              <w:t>Reviewed by</w:t>
            </w:r>
          </w:p>
        </w:tc>
      </w:tr>
      <w:tr w:rsidR="00F65695" w:rsidRPr="008113DA" w14:paraId="574A30C7" w14:textId="77777777">
        <w:tc>
          <w:tcPr>
            <w:tcW w:w="976" w:type="dxa"/>
          </w:tcPr>
          <w:p w14:paraId="15E57C14" w14:textId="77777777" w:rsidR="00F65695" w:rsidRPr="008113DA" w:rsidRDefault="00F65695">
            <w:pPr>
              <w:pStyle w:val="ListParagraph"/>
              <w:widowControl w:val="0"/>
              <w:spacing w:after="0" w:line="240" w:lineRule="auto"/>
              <w:ind w:left="0"/>
              <w:rPr>
                <w:rFonts w:ascii="Century Gothic" w:hAnsi="Century Gothic"/>
              </w:rPr>
            </w:pPr>
          </w:p>
        </w:tc>
        <w:tc>
          <w:tcPr>
            <w:tcW w:w="1560" w:type="dxa"/>
          </w:tcPr>
          <w:p w14:paraId="1FD5C0C4" w14:textId="77777777" w:rsidR="00F65695" w:rsidRPr="008113DA" w:rsidRDefault="00F65695">
            <w:pPr>
              <w:pStyle w:val="ListParagraph"/>
              <w:widowControl w:val="0"/>
              <w:spacing w:after="0" w:line="240" w:lineRule="auto"/>
              <w:ind w:left="0"/>
              <w:rPr>
                <w:rFonts w:ascii="Century Gothic" w:hAnsi="Century Gothic"/>
              </w:rPr>
            </w:pPr>
          </w:p>
        </w:tc>
        <w:tc>
          <w:tcPr>
            <w:tcW w:w="2851" w:type="dxa"/>
          </w:tcPr>
          <w:p w14:paraId="6650ED34" w14:textId="77777777" w:rsidR="00F65695" w:rsidRPr="008113DA" w:rsidRDefault="00F65695">
            <w:pPr>
              <w:pStyle w:val="ListParagraph"/>
              <w:widowControl w:val="0"/>
              <w:spacing w:after="0" w:line="240" w:lineRule="auto"/>
              <w:ind w:left="0"/>
              <w:rPr>
                <w:rFonts w:ascii="Century Gothic" w:hAnsi="Century Gothic"/>
              </w:rPr>
            </w:pPr>
          </w:p>
        </w:tc>
        <w:tc>
          <w:tcPr>
            <w:tcW w:w="1698" w:type="dxa"/>
          </w:tcPr>
          <w:p w14:paraId="49A8C11A" w14:textId="77777777" w:rsidR="00F65695" w:rsidRPr="008113DA" w:rsidRDefault="00F65695">
            <w:pPr>
              <w:pStyle w:val="ListParagraph"/>
              <w:widowControl w:val="0"/>
              <w:spacing w:after="0" w:line="240" w:lineRule="auto"/>
              <w:ind w:left="0"/>
              <w:rPr>
                <w:rFonts w:ascii="Century Gothic" w:hAnsi="Century Gothic"/>
              </w:rPr>
            </w:pPr>
          </w:p>
        </w:tc>
        <w:tc>
          <w:tcPr>
            <w:tcW w:w="1846" w:type="dxa"/>
          </w:tcPr>
          <w:p w14:paraId="6A04DAC9" w14:textId="77777777" w:rsidR="00F65695" w:rsidRPr="008113DA" w:rsidRDefault="00F65695">
            <w:pPr>
              <w:pStyle w:val="ListParagraph"/>
              <w:widowControl w:val="0"/>
              <w:spacing w:after="0" w:line="240" w:lineRule="auto"/>
              <w:ind w:left="0"/>
              <w:rPr>
                <w:rFonts w:ascii="Century Gothic" w:hAnsi="Century Gothic"/>
              </w:rPr>
            </w:pPr>
          </w:p>
        </w:tc>
      </w:tr>
      <w:tr w:rsidR="00F65695" w:rsidRPr="008113DA" w14:paraId="72DDADD2" w14:textId="77777777">
        <w:tc>
          <w:tcPr>
            <w:tcW w:w="976" w:type="dxa"/>
          </w:tcPr>
          <w:p w14:paraId="543E2160" w14:textId="77777777" w:rsidR="00F65695" w:rsidRPr="008113DA" w:rsidRDefault="00F65695">
            <w:pPr>
              <w:pStyle w:val="ListParagraph"/>
              <w:widowControl w:val="0"/>
              <w:spacing w:after="0" w:line="240" w:lineRule="auto"/>
              <w:ind w:left="0"/>
              <w:rPr>
                <w:rFonts w:ascii="Century Gothic" w:hAnsi="Century Gothic"/>
              </w:rPr>
            </w:pPr>
          </w:p>
        </w:tc>
        <w:tc>
          <w:tcPr>
            <w:tcW w:w="1560" w:type="dxa"/>
          </w:tcPr>
          <w:p w14:paraId="6E934CF8" w14:textId="77777777" w:rsidR="00F65695" w:rsidRPr="008113DA" w:rsidRDefault="00F65695">
            <w:pPr>
              <w:pStyle w:val="ListParagraph"/>
              <w:widowControl w:val="0"/>
              <w:spacing w:after="0" w:line="240" w:lineRule="auto"/>
              <w:ind w:left="0"/>
              <w:rPr>
                <w:rFonts w:ascii="Century Gothic" w:hAnsi="Century Gothic"/>
              </w:rPr>
            </w:pPr>
          </w:p>
        </w:tc>
        <w:tc>
          <w:tcPr>
            <w:tcW w:w="2851" w:type="dxa"/>
          </w:tcPr>
          <w:p w14:paraId="23FCB1EB" w14:textId="77777777" w:rsidR="00F65695" w:rsidRPr="008113DA" w:rsidRDefault="00F65695">
            <w:pPr>
              <w:pStyle w:val="ListParagraph"/>
              <w:widowControl w:val="0"/>
              <w:spacing w:after="0" w:line="240" w:lineRule="auto"/>
              <w:ind w:left="0"/>
              <w:rPr>
                <w:rFonts w:ascii="Century Gothic" w:hAnsi="Century Gothic"/>
              </w:rPr>
            </w:pPr>
          </w:p>
        </w:tc>
        <w:tc>
          <w:tcPr>
            <w:tcW w:w="1698" w:type="dxa"/>
          </w:tcPr>
          <w:p w14:paraId="30424689" w14:textId="77777777" w:rsidR="00F65695" w:rsidRPr="008113DA" w:rsidRDefault="00F65695">
            <w:pPr>
              <w:pStyle w:val="ListParagraph"/>
              <w:widowControl w:val="0"/>
              <w:spacing w:after="0" w:line="240" w:lineRule="auto"/>
              <w:ind w:left="0"/>
              <w:rPr>
                <w:rFonts w:ascii="Century Gothic" w:hAnsi="Century Gothic"/>
              </w:rPr>
            </w:pPr>
          </w:p>
        </w:tc>
        <w:tc>
          <w:tcPr>
            <w:tcW w:w="1846" w:type="dxa"/>
          </w:tcPr>
          <w:p w14:paraId="7998B827" w14:textId="77777777" w:rsidR="00F65695" w:rsidRPr="008113DA" w:rsidRDefault="00F65695">
            <w:pPr>
              <w:pStyle w:val="ListParagraph"/>
              <w:widowControl w:val="0"/>
              <w:spacing w:after="0" w:line="240" w:lineRule="auto"/>
              <w:ind w:left="0"/>
              <w:rPr>
                <w:rFonts w:ascii="Century Gothic" w:hAnsi="Century Gothic"/>
              </w:rPr>
            </w:pPr>
          </w:p>
        </w:tc>
      </w:tr>
    </w:tbl>
    <w:p w14:paraId="3D6242A8" w14:textId="77777777" w:rsidR="00F65695" w:rsidRPr="008113DA" w:rsidRDefault="00F65695">
      <w:pPr>
        <w:pStyle w:val="ListBullet"/>
        <w:numPr>
          <w:ilvl w:val="0"/>
          <w:numId w:val="0"/>
        </w:numPr>
        <w:ind w:left="720"/>
        <w:rPr>
          <w:rFonts w:ascii="Century Gothic" w:hAnsi="Century Gothic"/>
        </w:rPr>
      </w:pPr>
    </w:p>
    <w:bookmarkStart w:id="5" w:name="_Toc205280008" w:displacedByCustomXml="next"/>
    <w:sdt>
      <w:sdtPr>
        <w:rPr>
          <w:rFonts w:asciiTheme="minorHAnsi" w:eastAsiaTheme="minorHAnsi" w:hAnsiTheme="minorHAnsi" w:cstheme="minorBidi"/>
          <w:color w:val="auto"/>
          <w:kern w:val="2"/>
          <w:sz w:val="22"/>
          <w:szCs w:val="22"/>
          <w:lang w:val="en-AU"/>
          <w14:ligatures w14:val="standardContextual"/>
        </w:rPr>
        <w:id w:val="492378786"/>
        <w:docPartObj>
          <w:docPartGallery w:val="Table of Contents"/>
          <w:docPartUnique/>
        </w:docPartObj>
      </w:sdtPr>
      <w:sdtEndPr>
        <w:rPr>
          <w:b/>
          <w:bCs/>
          <w:noProof/>
        </w:rPr>
      </w:sdtEndPr>
      <w:sdtContent>
        <w:p w14:paraId="624A1DFE" w14:textId="659E8DA3" w:rsidR="008113DA" w:rsidRDefault="008113DA">
          <w:pPr>
            <w:pStyle w:val="TOCHeading"/>
          </w:pPr>
          <w:r>
            <w:t>Contents</w:t>
          </w:r>
          <w:bookmarkEnd w:id="5"/>
        </w:p>
        <w:p w14:paraId="4FBF08EA" w14:textId="33ABBC85" w:rsidR="008F5ACD" w:rsidRDefault="008113DA">
          <w:pPr>
            <w:pStyle w:val="TOC1"/>
            <w:tabs>
              <w:tab w:val="right" w:leader="dot" w:pos="9016"/>
            </w:tabs>
            <w:rPr>
              <w:rFonts w:eastAsiaTheme="minorEastAsia"/>
              <w:noProof/>
              <w:lang w:val="en-US"/>
            </w:rPr>
          </w:pPr>
          <w:r>
            <w:fldChar w:fldCharType="begin"/>
          </w:r>
          <w:r>
            <w:instrText xml:space="preserve"> TOC \o "1-3" \h \z \u </w:instrText>
          </w:r>
          <w:r>
            <w:fldChar w:fldCharType="separate"/>
          </w:r>
        </w:p>
        <w:p w14:paraId="6EC5EA39" w14:textId="2C3C9627" w:rsidR="008F5ACD" w:rsidRDefault="00C116C5">
          <w:pPr>
            <w:pStyle w:val="TOC2"/>
            <w:tabs>
              <w:tab w:val="right" w:leader="dot" w:pos="9016"/>
            </w:tabs>
            <w:rPr>
              <w:rStyle w:val="Hyperlink"/>
              <w:noProof/>
            </w:rPr>
          </w:pPr>
          <w:hyperlink w:anchor="_Toc205280009" w:history="1">
            <w:r w:rsidR="008F5ACD" w:rsidRPr="004276DE">
              <w:rPr>
                <w:rStyle w:val="Hyperlink"/>
                <w:rFonts w:ascii="Century Gothic" w:hAnsi="Century Gothic"/>
                <w:noProof/>
              </w:rPr>
              <w:t>PURPOSE STATEMENT</w:t>
            </w:r>
            <w:r w:rsidR="008F5ACD">
              <w:rPr>
                <w:noProof/>
                <w:webHidden/>
              </w:rPr>
              <w:tab/>
            </w:r>
            <w:r w:rsidR="008F5ACD">
              <w:rPr>
                <w:noProof/>
                <w:webHidden/>
              </w:rPr>
              <w:fldChar w:fldCharType="begin"/>
            </w:r>
            <w:r w:rsidR="008F5ACD">
              <w:rPr>
                <w:noProof/>
                <w:webHidden/>
              </w:rPr>
              <w:instrText xml:space="preserve"> PAGEREF _Toc205280009 \h </w:instrText>
            </w:r>
            <w:r w:rsidR="008F5ACD">
              <w:rPr>
                <w:noProof/>
                <w:webHidden/>
              </w:rPr>
            </w:r>
            <w:r w:rsidR="008F5ACD">
              <w:rPr>
                <w:noProof/>
                <w:webHidden/>
              </w:rPr>
              <w:fldChar w:fldCharType="separate"/>
            </w:r>
            <w:r>
              <w:rPr>
                <w:noProof/>
                <w:webHidden/>
              </w:rPr>
              <w:t>1</w:t>
            </w:r>
            <w:r w:rsidR="008F5ACD">
              <w:rPr>
                <w:noProof/>
                <w:webHidden/>
              </w:rPr>
              <w:fldChar w:fldCharType="end"/>
            </w:r>
          </w:hyperlink>
        </w:p>
        <w:p w14:paraId="259657A8" w14:textId="5DFFC4E3" w:rsidR="008F3E95" w:rsidRPr="008F3E95" w:rsidRDefault="008F3E95" w:rsidP="008F3E95">
          <w:pPr>
            <w:rPr>
              <w:noProof/>
            </w:rPr>
          </w:pPr>
          <w:r>
            <w:rPr>
              <w:noProof/>
            </w:rPr>
            <w:t xml:space="preserve">     Application During HSBI Activities………………………………………………………………………………2</w:t>
          </w:r>
        </w:p>
        <w:p w14:paraId="39B77828" w14:textId="1095293F" w:rsidR="008F5ACD" w:rsidRPr="008F3E95" w:rsidRDefault="00C116C5">
          <w:pPr>
            <w:pStyle w:val="TOC2"/>
            <w:tabs>
              <w:tab w:val="right" w:leader="dot" w:pos="9016"/>
            </w:tabs>
            <w:rPr>
              <w:rFonts w:eastAsiaTheme="minorEastAsia"/>
              <w:noProof/>
              <w:lang w:val="en-US"/>
            </w:rPr>
          </w:pPr>
          <w:hyperlink w:anchor="_Toc205280010" w:history="1">
            <w:r w:rsidR="008F5ACD" w:rsidRPr="008F3E95">
              <w:rPr>
                <w:rStyle w:val="Hyperlink"/>
                <w:rFonts w:ascii="Century Gothic" w:hAnsi="Century Gothic"/>
                <w:noProof/>
              </w:rPr>
              <w:t>Photographic and Video Collection Practices</w:t>
            </w:r>
            <w:r w:rsidR="008F5ACD" w:rsidRPr="008F3E95">
              <w:rPr>
                <w:noProof/>
                <w:webHidden/>
              </w:rPr>
              <w:tab/>
            </w:r>
            <w:r w:rsidR="008F5ACD" w:rsidRPr="008F3E95">
              <w:rPr>
                <w:noProof/>
                <w:webHidden/>
              </w:rPr>
              <w:fldChar w:fldCharType="begin"/>
            </w:r>
            <w:r w:rsidR="008F5ACD" w:rsidRPr="008F3E95">
              <w:rPr>
                <w:noProof/>
                <w:webHidden/>
              </w:rPr>
              <w:instrText xml:space="preserve"> PAGEREF _Toc205280010 \h </w:instrText>
            </w:r>
            <w:r w:rsidR="008F5ACD" w:rsidRPr="008F3E95">
              <w:rPr>
                <w:noProof/>
                <w:webHidden/>
              </w:rPr>
            </w:r>
            <w:r w:rsidR="008F5ACD" w:rsidRPr="008F3E95">
              <w:rPr>
                <w:noProof/>
                <w:webHidden/>
              </w:rPr>
              <w:fldChar w:fldCharType="separate"/>
            </w:r>
            <w:r>
              <w:rPr>
                <w:noProof/>
                <w:webHidden/>
              </w:rPr>
              <w:t>3</w:t>
            </w:r>
            <w:r w:rsidR="008F5ACD" w:rsidRPr="008F3E95">
              <w:rPr>
                <w:noProof/>
                <w:webHidden/>
              </w:rPr>
              <w:fldChar w:fldCharType="end"/>
            </w:r>
          </w:hyperlink>
        </w:p>
        <w:p w14:paraId="4E895C4A" w14:textId="7A21A0F3" w:rsidR="008F5ACD" w:rsidRPr="008F3E95" w:rsidRDefault="00C116C5">
          <w:pPr>
            <w:pStyle w:val="TOC2"/>
            <w:tabs>
              <w:tab w:val="right" w:leader="dot" w:pos="9016"/>
            </w:tabs>
            <w:rPr>
              <w:rStyle w:val="Hyperlink"/>
              <w:noProof/>
            </w:rPr>
          </w:pPr>
          <w:hyperlink w:anchor="_Toc205280011" w:history="1">
            <w:r w:rsidR="008F5ACD" w:rsidRPr="008F3E95">
              <w:rPr>
                <w:rStyle w:val="Hyperlink"/>
                <w:rFonts w:ascii="Century Gothic" w:hAnsi="Century Gothic"/>
                <w:noProof/>
              </w:rPr>
              <w:t>Dissemination of Media Evidence to Flag State</w:t>
            </w:r>
            <w:r w:rsidR="008F5ACD" w:rsidRPr="008F3E95">
              <w:rPr>
                <w:noProof/>
                <w:webHidden/>
              </w:rPr>
              <w:tab/>
            </w:r>
            <w:r w:rsidR="008F5ACD" w:rsidRPr="008F3E95">
              <w:rPr>
                <w:noProof/>
                <w:webHidden/>
              </w:rPr>
              <w:fldChar w:fldCharType="begin"/>
            </w:r>
            <w:r w:rsidR="008F5ACD" w:rsidRPr="008F3E95">
              <w:rPr>
                <w:noProof/>
                <w:webHidden/>
              </w:rPr>
              <w:instrText xml:space="preserve"> PAGEREF _Toc205280011 \h </w:instrText>
            </w:r>
            <w:r w:rsidR="008F5ACD" w:rsidRPr="008F3E95">
              <w:rPr>
                <w:noProof/>
                <w:webHidden/>
              </w:rPr>
            </w:r>
            <w:r w:rsidR="008F5ACD" w:rsidRPr="008F3E95">
              <w:rPr>
                <w:noProof/>
                <w:webHidden/>
              </w:rPr>
              <w:fldChar w:fldCharType="separate"/>
            </w:r>
            <w:r>
              <w:rPr>
                <w:noProof/>
                <w:webHidden/>
              </w:rPr>
              <w:t>5</w:t>
            </w:r>
            <w:r w:rsidR="008F5ACD" w:rsidRPr="008F3E95">
              <w:rPr>
                <w:noProof/>
                <w:webHidden/>
              </w:rPr>
              <w:fldChar w:fldCharType="end"/>
            </w:r>
          </w:hyperlink>
        </w:p>
        <w:p w14:paraId="6FDB9BE7" w14:textId="77777777" w:rsidR="008F5ACD" w:rsidRPr="008F5ACD" w:rsidRDefault="008F5ACD" w:rsidP="008F5ACD">
          <w:pPr>
            <w:rPr>
              <w:noProof/>
            </w:rPr>
          </w:pPr>
        </w:p>
        <w:p w14:paraId="506D76B5" w14:textId="06A660D9" w:rsidR="008113DA" w:rsidRDefault="008113DA">
          <w:r>
            <w:rPr>
              <w:b/>
              <w:bCs/>
              <w:noProof/>
            </w:rPr>
            <w:fldChar w:fldCharType="end"/>
          </w:r>
        </w:p>
      </w:sdtContent>
    </w:sdt>
    <w:p w14:paraId="141E9FFF" w14:textId="77777777" w:rsidR="00F65695" w:rsidRPr="00D87EFE" w:rsidRDefault="00FF2343" w:rsidP="000D42E8">
      <w:pPr>
        <w:pStyle w:val="Heading2"/>
      </w:pPr>
      <w:bookmarkStart w:id="6" w:name="_Toc205280009"/>
      <w:r w:rsidRPr="00D87EFE">
        <w:t>PURPOSE STATEMENT</w:t>
      </w:r>
      <w:bookmarkEnd w:id="6"/>
    </w:p>
    <w:p w14:paraId="75ECAF82" w14:textId="3EDD4F01" w:rsidR="00F65695" w:rsidRDefault="00FF2343">
      <w:pPr>
        <w:pStyle w:val="ListParagraph"/>
        <w:numPr>
          <w:ilvl w:val="0"/>
          <w:numId w:val="4"/>
        </w:numPr>
        <w:rPr>
          <w:rFonts w:ascii="Century Gothic" w:hAnsi="Century Gothic"/>
        </w:rPr>
      </w:pPr>
      <w:r w:rsidRPr="008113DA">
        <w:rPr>
          <w:rFonts w:ascii="Century Gothic" w:hAnsi="Century Gothic"/>
        </w:rPr>
        <w:t xml:space="preserve">The purpose of this Guide is to provide guidance to Authorised inspectors </w:t>
      </w:r>
      <w:r w:rsidR="0065292E" w:rsidRPr="008113DA">
        <w:rPr>
          <w:rFonts w:ascii="Century Gothic" w:hAnsi="Century Gothic"/>
        </w:rPr>
        <w:t>on the collection and dissemination of photographic and video media collected a</w:t>
      </w:r>
      <w:r w:rsidRPr="008113DA">
        <w:rPr>
          <w:rFonts w:ascii="Century Gothic" w:hAnsi="Century Gothic"/>
        </w:rPr>
        <w:t>s</w:t>
      </w:r>
      <w:r>
        <w:rPr>
          <w:rFonts w:ascii="Century Gothic" w:hAnsi="Century Gothic"/>
        </w:rPr>
        <w:t xml:space="preserve"> </w:t>
      </w:r>
      <w:r>
        <w:rPr>
          <w:rFonts w:ascii="Century Gothic" w:hAnsi="Century Gothic"/>
        </w:rPr>
        <w:lastRenderedPageBreak/>
        <w:t>part of WCPFC High Seas Boarding and Inspections (HSBI</w:t>
      </w:r>
      <w:r>
        <w:rPr>
          <w:rStyle w:val="FootnoteReference"/>
          <w:rFonts w:ascii="Century Gothic" w:hAnsi="Century Gothic"/>
        </w:rPr>
        <w:footnoteReference w:id="1"/>
      </w:r>
      <w:r>
        <w:rPr>
          <w:rFonts w:ascii="Century Gothic" w:hAnsi="Century Gothic"/>
        </w:rPr>
        <w:t xml:space="preserve">). For CCMs </w:t>
      </w:r>
      <w:r w:rsidR="0065292E">
        <w:rPr>
          <w:rFonts w:ascii="Century Gothic" w:hAnsi="Century Gothic"/>
        </w:rPr>
        <w:t xml:space="preserve">with an authorized inspection presence conducting HSBI activities, </w:t>
      </w:r>
      <w:r>
        <w:rPr>
          <w:rFonts w:ascii="Century Gothic" w:hAnsi="Century Gothic"/>
        </w:rPr>
        <w:t xml:space="preserve">the development of this Guide also intends to: </w:t>
      </w:r>
    </w:p>
    <w:p w14:paraId="5988E200" w14:textId="754481D3" w:rsidR="005D6B0F" w:rsidRDefault="003F38A2">
      <w:pPr>
        <w:pStyle w:val="ListParagraph"/>
        <w:numPr>
          <w:ilvl w:val="1"/>
          <w:numId w:val="6"/>
        </w:numPr>
        <w:rPr>
          <w:rFonts w:ascii="Century Gothic" w:hAnsi="Century Gothic"/>
        </w:rPr>
      </w:pPr>
      <w:r>
        <w:rPr>
          <w:rFonts w:ascii="Century Gothic" w:hAnsi="Century Gothic"/>
        </w:rPr>
        <w:t>Support</w:t>
      </w:r>
      <w:r w:rsidR="005D6B0F" w:rsidRPr="005D6B0F">
        <w:rPr>
          <w:rFonts w:ascii="Century Gothic" w:hAnsi="Century Gothic"/>
        </w:rPr>
        <w:t xml:space="preserve"> the generation and </w:t>
      </w:r>
      <w:r w:rsidR="005A476D">
        <w:rPr>
          <w:rFonts w:ascii="Century Gothic" w:hAnsi="Century Gothic"/>
        </w:rPr>
        <w:t xml:space="preserve">dissemination </w:t>
      </w:r>
      <w:r w:rsidR="005D6B0F" w:rsidRPr="005D6B0F">
        <w:rPr>
          <w:rFonts w:ascii="Century Gothic" w:hAnsi="Century Gothic"/>
        </w:rPr>
        <w:t xml:space="preserve">of clear, detailed, and evidentiary-quality boarding and violation reports to </w:t>
      </w:r>
      <w:r>
        <w:rPr>
          <w:rFonts w:ascii="Century Gothic" w:hAnsi="Century Gothic"/>
        </w:rPr>
        <w:t>CCM</w:t>
      </w:r>
      <w:r w:rsidR="005D6B0F" w:rsidRPr="005D6B0F">
        <w:rPr>
          <w:rFonts w:ascii="Century Gothic" w:hAnsi="Century Gothic"/>
        </w:rPr>
        <w:t xml:space="preserve"> authorities</w:t>
      </w:r>
      <w:r w:rsidR="005D6B0F">
        <w:rPr>
          <w:rFonts w:ascii="Century Gothic" w:hAnsi="Century Gothic"/>
        </w:rPr>
        <w:t xml:space="preserve"> – pa</w:t>
      </w:r>
      <w:r w:rsidR="005D6B0F" w:rsidRPr="005D6B0F">
        <w:rPr>
          <w:rFonts w:ascii="Century Gothic" w:hAnsi="Century Gothic"/>
        </w:rPr>
        <w:t xml:space="preserve">rticularly in cases </w:t>
      </w:r>
      <w:proofErr w:type="gramStart"/>
      <w:r w:rsidR="005D6B0F" w:rsidRPr="005D6B0F">
        <w:rPr>
          <w:rFonts w:ascii="Century Gothic" w:hAnsi="Century Gothic"/>
        </w:rPr>
        <w:t>where</w:t>
      </w:r>
      <w:proofErr w:type="gramEnd"/>
      <w:r w:rsidR="005D6B0F" w:rsidRPr="005D6B0F">
        <w:rPr>
          <w:rFonts w:ascii="Century Gothic" w:hAnsi="Century Gothic"/>
        </w:rPr>
        <w:t xml:space="preserve"> potential </w:t>
      </w:r>
      <w:r w:rsidR="005D6B0F">
        <w:rPr>
          <w:rFonts w:ascii="Century Gothic" w:hAnsi="Century Gothic"/>
        </w:rPr>
        <w:t>violations</w:t>
      </w:r>
      <w:r w:rsidR="005D6B0F" w:rsidRPr="005D6B0F">
        <w:rPr>
          <w:rFonts w:ascii="Century Gothic" w:hAnsi="Century Gothic"/>
        </w:rPr>
        <w:t>.</w:t>
      </w:r>
    </w:p>
    <w:p w14:paraId="2B1F016D" w14:textId="60357350" w:rsidR="005D6B0F" w:rsidRDefault="004B7260" w:rsidP="005D6B0F">
      <w:pPr>
        <w:pStyle w:val="ListParagraph"/>
        <w:numPr>
          <w:ilvl w:val="1"/>
          <w:numId w:val="6"/>
        </w:numPr>
        <w:rPr>
          <w:rFonts w:ascii="Century Gothic" w:hAnsi="Century Gothic"/>
        </w:rPr>
      </w:pPr>
      <w:r>
        <w:rPr>
          <w:rFonts w:ascii="Century Gothic" w:hAnsi="Century Gothic"/>
        </w:rPr>
        <w:t xml:space="preserve">Assist CCMs in determining the compliance status of </w:t>
      </w:r>
      <w:r w:rsidR="003F38A2">
        <w:rPr>
          <w:rFonts w:ascii="Century Gothic" w:hAnsi="Century Gothic"/>
        </w:rPr>
        <w:t xml:space="preserve">its </w:t>
      </w:r>
      <w:r w:rsidR="002E0867">
        <w:rPr>
          <w:rFonts w:ascii="Century Gothic" w:hAnsi="Century Gothic"/>
        </w:rPr>
        <w:t xml:space="preserve">fishing </w:t>
      </w:r>
      <w:r>
        <w:rPr>
          <w:rFonts w:ascii="Century Gothic" w:hAnsi="Century Gothic"/>
        </w:rPr>
        <w:t>vessels</w:t>
      </w:r>
      <w:r w:rsidR="002E0867">
        <w:rPr>
          <w:rFonts w:ascii="Century Gothic" w:hAnsi="Century Gothic"/>
        </w:rPr>
        <w:t xml:space="preserve"> subjected to HSBI activities</w:t>
      </w:r>
      <w:r>
        <w:rPr>
          <w:rFonts w:ascii="Century Gothic" w:hAnsi="Century Gothic"/>
        </w:rPr>
        <w:t xml:space="preserve"> and support </w:t>
      </w:r>
      <w:r w:rsidR="003F38A2">
        <w:rPr>
          <w:rFonts w:ascii="Century Gothic" w:hAnsi="Century Gothic"/>
        </w:rPr>
        <w:t>CCM</w:t>
      </w:r>
      <w:r>
        <w:rPr>
          <w:rFonts w:ascii="Century Gothic" w:hAnsi="Century Gothic"/>
        </w:rPr>
        <w:t xml:space="preserve"> judicial processes against </w:t>
      </w:r>
      <w:r w:rsidR="003F38A2">
        <w:rPr>
          <w:rFonts w:ascii="Century Gothic" w:hAnsi="Century Gothic"/>
        </w:rPr>
        <w:t xml:space="preserve">its </w:t>
      </w:r>
      <w:r>
        <w:rPr>
          <w:rFonts w:ascii="Century Gothic" w:hAnsi="Century Gothic"/>
        </w:rPr>
        <w:t>fishing vessels deemed to be non-compliant</w:t>
      </w:r>
      <w:r w:rsidR="002E0867">
        <w:rPr>
          <w:rFonts w:ascii="Century Gothic" w:hAnsi="Century Gothic"/>
        </w:rPr>
        <w:t>,</w:t>
      </w:r>
      <w:r>
        <w:rPr>
          <w:rFonts w:ascii="Century Gothic" w:hAnsi="Century Gothic"/>
        </w:rPr>
        <w:t xml:space="preserve"> with robust photographic and video media that will afford reliable evidence for such purposes. </w:t>
      </w:r>
    </w:p>
    <w:p w14:paraId="0E532F89" w14:textId="7B96DE31" w:rsidR="004B7260" w:rsidRPr="004B7260" w:rsidRDefault="004B7260" w:rsidP="004B7260">
      <w:pPr>
        <w:pStyle w:val="ListParagraph"/>
        <w:numPr>
          <w:ilvl w:val="1"/>
          <w:numId w:val="6"/>
        </w:numPr>
        <w:rPr>
          <w:rFonts w:ascii="Century Gothic" w:hAnsi="Century Gothic"/>
        </w:rPr>
      </w:pPr>
      <w:r w:rsidRPr="004B7260">
        <w:rPr>
          <w:rFonts w:ascii="Century Gothic" w:hAnsi="Century Gothic"/>
        </w:rPr>
        <w:t xml:space="preserve">Support the establishment of </w:t>
      </w:r>
      <w:r>
        <w:rPr>
          <w:rFonts w:ascii="Century Gothic" w:hAnsi="Century Gothic"/>
        </w:rPr>
        <w:t xml:space="preserve">best practices amongst inspecting authorities. </w:t>
      </w:r>
    </w:p>
    <w:p w14:paraId="3AFC0DF7" w14:textId="77777777" w:rsidR="00F65695" w:rsidRDefault="00F65695">
      <w:pPr>
        <w:pStyle w:val="ListParagraph"/>
        <w:ind w:left="360"/>
        <w:rPr>
          <w:rFonts w:ascii="Century Gothic" w:hAnsi="Century Gothic"/>
        </w:rPr>
      </w:pPr>
    </w:p>
    <w:p w14:paraId="72B08256" w14:textId="5F2537D9" w:rsidR="00F65695" w:rsidRPr="008F5ACD" w:rsidRDefault="00FF2343">
      <w:pPr>
        <w:pStyle w:val="ListParagraph"/>
        <w:numPr>
          <w:ilvl w:val="0"/>
          <w:numId w:val="4"/>
        </w:numPr>
        <w:rPr>
          <w:rFonts w:ascii="Century Gothic" w:hAnsi="Century Gothic"/>
        </w:rPr>
      </w:pPr>
      <w:r w:rsidRPr="008F5ACD">
        <w:rPr>
          <w:rFonts w:ascii="Century Gothic" w:hAnsi="Century Gothic"/>
        </w:rPr>
        <w:t xml:space="preserve">This </w:t>
      </w:r>
      <w:r w:rsidR="003F38A2">
        <w:rPr>
          <w:rFonts w:ascii="Century Gothic" w:hAnsi="Century Gothic"/>
        </w:rPr>
        <w:t>G</w:t>
      </w:r>
      <w:r w:rsidRPr="008F5ACD">
        <w:rPr>
          <w:rFonts w:ascii="Century Gothic" w:hAnsi="Century Gothic"/>
        </w:rPr>
        <w:t xml:space="preserve">uide refers to general considerations in the application of </w:t>
      </w:r>
      <w:r w:rsidR="008F5ACD">
        <w:rPr>
          <w:rFonts w:ascii="Century Gothic" w:hAnsi="Century Gothic"/>
        </w:rPr>
        <w:t xml:space="preserve">common photographic and video collection and reporting practices conducted by inspectors during and </w:t>
      </w:r>
      <w:proofErr w:type="gramStart"/>
      <w:r w:rsidR="008F5ACD">
        <w:rPr>
          <w:rFonts w:ascii="Century Gothic" w:hAnsi="Century Gothic"/>
        </w:rPr>
        <w:t>subsequent to</w:t>
      </w:r>
      <w:proofErr w:type="gramEnd"/>
      <w:r w:rsidR="008F5ACD">
        <w:rPr>
          <w:rFonts w:ascii="Century Gothic" w:hAnsi="Century Gothic"/>
        </w:rPr>
        <w:t xml:space="preserve"> HSBI activities</w:t>
      </w:r>
      <w:r w:rsidRPr="008F5ACD">
        <w:rPr>
          <w:rFonts w:ascii="Century Gothic" w:hAnsi="Century Gothic"/>
        </w:rPr>
        <w:t>, which includes:</w:t>
      </w:r>
    </w:p>
    <w:p w14:paraId="244EE108" w14:textId="5827EB28" w:rsidR="00F65695" w:rsidRDefault="008F3E95">
      <w:pPr>
        <w:pStyle w:val="ListParagraph"/>
        <w:numPr>
          <w:ilvl w:val="1"/>
          <w:numId w:val="7"/>
        </w:numPr>
        <w:rPr>
          <w:rFonts w:ascii="Century Gothic" w:hAnsi="Century Gothic"/>
        </w:rPr>
      </w:pPr>
      <w:r>
        <w:rPr>
          <w:rFonts w:ascii="Century Gothic" w:hAnsi="Century Gothic"/>
        </w:rPr>
        <w:t>Device settings</w:t>
      </w:r>
    </w:p>
    <w:p w14:paraId="4255A39F" w14:textId="4C6849EC" w:rsidR="008F3E95" w:rsidRDefault="008F3E95">
      <w:pPr>
        <w:pStyle w:val="ListParagraph"/>
        <w:numPr>
          <w:ilvl w:val="1"/>
          <w:numId w:val="7"/>
        </w:numPr>
        <w:rPr>
          <w:rFonts w:ascii="Century Gothic" w:hAnsi="Century Gothic"/>
        </w:rPr>
      </w:pPr>
      <w:r>
        <w:rPr>
          <w:rFonts w:ascii="Century Gothic" w:hAnsi="Century Gothic"/>
        </w:rPr>
        <w:t>Documentation protocols</w:t>
      </w:r>
    </w:p>
    <w:p w14:paraId="18744F9C" w14:textId="2F4B7EE6" w:rsidR="008F3E95" w:rsidRDefault="008F3E95">
      <w:pPr>
        <w:pStyle w:val="ListParagraph"/>
        <w:numPr>
          <w:ilvl w:val="1"/>
          <w:numId w:val="7"/>
        </w:numPr>
        <w:rPr>
          <w:rFonts w:ascii="Century Gothic" w:hAnsi="Century Gothic"/>
        </w:rPr>
      </w:pPr>
      <w:r>
        <w:rPr>
          <w:rFonts w:ascii="Century Gothic" w:hAnsi="Century Gothic"/>
        </w:rPr>
        <w:t>Media file handling</w:t>
      </w:r>
    </w:p>
    <w:p w14:paraId="60F4B6FE" w14:textId="5B7D74E6" w:rsidR="008F3E95" w:rsidRDefault="008F3E95">
      <w:pPr>
        <w:pStyle w:val="ListParagraph"/>
        <w:numPr>
          <w:ilvl w:val="1"/>
          <w:numId w:val="7"/>
        </w:numPr>
        <w:rPr>
          <w:rFonts w:ascii="Century Gothic" w:hAnsi="Century Gothic"/>
        </w:rPr>
      </w:pPr>
      <w:r>
        <w:rPr>
          <w:rFonts w:ascii="Century Gothic" w:hAnsi="Century Gothic"/>
        </w:rPr>
        <w:t>Reporting</w:t>
      </w:r>
    </w:p>
    <w:p w14:paraId="048FD1AC" w14:textId="2CF5A43A" w:rsidR="008F3E95" w:rsidRPr="008F5ACD" w:rsidRDefault="008F3E95">
      <w:pPr>
        <w:pStyle w:val="ListParagraph"/>
        <w:numPr>
          <w:ilvl w:val="1"/>
          <w:numId w:val="7"/>
        </w:numPr>
        <w:rPr>
          <w:rFonts w:ascii="Century Gothic" w:hAnsi="Century Gothic"/>
        </w:rPr>
      </w:pPr>
      <w:r>
        <w:rPr>
          <w:rFonts w:ascii="Century Gothic" w:hAnsi="Century Gothic"/>
        </w:rPr>
        <w:t>Transmission of media to flag state</w:t>
      </w:r>
    </w:p>
    <w:p w14:paraId="4A8B09F4" w14:textId="77777777" w:rsidR="00F65695" w:rsidRDefault="00F65695">
      <w:pPr>
        <w:pStyle w:val="ListParagraph"/>
        <w:ind w:left="1080"/>
        <w:rPr>
          <w:rFonts w:ascii="Century Gothic" w:hAnsi="Century Gothic"/>
        </w:rPr>
      </w:pPr>
    </w:p>
    <w:p w14:paraId="5309B8D8" w14:textId="77777777" w:rsidR="00F65695" w:rsidRDefault="00FF2343">
      <w:pPr>
        <w:pStyle w:val="ListParagraph"/>
        <w:numPr>
          <w:ilvl w:val="0"/>
          <w:numId w:val="4"/>
        </w:numPr>
        <w:rPr>
          <w:rFonts w:ascii="Century Gothic" w:hAnsi="Century Gothic"/>
        </w:rPr>
      </w:pPr>
      <w:r>
        <w:rPr>
          <w:rFonts w:ascii="Century Gothic" w:hAnsi="Century Gothic"/>
        </w:rPr>
        <w:t xml:space="preserve">The application of this Guide will be voluntary and apply to HSBI activities within the WCPFC area of competence. </w:t>
      </w:r>
    </w:p>
    <w:p w14:paraId="37052331" w14:textId="77777777" w:rsidR="00F65695" w:rsidRDefault="00F65695">
      <w:pPr>
        <w:pStyle w:val="ListParagraph"/>
        <w:ind w:left="360"/>
        <w:rPr>
          <w:rFonts w:ascii="Century Gothic" w:hAnsi="Century Gothic"/>
        </w:rPr>
      </w:pPr>
    </w:p>
    <w:p w14:paraId="4240383E" w14:textId="225CFF06" w:rsidR="00F65695" w:rsidRDefault="00FF2343">
      <w:pPr>
        <w:pStyle w:val="ListParagraph"/>
        <w:numPr>
          <w:ilvl w:val="0"/>
          <w:numId w:val="4"/>
        </w:numPr>
        <w:rPr>
          <w:rFonts w:ascii="Century Gothic" w:hAnsi="Century Gothic"/>
        </w:rPr>
      </w:pPr>
      <w:r>
        <w:rPr>
          <w:rFonts w:ascii="Century Gothic" w:hAnsi="Century Gothic"/>
        </w:rPr>
        <w:t xml:space="preserve">This </w:t>
      </w:r>
      <w:r w:rsidR="003F38A2">
        <w:rPr>
          <w:rFonts w:ascii="Century Gothic" w:hAnsi="Century Gothic"/>
        </w:rPr>
        <w:t>G</w:t>
      </w:r>
      <w:r>
        <w:rPr>
          <w:rFonts w:ascii="Century Gothic" w:hAnsi="Century Gothic"/>
        </w:rPr>
        <w:t>uide can be modified in response to new information, technical innovations, and perspectives. It is expected that this guide will continue to evolve as the field develops.</w:t>
      </w:r>
    </w:p>
    <w:p w14:paraId="28FFC682" w14:textId="77777777" w:rsidR="002E0867" w:rsidRPr="002E0867" w:rsidRDefault="002E0867" w:rsidP="002E0867">
      <w:pPr>
        <w:pStyle w:val="ListParagraph"/>
        <w:rPr>
          <w:rFonts w:ascii="Century Gothic" w:hAnsi="Century Gothic"/>
        </w:rPr>
      </w:pPr>
    </w:p>
    <w:p w14:paraId="078589B0" w14:textId="4AFA4387" w:rsidR="002E0867" w:rsidRDefault="002E0867">
      <w:pPr>
        <w:pStyle w:val="ListParagraph"/>
        <w:numPr>
          <w:ilvl w:val="0"/>
          <w:numId w:val="4"/>
        </w:numPr>
        <w:rPr>
          <w:rFonts w:ascii="Century Gothic" w:hAnsi="Century Gothic"/>
        </w:rPr>
      </w:pPr>
      <w:r>
        <w:rPr>
          <w:rFonts w:ascii="Century Gothic" w:hAnsi="Century Gothic"/>
        </w:rPr>
        <w:t xml:space="preserve">Inspectors should consider any specific evidentiary </w:t>
      </w:r>
      <w:r w:rsidR="008113DA">
        <w:rPr>
          <w:rFonts w:ascii="Century Gothic" w:hAnsi="Century Gothic"/>
        </w:rPr>
        <w:t>protocols</w:t>
      </w:r>
      <w:r>
        <w:rPr>
          <w:rFonts w:ascii="Century Gothic" w:hAnsi="Century Gothic"/>
        </w:rPr>
        <w:t xml:space="preserve"> relevant to </w:t>
      </w:r>
      <w:r w:rsidR="00EA5102">
        <w:rPr>
          <w:rFonts w:ascii="Century Gothic" w:hAnsi="Century Gothic"/>
        </w:rPr>
        <w:t xml:space="preserve">the </w:t>
      </w:r>
      <w:r>
        <w:rPr>
          <w:rFonts w:ascii="Century Gothic" w:hAnsi="Century Gothic"/>
        </w:rPr>
        <w:t>national requirements of the fishing vessel authorities that are raised to the attention of the inspection authority or HSBI Working Group</w:t>
      </w:r>
      <w:r w:rsidR="008113DA">
        <w:rPr>
          <w:rFonts w:ascii="Century Gothic" w:hAnsi="Century Gothic"/>
        </w:rPr>
        <w:t xml:space="preserve"> when conducting collection and reporting activities.</w:t>
      </w:r>
      <w:r>
        <w:rPr>
          <w:rFonts w:ascii="Century Gothic" w:hAnsi="Century Gothic"/>
        </w:rPr>
        <w:t xml:space="preserve"> </w:t>
      </w:r>
    </w:p>
    <w:p w14:paraId="05C1A362" w14:textId="77777777" w:rsidR="00B549CF" w:rsidRDefault="00B549CF" w:rsidP="00B549CF">
      <w:pPr>
        <w:pStyle w:val="ListParagraph"/>
        <w:ind w:left="360"/>
        <w:rPr>
          <w:rFonts w:ascii="Century Gothic" w:hAnsi="Century Gothic"/>
        </w:rPr>
      </w:pPr>
    </w:p>
    <w:p w14:paraId="0A961F3E" w14:textId="77777777" w:rsidR="008113DA" w:rsidRDefault="008113DA" w:rsidP="00B549CF">
      <w:pPr>
        <w:pStyle w:val="ListParagraph"/>
        <w:ind w:left="360"/>
        <w:rPr>
          <w:rFonts w:ascii="Century Gothic" w:hAnsi="Century Gothic"/>
          <w:b/>
          <w:bCs/>
          <w:sz w:val="24"/>
          <w:szCs w:val="24"/>
        </w:rPr>
      </w:pPr>
    </w:p>
    <w:p w14:paraId="3DC1A5A9" w14:textId="53E81C65" w:rsidR="00B549CF" w:rsidRPr="000D42E8" w:rsidRDefault="00B549CF" w:rsidP="000D42E8">
      <w:pPr>
        <w:pStyle w:val="Heading2"/>
      </w:pPr>
      <w:r w:rsidRPr="000D42E8">
        <w:t>Application of Photography and Video Collection During HSBI Activities.</w:t>
      </w:r>
    </w:p>
    <w:p w14:paraId="4AA460D6" w14:textId="77777777" w:rsidR="00B549CF" w:rsidRDefault="00B549CF" w:rsidP="00B549CF">
      <w:pPr>
        <w:pStyle w:val="ListParagraph"/>
        <w:ind w:left="360"/>
        <w:rPr>
          <w:rFonts w:ascii="Century Gothic" w:hAnsi="Century Gothic"/>
        </w:rPr>
      </w:pPr>
    </w:p>
    <w:p w14:paraId="6E61EE90" w14:textId="65D4331B" w:rsidR="00F65695" w:rsidRDefault="00FF2343">
      <w:pPr>
        <w:pStyle w:val="ListParagraph"/>
        <w:numPr>
          <w:ilvl w:val="0"/>
          <w:numId w:val="4"/>
        </w:numPr>
        <w:rPr>
          <w:rFonts w:ascii="Century Gothic" w:hAnsi="Century Gothic"/>
        </w:rPr>
      </w:pPr>
      <w:r>
        <w:rPr>
          <w:rFonts w:ascii="Century Gothic" w:hAnsi="Century Gothic"/>
        </w:rPr>
        <w:t xml:space="preserve">The aim of HSBIs is to </w:t>
      </w:r>
      <w:r w:rsidR="00B549CF">
        <w:rPr>
          <w:rFonts w:ascii="Century Gothic" w:hAnsi="Century Gothic"/>
        </w:rPr>
        <w:t xml:space="preserve">verify </w:t>
      </w:r>
      <w:r>
        <w:rPr>
          <w:rFonts w:ascii="Century Gothic" w:hAnsi="Century Gothic"/>
        </w:rPr>
        <w:t>compliance of a vessel with the WCPFC Convention and all applicable WCPFC CMM obligations</w:t>
      </w:r>
      <w:r w:rsidR="00B549CF">
        <w:rPr>
          <w:rFonts w:ascii="Century Gothic" w:hAnsi="Century Gothic"/>
        </w:rPr>
        <w:t xml:space="preserve"> and support the flag state conduct a fulsome investigation into any potential violations observed. </w:t>
      </w:r>
    </w:p>
    <w:p w14:paraId="3E09F6E2" w14:textId="77777777" w:rsidR="00F65695" w:rsidRDefault="00F65695">
      <w:pPr>
        <w:pStyle w:val="ListParagraph"/>
        <w:ind w:left="360"/>
        <w:rPr>
          <w:rFonts w:ascii="Century Gothic" w:hAnsi="Century Gothic"/>
        </w:rPr>
      </w:pPr>
    </w:p>
    <w:p w14:paraId="1F511D96" w14:textId="64B04D23" w:rsidR="00F65695" w:rsidRDefault="00B549CF">
      <w:pPr>
        <w:pStyle w:val="ListParagraph"/>
        <w:numPr>
          <w:ilvl w:val="0"/>
          <w:numId w:val="4"/>
        </w:numPr>
        <w:rPr>
          <w:rFonts w:ascii="Century Gothic" w:hAnsi="Century Gothic"/>
        </w:rPr>
      </w:pPr>
      <w:r>
        <w:rPr>
          <w:rFonts w:ascii="Century Gothic" w:hAnsi="Century Gothic"/>
        </w:rPr>
        <w:lastRenderedPageBreak/>
        <w:t xml:space="preserve">Inspectors should attempt to </w:t>
      </w:r>
      <w:r w:rsidR="00E70F71">
        <w:rPr>
          <w:rFonts w:ascii="Century Gothic" w:hAnsi="Century Gothic"/>
        </w:rPr>
        <w:t xml:space="preserve">collect detailed evidence during the course of a boarding and inspection relating to obligations to be referred to the flag </w:t>
      </w:r>
      <w:r w:rsidR="000131F3">
        <w:rPr>
          <w:rFonts w:ascii="Century Gothic" w:hAnsi="Century Gothic"/>
        </w:rPr>
        <w:t xml:space="preserve">CCM </w:t>
      </w:r>
      <w:r w:rsidR="00E70F71">
        <w:rPr>
          <w:rFonts w:ascii="Century Gothic" w:hAnsi="Century Gothic"/>
        </w:rPr>
        <w:t>as potentially non-compliant</w:t>
      </w:r>
      <w:r w:rsidR="000131F3">
        <w:rPr>
          <w:rFonts w:ascii="Century Gothic" w:hAnsi="Century Gothic"/>
        </w:rPr>
        <w:t xml:space="preserve"> where an</w:t>
      </w:r>
      <w:r w:rsidR="00E70F71">
        <w:rPr>
          <w:rFonts w:ascii="Century Gothic" w:hAnsi="Century Gothic"/>
        </w:rPr>
        <w:t xml:space="preserve"> investigation</w:t>
      </w:r>
      <w:r w:rsidR="000131F3">
        <w:rPr>
          <w:rFonts w:ascii="Century Gothic" w:hAnsi="Century Gothic"/>
        </w:rPr>
        <w:t xml:space="preserve"> is requested</w:t>
      </w:r>
      <w:r w:rsidR="00E70F71">
        <w:rPr>
          <w:rFonts w:ascii="Century Gothic" w:hAnsi="Century Gothic"/>
        </w:rPr>
        <w:t xml:space="preserve">, including </w:t>
      </w:r>
      <w:r w:rsidR="000131F3">
        <w:rPr>
          <w:rFonts w:ascii="Century Gothic" w:hAnsi="Century Gothic"/>
        </w:rPr>
        <w:t xml:space="preserve">but not limited to, </w:t>
      </w:r>
      <w:r w:rsidR="00E70F71">
        <w:rPr>
          <w:rFonts w:ascii="Century Gothic" w:hAnsi="Century Gothic"/>
        </w:rPr>
        <w:t xml:space="preserve">catch </w:t>
      </w:r>
      <w:r w:rsidR="000131F3">
        <w:rPr>
          <w:rFonts w:ascii="Century Gothic" w:hAnsi="Century Gothic"/>
        </w:rPr>
        <w:t>exceedance</w:t>
      </w:r>
      <w:r w:rsidR="00E70F71">
        <w:rPr>
          <w:rFonts w:ascii="Century Gothic" w:hAnsi="Century Gothic"/>
        </w:rPr>
        <w:t xml:space="preserve">, bycatch requirements, prohibited species, record keeping and licencing requirements, vessel identification requirements, </w:t>
      </w:r>
      <w:r w:rsidR="000131F3">
        <w:rPr>
          <w:rFonts w:ascii="Century Gothic" w:hAnsi="Century Gothic"/>
        </w:rPr>
        <w:t>fishing gear, and transshipment obligations.</w:t>
      </w:r>
    </w:p>
    <w:p w14:paraId="05E8C309" w14:textId="77777777" w:rsidR="00F65695" w:rsidRDefault="00F65695">
      <w:pPr>
        <w:pStyle w:val="ListParagraph"/>
        <w:rPr>
          <w:rFonts w:ascii="Century Gothic" w:hAnsi="Century Gothic"/>
        </w:rPr>
      </w:pPr>
    </w:p>
    <w:p w14:paraId="7DF1E5FC" w14:textId="5A8C2E40" w:rsidR="00F65695" w:rsidRPr="001C2BE4" w:rsidRDefault="00FF2343" w:rsidP="000131F3">
      <w:pPr>
        <w:pStyle w:val="ListParagraph"/>
        <w:numPr>
          <w:ilvl w:val="0"/>
          <w:numId w:val="4"/>
        </w:numPr>
        <w:rPr>
          <w:rFonts w:ascii="Century Gothic" w:hAnsi="Century Gothic"/>
        </w:rPr>
      </w:pPr>
      <w:r w:rsidRPr="000131F3">
        <w:rPr>
          <w:rFonts w:ascii="Century Gothic" w:hAnsi="Century Gothic"/>
        </w:rPr>
        <w:t>Inspecto</w:t>
      </w:r>
      <w:r w:rsidR="000131F3">
        <w:rPr>
          <w:rFonts w:ascii="Century Gothic" w:hAnsi="Century Gothic"/>
        </w:rPr>
        <w:t xml:space="preserve">rs conducting HSBI activities should seek to document potential violations of WCPFC obligations with photographic and video recording devices wherever deemed practicable </w:t>
      </w:r>
      <w:proofErr w:type="gramStart"/>
      <w:r w:rsidR="000131F3">
        <w:rPr>
          <w:rFonts w:ascii="Century Gothic" w:hAnsi="Century Gothic"/>
        </w:rPr>
        <w:t>during the course of</w:t>
      </w:r>
      <w:proofErr w:type="gramEnd"/>
      <w:r w:rsidR="000131F3">
        <w:rPr>
          <w:rFonts w:ascii="Century Gothic" w:hAnsi="Century Gothic"/>
        </w:rPr>
        <w:t xml:space="preserve"> a boarding and inspection </w:t>
      </w:r>
      <w:proofErr w:type="gramStart"/>
      <w:r w:rsidR="000131F3">
        <w:rPr>
          <w:rFonts w:ascii="Century Gothic" w:hAnsi="Century Gothic"/>
        </w:rPr>
        <w:t xml:space="preserve">in </w:t>
      </w:r>
      <w:r w:rsidR="000131F3" w:rsidRPr="001C2BE4">
        <w:rPr>
          <w:rFonts w:ascii="Century Gothic" w:hAnsi="Century Gothic"/>
        </w:rPr>
        <w:t>order to</w:t>
      </w:r>
      <w:proofErr w:type="gramEnd"/>
      <w:r w:rsidR="000131F3" w:rsidRPr="001C2BE4">
        <w:rPr>
          <w:rFonts w:ascii="Century Gothic" w:hAnsi="Century Gothic"/>
        </w:rPr>
        <w:t xml:space="preserve"> supply the best evidence to the flag </w:t>
      </w:r>
      <w:r w:rsidR="009633B3">
        <w:rPr>
          <w:rFonts w:ascii="Century Gothic" w:hAnsi="Century Gothic"/>
        </w:rPr>
        <w:t>CCM</w:t>
      </w:r>
      <w:r w:rsidR="000131F3" w:rsidRPr="001C2BE4">
        <w:rPr>
          <w:rFonts w:ascii="Century Gothic" w:hAnsi="Century Gothic"/>
        </w:rPr>
        <w:t xml:space="preserve">.  </w:t>
      </w:r>
    </w:p>
    <w:p w14:paraId="7B72F9B1" w14:textId="77777777" w:rsidR="000131F3" w:rsidRPr="001C2BE4" w:rsidRDefault="000131F3" w:rsidP="000131F3">
      <w:pPr>
        <w:pStyle w:val="ListParagraph"/>
        <w:rPr>
          <w:rFonts w:ascii="Century Gothic" w:hAnsi="Century Gothic"/>
        </w:rPr>
      </w:pPr>
    </w:p>
    <w:p w14:paraId="39262071" w14:textId="7091A447" w:rsidR="00F65695" w:rsidRPr="001C2BE4" w:rsidRDefault="007B585F" w:rsidP="000D42E8">
      <w:pPr>
        <w:pStyle w:val="Heading2"/>
      </w:pPr>
      <w:bookmarkStart w:id="7" w:name="_Toc205280010"/>
      <w:r w:rsidRPr="001C2BE4">
        <w:t>Photographic and Video Collection Practices</w:t>
      </w:r>
      <w:bookmarkEnd w:id="7"/>
    </w:p>
    <w:p w14:paraId="59EB1AAD" w14:textId="3F9FFA85" w:rsidR="001C2BE4" w:rsidRPr="00F90E17" w:rsidRDefault="001C2BE4" w:rsidP="009B07B7">
      <w:pPr>
        <w:pStyle w:val="Heading4"/>
        <w:suppressAutoHyphens w:val="0"/>
        <w:rPr>
          <w:rFonts w:ascii="Century Gothic" w:hAnsi="Century Gothic"/>
          <w:i w:val="0"/>
          <w:iCs w:val="0"/>
        </w:rPr>
      </w:pPr>
      <w:r w:rsidRPr="001C2BE4">
        <w:rPr>
          <w:rFonts w:ascii="Century Gothic" w:hAnsi="Century Gothic"/>
        </w:rPr>
        <w:tab/>
      </w:r>
      <w:r w:rsidRPr="009B07B7">
        <w:t>Devices</w:t>
      </w:r>
    </w:p>
    <w:p w14:paraId="09E14ABA" w14:textId="64A2B704" w:rsidR="008A5910" w:rsidRDefault="00FF2343">
      <w:pPr>
        <w:pStyle w:val="Heading4"/>
        <w:numPr>
          <w:ilvl w:val="0"/>
          <w:numId w:val="4"/>
        </w:numPr>
        <w:rPr>
          <w:rFonts w:ascii="Century Gothic" w:eastAsiaTheme="minorHAnsi" w:hAnsi="Century Gothic" w:cstheme="minorBidi"/>
          <w:i w:val="0"/>
          <w:iCs w:val="0"/>
          <w:color w:val="auto"/>
        </w:rPr>
      </w:pPr>
      <w:r w:rsidRPr="001C2BE4">
        <w:rPr>
          <w:rFonts w:ascii="Century Gothic" w:eastAsiaTheme="minorHAnsi" w:hAnsi="Century Gothic" w:cstheme="minorBidi"/>
          <w:i w:val="0"/>
          <w:iCs w:val="0"/>
          <w:color w:val="auto"/>
        </w:rPr>
        <w:t xml:space="preserve">The appropriate </w:t>
      </w:r>
      <w:r w:rsidR="008403E2" w:rsidRPr="001C2BE4">
        <w:rPr>
          <w:rFonts w:ascii="Century Gothic" w:eastAsiaTheme="minorHAnsi" w:hAnsi="Century Gothic" w:cstheme="minorBidi"/>
          <w:i w:val="0"/>
          <w:iCs w:val="0"/>
          <w:color w:val="auto"/>
        </w:rPr>
        <w:t xml:space="preserve">media recording </w:t>
      </w:r>
      <w:r w:rsidR="001C2BE4">
        <w:rPr>
          <w:rFonts w:ascii="Century Gothic" w:eastAsiaTheme="minorHAnsi" w:hAnsi="Century Gothic" w:cstheme="minorBidi"/>
          <w:i w:val="0"/>
          <w:iCs w:val="0"/>
          <w:color w:val="auto"/>
        </w:rPr>
        <w:t xml:space="preserve">device </w:t>
      </w:r>
      <w:r w:rsidR="008403E2">
        <w:rPr>
          <w:rFonts w:ascii="Century Gothic" w:eastAsiaTheme="minorHAnsi" w:hAnsi="Century Gothic" w:cstheme="minorBidi"/>
          <w:i w:val="0"/>
          <w:iCs w:val="0"/>
          <w:color w:val="auto"/>
        </w:rPr>
        <w:t>(video recording, photography, audio, etc.) to be used is at the discretion of the inspector</w:t>
      </w:r>
      <w:r w:rsidR="008A5910">
        <w:rPr>
          <w:rFonts w:ascii="Century Gothic" w:eastAsiaTheme="minorHAnsi" w:hAnsi="Century Gothic" w:cstheme="minorBidi"/>
          <w:i w:val="0"/>
          <w:iCs w:val="0"/>
          <w:color w:val="auto"/>
        </w:rPr>
        <w:t xml:space="preserve"> and will depend on the nature of the potential violation</w:t>
      </w:r>
      <w:r w:rsidR="001C2BE4">
        <w:rPr>
          <w:rFonts w:ascii="Century Gothic" w:eastAsiaTheme="minorHAnsi" w:hAnsi="Century Gothic" w:cstheme="minorBidi"/>
          <w:i w:val="0"/>
          <w:iCs w:val="0"/>
          <w:color w:val="auto"/>
        </w:rPr>
        <w:t>(s)</w:t>
      </w:r>
      <w:r w:rsidR="008A5910">
        <w:rPr>
          <w:rFonts w:ascii="Century Gothic" w:eastAsiaTheme="minorHAnsi" w:hAnsi="Century Gothic" w:cstheme="minorBidi"/>
          <w:i w:val="0"/>
          <w:iCs w:val="0"/>
          <w:color w:val="auto"/>
        </w:rPr>
        <w:t xml:space="preserve"> being documented.</w:t>
      </w:r>
    </w:p>
    <w:p w14:paraId="3EBEE648" w14:textId="77777777" w:rsidR="00663FCC" w:rsidRPr="00663FCC" w:rsidRDefault="00663FCC" w:rsidP="00663FCC"/>
    <w:p w14:paraId="7F4B1F3A" w14:textId="1EFB44DE" w:rsidR="008A5910" w:rsidRDefault="002876D7">
      <w:pPr>
        <w:pStyle w:val="Heading4"/>
        <w:numPr>
          <w:ilvl w:val="0"/>
          <w:numId w:val="4"/>
        </w:numPr>
        <w:rPr>
          <w:rFonts w:ascii="Century Gothic" w:eastAsiaTheme="minorHAnsi" w:hAnsi="Century Gothic" w:cstheme="minorBidi"/>
          <w:i w:val="0"/>
          <w:iCs w:val="0"/>
          <w:color w:val="auto"/>
        </w:rPr>
      </w:pPr>
      <w:r>
        <w:rPr>
          <w:rFonts w:ascii="Century Gothic" w:eastAsiaTheme="minorHAnsi" w:hAnsi="Century Gothic" w:cstheme="minorBidi"/>
          <w:i w:val="0"/>
          <w:iCs w:val="0"/>
          <w:color w:val="auto"/>
        </w:rPr>
        <w:t xml:space="preserve">The inspector should ensure that a correct and consistent time/date stamp be used by all media collection devices. The time zone used (ie. Coordinated Universal Time (UTC), Pohnpei Standard Time, local time, etc.) should be </w:t>
      </w:r>
      <w:r w:rsidR="001C2BE4">
        <w:rPr>
          <w:rFonts w:ascii="Century Gothic" w:eastAsiaTheme="minorHAnsi" w:hAnsi="Century Gothic" w:cstheme="minorBidi"/>
          <w:i w:val="0"/>
          <w:iCs w:val="0"/>
          <w:color w:val="auto"/>
        </w:rPr>
        <w:t>indicated</w:t>
      </w:r>
      <w:r>
        <w:rPr>
          <w:rFonts w:ascii="Century Gothic" w:eastAsiaTheme="minorHAnsi" w:hAnsi="Century Gothic" w:cstheme="minorBidi"/>
          <w:i w:val="0"/>
          <w:iCs w:val="0"/>
          <w:color w:val="auto"/>
        </w:rPr>
        <w:t xml:space="preserve"> in the boarding </w:t>
      </w:r>
      <w:r w:rsidR="001C2BE4">
        <w:rPr>
          <w:rFonts w:ascii="Century Gothic" w:eastAsiaTheme="minorHAnsi" w:hAnsi="Century Gothic" w:cstheme="minorBidi"/>
          <w:i w:val="0"/>
          <w:iCs w:val="0"/>
          <w:color w:val="auto"/>
        </w:rPr>
        <w:t>and/</w:t>
      </w:r>
      <w:r>
        <w:rPr>
          <w:rFonts w:ascii="Century Gothic" w:eastAsiaTheme="minorHAnsi" w:hAnsi="Century Gothic" w:cstheme="minorBidi"/>
          <w:i w:val="0"/>
          <w:iCs w:val="0"/>
          <w:color w:val="auto"/>
        </w:rPr>
        <w:t xml:space="preserve">or </w:t>
      </w:r>
      <w:r w:rsidR="001C2BE4">
        <w:rPr>
          <w:rFonts w:ascii="Century Gothic" w:eastAsiaTheme="minorHAnsi" w:hAnsi="Century Gothic" w:cstheme="minorBidi"/>
          <w:i w:val="0"/>
          <w:iCs w:val="0"/>
          <w:color w:val="auto"/>
        </w:rPr>
        <w:t xml:space="preserve">potential </w:t>
      </w:r>
      <w:r>
        <w:rPr>
          <w:rFonts w:ascii="Century Gothic" w:eastAsiaTheme="minorHAnsi" w:hAnsi="Century Gothic" w:cstheme="minorBidi"/>
          <w:i w:val="0"/>
          <w:iCs w:val="0"/>
          <w:color w:val="auto"/>
        </w:rPr>
        <w:t xml:space="preserve">violation report. </w:t>
      </w:r>
    </w:p>
    <w:p w14:paraId="44861FF8" w14:textId="77777777" w:rsidR="00663FCC" w:rsidRPr="00663FCC" w:rsidRDefault="00663FCC" w:rsidP="00663FCC"/>
    <w:p w14:paraId="72B04F01" w14:textId="7F9F16F0" w:rsidR="008A5910" w:rsidRDefault="001C2BE4">
      <w:pPr>
        <w:pStyle w:val="Heading4"/>
        <w:numPr>
          <w:ilvl w:val="0"/>
          <w:numId w:val="4"/>
        </w:numPr>
        <w:rPr>
          <w:rFonts w:ascii="Century Gothic" w:eastAsiaTheme="minorHAnsi" w:hAnsi="Century Gothic" w:cstheme="minorBidi"/>
          <w:i w:val="0"/>
          <w:iCs w:val="0"/>
          <w:color w:val="auto"/>
        </w:rPr>
      </w:pPr>
      <w:r>
        <w:rPr>
          <w:rFonts w:ascii="Century Gothic" w:eastAsiaTheme="minorHAnsi" w:hAnsi="Century Gothic" w:cstheme="minorBidi"/>
          <w:i w:val="0"/>
          <w:iCs w:val="0"/>
          <w:color w:val="auto"/>
        </w:rPr>
        <w:t>Media imagery should be recorded in a conventional or standard file format</w:t>
      </w:r>
      <w:r w:rsidR="008359DA">
        <w:rPr>
          <w:rFonts w:ascii="Century Gothic" w:eastAsiaTheme="minorHAnsi" w:hAnsi="Century Gothic" w:cstheme="minorBidi"/>
          <w:i w:val="0"/>
          <w:iCs w:val="0"/>
          <w:color w:val="auto"/>
        </w:rPr>
        <w:t xml:space="preserve"> and wherever possible,</w:t>
      </w:r>
      <w:r>
        <w:rPr>
          <w:rFonts w:ascii="Century Gothic" w:eastAsiaTheme="minorHAnsi" w:hAnsi="Century Gothic" w:cstheme="minorBidi"/>
          <w:i w:val="0"/>
          <w:iCs w:val="0"/>
          <w:color w:val="auto"/>
        </w:rPr>
        <w:t xml:space="preserve"> with maximum resolution and minimal compression.</w:t>
      </w:r>
      <w:r w:rsidR="008359DA">
        <w:rPr>
          <w:rFonts w:ascii="Century Gothic" w:eastAsiaTheme="minorHAnsi" w:hAnsi="Century Gothic" w:cstheme="minorBidi"/>
          <w:i w:val="0"/>
          <w:iCs w:val="0"/>
          <w:color w:val="auto"/>
        </w:rPr>
        <w:t xml:space="preserve"> Example file formats include JPEG, RAW, and TIFF for photography and MP4 and AVI formats for video recording. </w:t>
      </w:r>
    </w:p>
    <w:p w14:paraId="5D831F09" w14:textId="77777777" w:rsidR="00663FCC" w:rsidRPr="00663FCC" w:rsidRDefault="00663FCC" w:rsidP="00663FCC"/>
    <w:p w14:paraId="58B6AA48" w14:textId="524C259A" w:rsidR="008A5910" w:rsidRDefault="00017A10">
      <w:pPr>
        <w:pStyle w:val="Heading4"/>
        <w:numPr>
          <w:ilvl w:val="0"/>
          <w:numId w:val="4"/>
        </w:numPr>
        <w:rPr>
          <w:rFonts w:ascii="Century Gothic" w:eastAsiaTheme="minorHAnsi" w:hAnsi="Century Gothic" w:cstheme="minorBidi"/>
          <w:i w:val="0"/>
          <w:iCs w:val="0"/>
          <w:color w:val="auto"/>
        </w:rPr>
      </w:pPr>
      <w:r>
        <w:rPr>
          <w:rFonts w:ascii="Century Gothic" w:eastAsiaTheme="minorHAnsi" w:hAnsi="Century Gothic" w:cstheme="minorBidi"/>
          <w:i w:val="0"/>
          <w:iCs w:val="0"/>
          <w:color w:val="auto"/>
        </w:rPr>
        <w:t>To the extent possible, metadata</w:t>
      </w:r>
      <w:r w:rsidR="00DA4296">
        <w:rPr>
          <w:rStyle w:val="FootnoteReference"/>
          <w:rFonts w:ascii="Century Gothic" w:eastAsiaTheme="minorHAnsi" w:hAnsi="Century Gothic" w:cstheme="minorBidi"/>
          <w:i w:val="0"/>
          <w:iCs w:val="0"/>
          <w:color w:val="auto"/>
        </w:rPr>
        <w:footnoteReference w:id="2"/>
      </w:r>
      <w:r>
        <w:rPr>
          <w:rFonts w:ascii="Century Gothic" w:eastAsiaTheme="minorHAnsi" w:hAnsi="Century Gothic" w:cstheme="minorBidi"/>
          <w:i w:val="0"/>
          <w:iCs w:val="0"/>
          <w:color w:val="auto"/>
        </w:rPr>
        <w:t xml:space="preserve"> should be</w:t>
      </w:r>
      <w:r w:rsidR="00FB7D48">
        <w:rPr>
          <w:rFonts w:ascii="Century Gothic" w:eastAsiaTheme="minorHAnsi" w:hAnsi="Century Gothic" w:cstheme="minorBidi"/>
          <w:i w:val="0"/>
          <w:iCs w:val="0"/>
          <w:color w:val="auto"/>
        </w:rPr>
        <w:t xml:space="preserve"> recorded and</w:t>
      </w:r>
      <w:r>
        <w:rPr>
          <w:rFonts w:ascii="Century Gothic" w:eastAsiaTheme="minorHAnsi" w:hAnsi="Century Gothic" w:cstheme="minorBidi"/>
          <w:i w:val="0"/>
          <w:iCs w:val="0"/>
          <w:color w:val="auto"/>
        </w:rPr>
        <w:t xml:space="preserve"> preserved within the media files documented by inspectors, in case it is required for evidentiary purposes </w:t>
      </w:r>
      <w:r w:rsidR="00DA4296">
        <w:rPr>
          <w:rFonts w:ascii="Century Gothic" w:eastAsiaTheme="minorHAnsi" w:hAnsi="Century Gothic" w:cstheme="minorBidi"/>
          <w:i w:val="0"/>
          <w:iCs w:val="0"/>
          <w:color w:val="auto"/>
        </w:rPr>
        <w:t xml:space="preserve">by the flag </w:t>
      </w:r>
      <w:r w:rsidR="009633B3">
        <w:rPr>
          <w:rFonts w:ascii="Century Gothic" w:eastAsiaTheme="minorHAnsi" w:hAnsi="Century Gothic" w:cstheme="minorBidi"/>
          <w:i w:val="0"/>
          <w:iCs w:val="0"/>
          <w:color w:val="auto"/>
        </w:rPr>
        <w:t>CCM</w:t>
      </w:r>
      <w:r w:rsidR="00DA4296">
        <w:rPr>
          <w:rFonts w:ascii="Century Gothic" w:eastAsiaTheme="minorHAnsi" w:hAnsi="Century Gothic" w:cstheme="minorBidi"/>
          <w:i w:val="0"/>
          <w:iCs w:val="0"/>
          <w:color w:val="auto"/>
        </w:rPr>
        <w:t>. This metadata may often be embedded within files as EXIF data.</w:t>
      </w:r>
    </w:p>
    <w:p w14:paraId="6FC2BD82" w14:textId="77777777" w:rsidR="00062A1C" w:rsidRPr="00062A1C" w:rsidRDefault="00062A1C" w:rsidP="00062A1C"/>
    <w:p w14:paraId="65E72C7D" w14:textId="4FA669D8" w:rsidR="00F65695" w:rsidRPr="009B07B7" w:rsidRDefault="00062A1C" w:rsidP="009B07B7">
      <w:pPr>
        <w:pStyle w:val="Heading4"/>
        <w:suppressAutoHyphens w:val="0"/>
        <w:ind w:left="360"/>
      </w:pPr>
      <w:r w:rsidRPr="009B07B7">
        <w:t>Photography and Video Recording</w:t>
      </w:r>
    </w:p>
    <w:p w14:paraId="7D2FEDA8" w14:textId="41208C8E" w:rsidR="00F65695" w:rsidRDefault="00062A1C">
      <w:pPr>
        <w:pStyle w:val="ListParagraph"/>
        <w:numPr>
          <w:ilvl w:val="0"/>
          <w:numId w:val="4"/>
        </w:numPr>
        <w:rPr>
          <w:rFonts w:ascii="Century Gothic" w:hAnsi="Century Gothic"/>
        </w:rPr>
      </w:pPr>
      <w:r>
        <w:rPr>
          <w:rFonts w:ascii="Century Gothic" w:hAnsi="Century Gothic"/>
        </w:rPr>
        <w:t xml:space="preserve">Wherever practicable, photograph or video record evidence </w:t>
      </w:r>
      <w:r w:rsidRPr="00062A1C">
        <w:rPr>
          <w:rFonts w:ascii="Century Gothic" w:hAnsi="Century Gothic"/>
          <w:i/>
          <w:iCs/>
        </w:rPr>
        <w:t>in situ</w:t>
      </w:r>
      <w:r>
        <w:rPr>
          <w:rFonts w:ascii="Century Gothic" w:hAnsi="Century Gothic"/>
        </w:rPr>
        <w:t>, or in place, prior to removal or movement of item.</w:t>
      </w:r>
    </w:p>
    <w:p w14:paraId="686DA1A4" w14:textId="77777777" w:rsidR="00663FCC" w:rsidRDefault="00663FCC" w:rsidP="00663FCC">
      <w:pPr>
        <w:pStyle w:val="ListParagraph"/>
        <w:ind w:left="360"/>
        <w:rPr>
          <w:rFonts w:ascii="Century Gothic" w:hAnsi="Century Gothic"/>
        </w:rPr>
      </w:pPr>
    </w:p>
    <w:p w14:paraId="32BD48A2" w14:textId="432EB369" w:rsidR="00F65695" w:rsidRDefault="00062A1C">
      <w:pPr>
        <w:pStyle w:val="ListParagraph"/>
        <w:numPr>
          <w:ilvl w:val="0"/>
          <w:numId w:val="4"/>
        </w:numPr>
        <w:rPr>
          <w:rFonts w:ascii="Century Gothic" w:hAnsi="Century Gothic"/>
        </w:rPr>
      </w:pPr>
      <w:r>
        <w:rPr>
          <w:rFonts w:ascii="Century Gothic" w:hAnsi="Century Gothic"/>
        </w:rPr>
        <w:t xml:space="preserve">Inspectors recording photographic or video evidence should attempt to use a systematic approach to evidence collection </w:t>
      </w:r>
      <w:proofErr w:type="gramStart"/>
      <w:r>
        <w:rPr>
          <w:rFonts w:ascii="Century Gothic" w:hAnsi="Century Gothic"/>
        </w:rPr>
        <w:t>in order to</w:t>
      </w:r>
      <w:proofErr w:type="gramEnd"/>
      <w:r>
        <w:rPr>
          <w:rFonts w:ascii="Century Gothic" w:hAnsi="Century Gothic"/>
        </w:rPr>
        <w:t xml:space="preserve"> support comprehensive, </w:t>
      </w:r>
      <w:r>
        <w:rPr>
          <w:rFonts w:ascii="Century Gothic" w:hAnsi="Century Gothic"/>
        </w:rPr>
        <w:lastRenderedPageBreak/>
        <w:t xml:space="preserve">credible, and clear documentation of potential evidence </w:t>
      </w:r>
      <w:r w:rsidR="00656312">
        <w:rPr>
          <w:rFonts w:ascii="Century Gothic" w:hAnsi="Century Gothic"/>
        </w:rPr>
        <w:t>(i</w:t>
      </w:r>
      <w:r w:rsidR="009633B3">
        <w:rPr>
          <w:rFonts w:ascii="Century Gothic" w:hAnsi="Century Gothic"/>
        </w:rPr>
        <w:t>.</w:t>
      </w:r>
      <w:r w:rsidR="00656312">
        <w:rPr>
          <w:rFonts w:ascii="Century Gothic" w:hAnsi="Century Gothic"/>
        </w:rPr>
        <w:t xml:space="preserve">e. </w:t>
      </w:r>
      <w:r w:rsidR="0004573D">
        <w:rPr>
          <w:rFonts w:ascii="Century Gothic" w:hAnsi="Century Gothic"/>
        </w:rPr>
        <w:t>s</w:t>
      </w:r>
      <w:r w:rsidR="00656312">
        <w:rPr>
          <w:rFonts w:ascii="Century Gothic" w:hAnsi="Century Gothic"/>
        </w:rPr>
        <w:t>ystematic and not random documentation of catch holds)</w:t>
      </w:r>
      <w:r w:rsidR="00663FCC">
        <w:rPr>
          <w:rFonts w:ascii="Century Gothic" w:hAnsi="Century Gothic"/>
        </w:rPr>
        <w:t>.</w:t>
      </w:r>
    </w:p>
    <w:p w14:paraId="10CA3771" w14:textId="77777777" w:rsidR="00663FCC" w:rsidRPr="00663FCC" w:rsidRDefault="00663FCC" w:rsidP="00663FCC">
      <w:pPr>
        <w:pStyle w:val="ListParagraph"/>
        <w:rPr>
          <w:rFonts w:ascii="Century Gothic" w:hAnsi="Century Gothic"/>
        </w:rPr>
      </w:pPr>
    </w:p>
    <w:p w14:paraId="40EF634E" w14:textId="681726E6" w:rsidR="00062A1C" w:rsidRDefault="00656312">
      <w:pPr>
        <w:pStyle w:val="ListParagraph"/>
        <w:numPr>
          <w:ilvl w:val="0"/>
          <w:numId w:val="4"/>
        </w:numPr>
        <w:rPr>
          <w:rFonts w:ascii="Century Gothic" w:hAnsi="Century Gothic"/>
        </w:rPr>
      </w:pPr>
      <w:r>
        <w:rPr>
          <w:rFonts w:ascii="Century Gothic" w:hAnsi="Century Gothic"/>
        </w:rPr>
        <w:t xml:space="preserve">Depending on the nature of the evidence being documented, </w:t>
      </w:r>
      <w:r w:rsidR="00267185">
        <w:rPr>
          <w:rFonts w:ascii="Century Gothic" w:hAnsi="Century Gothic"/>
        </w:rPr>
        <w:t xml:space="preserve">a systematic approach to the documentation of individual spaces or items may also be warranted </w:t>
      </w:r>
      <w:proofErr w:type="gramStart"/>
      <w:r w:rsidR="00267185">
        <w:rPr>
          <w:rFonts w:ascii="Century Gothic" w:hAnsi="Century Gothic"/>
        </w:rPr>
        <w:t>in order to</w:t>
      </w:r>
      <w:proofErr w:type="gramEnd"/>
      <w:r w:rsidR="00267185">
        <w:rPr>
          <w:rFonts w:ascii="Century Gothic" w:hAnsi="Century Gothic"/>
        </w:rPr>
        <w:t xml:space="preserve"> document the context or relation of evidence aboard a vessel. This may involve sequenced recording that transitions </w:t>
      </w:r>
      <w:r w:rsidR="00F8662E">
        <w:rPr>
          <w:rFonts w:ascii="Century Gothic" w:hAnsi="Century Gothic"/>
        </w:rPr>
        <w:t>from wide-angle view</w:t>
      </w:r>
      <w:r w:rsidR="00267185">
        <w:rPr>
          <w:rFonts w:ascii="Century Gothic" w:hAnsi="Century Gothic"/>
        </w:rPr>
        <w:t xml:space="preserve"> to mid-range view and finally a close-up detailed view.</w:t>
      </w:r>
    </w:p>
    <w:p w14:paraId="4ECF7CA3" w14:textId="77777777" w:rsidR="005A2D99" w:rsidRPr="005A2D99" w:rsidRDefault="005A2D99" w:rsidP="005A2D99">
      <w:pPr>
        <w:pStyle w:val="ListParagraph"/>
        <w:rPr>
          <w:rFonts w:ascii="Century Gothic" w:hAnsi="Century Gothic"/>
        </w:rPr>
      </w:pPr>
    </w:p>
    <w:p w14:paraId="26F0D7FD" w14:textId="2391AAF2" w:rsidR="00062A1C" w:rsidRPr="009B07B7" w:rsidRDefault="00372A50" w:rsidP="009B07B7">
      <w:pPr>
        <w:pStyle w:val="Heading4"/>
        <w:suppressAutoHyphens w:val="0"/>
        <w:ind w:left="360"/>
      </w:pPr>
      <w:r w:rsidRPr="009B07B7">
        <w:t>Media Files</w:t>
      </w:r>
    </w:p>
    <w:p w14:paraId="7431A6F7" w14:textId="041ABBB7" w:rsidR="00372A50" w:rsidRDefault="00372A50">
      <w:pPr>
        <w:pStyle w:val="ListParagraph"/>
        <w:numPr>
          <w:ilvl w:val="0"/>
          <w:numId w:val="4"/>
        </w:numPr>
        <w:rPr>
          <w:rFonts w:ascii="Century Gothic" w:hAnsi="Century Gothic"/>
        </w:rPr>
      </w:pPr>
      <w:r>
        <w:rPr>
          <w:rFonts w:ascii="Century Gothic" w:hAnsi="Century Gothic"/>
        </w:rPr>
        <w:t>Inspectors sh</w:t>
      </w:r>
      <w:r w:rsidR="001F6E80">
        <w:rPr>
          <w:rFonts w:ascii="Century Gothic" w:hAnsi="Century Gothic"/>
        </w:rPr>
        <w:t>all</w:t>
      </w:r>
      <w:r>
        <w:rPr>
          <w:rFonts w:ascii="Century Gothic" w:hAnsi="Century Gothic"/>
        </w:rPr>
        <w:t xml:space="preserve"> not intentionally alter</w:t>
      </w:r>
      <w:r w:rsidR="001F6E80">
        <w:rPr>
          <w:rFonts w:ascii="Century Gothic" w:hAnsi="Century Gothic"/>
        </w:rPr>
        <w:t>, edit</w:t>
      </w:r>
      <w:r>
        <w:rPr>
          <w:rFonts w:ascii="Century Gothic" w:hAnsi="Century Gothic"/>
        </w:rPr>
        <w:t xml:space="preserve"> or </w:t>
      </w:r>
      <w:r w:rsidR="001F6E80">
        <w:rPr>
          <w:rFonts w:ascii="Century Gothic" w:hAnsi="Century Gothic"/>
        </w:rPr>
        <w:t xml:space="preserve">manipulate media evidence in any manner that could </w:t>
      </w:r>
      <w:r w:rsidR="00FB7D48">
        <w:rPr>
          <w:rFonts w:ascii="Century Gothic" w:hAnsi="Century Gothic"/>
        </w:rPr>
        <w:t>distort or misrepresent the</w:t>
      </w:r>
      <w:r w:rsidR="001F6E80">
        <w:rPr>
          <w:rFonts w:ascii="Century Gothic" w:hAnsi="Century Gothic"/>
        </w:rPr>
        <w:t xml:space="preserve"> evidence. If imagery enhancements are performed, it should be documented within the report. </w:t>
      </w:r>
    </w:p>
    <w:p w14:paraId="0B4CC7D8" w14:textId="77777777" w:rsidR="00663FCC" w:rsidRDefault="00663FCC" w:rsidP="00663FCC">
      <w:pPr>
        <w:pStyle w:val="ListParagraph"/>
        <w:ind w:left="360"/>
        <w:rPr>
          <w:rFonts w:ascii="Century Gothic" w:hAnsi="Century Gothic"/>
        </w:rPr>
      </w:pPr>
    </w:p>
    <w:p w14:paraId="0A6A208D" w14:textId="71A59CD5" w:rsidR="001F6E80" w:rsidRDefault="00FB7D48">
      <w:pPr>
        <w:pStyle w:val="ListParagraph"/>
        <w:numPr>
          <w:ilvl w:val="0"/>
          <w:numId w:val="4"/>
        </w:numPr>
        <w:rPr>
          <w:rFonts w:ascii="Century Gothic" w:hAnsi="Century Gothic"/>
        </w:rPr>
      </w:pPr>
      <w:r>
        <w:rPr>
          <w:rFonts w:ascii="Century Gothic" w:hAnsi="Century Gothic"/>
        </w:rPr>
        <w:t>Whenever possible, all original media files should be maintained by the inspection authority and not deleted</w:t>
      </w:r>
      <w:r w:rsidR="0004573D">
        <w:rPr>
          <w:rFonts w:ascii="Century Gothic" w:hAnsi="Century Gothic"/>
        </w:rPr>
        <w:t xml:space="preserve"> until the flag </w:t>
      </w:r>
      <w:r w:rsidR="009633B3">
        <w:rPr>
          <w:rFonts w:ascii="Century Gothic" w:hAnsi="Century Gothic"/>
        </w:rPr>
        <w:t xml:space="preserve">CCM </w:t>
      </w:r>
      <w:r w:rsidR="0004573D">
        <w:rPr>
          <w:rFonts w:ascii="Century Gothic" w:hAnsi="Century Gothic"/>
        </w:rPr>
        <w:t xml:space="preserve">has finalized their </w:t>
      </w:r>
      <w:proofErr w:type="gramStart"/>
      <w:r w:rsidR="0004573D">
        <w:rPr>
          <w:rFonts w:ascii="Century Gothic" w:hAnsi="Century Gothic"/>
        </w:rPr>
        <w:t>investigation</w:t>
      </w:r>
      <w:proofErr w:type="gramEnd"/>
      <w:r w:rsidR="0004573D">
        <w:rPr>
          <w:rFonts w:ascii="Century Gothic" w:hAnsi="Century Gothic"/>
        </w:rPr>
        <w:t xml:space="preserve"> or files have been transmitted to their authorities.</w:t>
      </w:r>
    </w:p>
    <w:p w14:paraId="193ECEF0" w14:textId="77777777" w:rsidR="00663FCC" w:rsidRPr="00663FCC" w:rsidRDefault="00663FCC" w:rsidP="00663FCC">
      <w:pPr>
        <w:pStyle w:val="ListParagraph"/>
        <w:rPr>
          <w:rFonts w:ascii="Century Gothic" w:hAnsi="Century Gothic"/>
        </w:rPr>
      </w:pPr>
    </w:p>
    <w:p w14:paraId="646908BC" w14:textId="4E050D8B" w:rsidR="00FB7D48" w:rsidRDefault="00FB7D48">
      <w:pPr>
        <w:pStyle w:val="ListParagraph"/>
        <w:numPr>
          <w:ilvl w:val="0"/>
          <w:numId w:val="4"/>
        </w:numPr>
        <w:rPr>
          <w:rFonts w:ascii="Century Gothic" w:hAnsi="Century Gothic"/>
        </w:rPr>
      </w:pPr>
      <w:r>
        <w:rPr>
          <w:rFonts w:ascii="Century Gothic" w:hAnsi="Century Gothic"/>
        </w:rPr>
        <w:t xml:space="preserve">Inspectors should maintain the original file names associated with the media files. </w:t>
      </w:r>
    </w:p>
    <w:p w14:paraId="3DC4D2AD" w14:textId="77777777" w:rsidR="00FB7D48" w:rsidRDefault="00FB7D48" w:rsidP="00FB7D48">
      <w:pPr>
        <w:rPr>
          <w:rFonts w:ascii="Century Gothic" w:hAnsi="Century Gothic"/>
        </w:rPr>
      </w:pPr>
    </w:p>
    <w:p w14:paraId="613BD153" w14:textId="0DBE04B2" w:rsidR="00BC13E2" w:rsidRPr="009B07B7" w:rsidRDefault="00BC13E2" w:rsidP="009B07B7">
      <w:pPr>
        <w:pStyle w:val="Heading4"/>
        <w:suppressAutoHyphens w:val="0"/>
        <w:ind w:left="360"/>
      </w:pPr>
      <w:r w:rsidRPr="009B07B7">
        <w:t>Inspector Documentation</w:t>
      </w:r>
      <w:r w:rsidR="00735AF4" w:rsidRPr="009B07B7">
        <w:t xml:space="preserve"> and Reporting</w:t>
      </w:r>
    </w:p>
    <w:p w14:paraId="174D7798" w14:textId="4DC00447" w:rsidR="00F65695" w:rsidRDefault="001720B0" w:rsidP="001720B0">
      <w:pPr>
        <w:pStyle w:val="ListParagraph"/>
        <w:numPr>
          <w:ilvl w:val="0"/>
          <w:numId w:val="4"/>
        </w:numPr>
        <w:rPr>
          <w:rFonts w:ascii="Century Gothic" w:hAnsi="Century Gothic"/>
        </w:rPr>
      </w:pPr>
      <w:r>
        <w:rPr>
          <w:rFonts w:ascii="Century Gothic" w:hAnsi="Century Gothic"/>
        </w:rPr>
        <w:t>Wherever practicable, inspectors should document the following aspects of photographic and video collection activities:</w:t>
      </w:r>
    </w:p>
    <w:p w14:paraId="40E5D14C" w14:textId="071DA002" w:rsidR="001720B0" w:rsidRDefault="001720B0">
      <w:pPr>
        <w:pStyle w:val="ListParagraph"/>
        <w:numPr>
          <w:ilvl w:val="1"/>
          <w:numId w:val="4"/>
        </w:numPr>
        <w:rPr>
          <w:rFonts w:ascii="Century Gothic" w:hAnsi="Century Gothic"/>
        </w:rPr>
      </w:pPr>
      <w:r>
        <w:rPr>
          <w:rFonts w:ascii="Century Gothic" w:hAnsi="Century Gothic"/>
        </w:rPr>
        <w:t>Device or equipment details</w:t>
      </w:r>
    </w:p>
    <w:p w14:paraId="1C2D501A" w14:textId="7D0113CB" w:rsidR="001720B0" w:rsidRDefault="001720B0">
      <w:pPr>
        <w:pStyle w:val="ListParagraph"/>
        <w:numPr>
          <w:ilvl w:val="1"/>
          <w:numId w:val="4"/>
        </w:numPr>
        <w:rPr>
          <w:rFonts w:ascii="Century Gothic" w:hAnsi="Century Gothic"/>
        </w:rPr>
      </w:pPr>
      <w:r>
        <w:rPr>
          <w:rFonts w:ascii="Century Gothic" w:hAnsi="Century Gothic"/>
        </w:rPr>
        <w:t>Name of photographer/videographer</w:t>
      </w:r>
    </w:p>
    <w:p w14:paraId="564ED0A2" w14:textId="77777777" w:rsidR="001720B0" w:rsidRDefault="001720B0">
      <w:pPr>
        <w:pStyle w:val="ListParagraph"/>
        <w:numPr>
          <w:ilvl w:val="1"/>
          <w:numId w:val="4"/>
        </w:numPr>
        <w:rPr>
          <w:rFonts w:ascii="Century Gothic" w:hAnsi="Century Gothic"/>
        </w:rPr>
      </w:pPr>
      <w:r>
        <w:rPr>
          <w:rFonts w:ascii="Century Gothic" w:hAnsi="Century Gothic"/>
        </w:rPr>
        <w:t>Date and time</w:t>
      </w:r>
    </w:p>
    <w:p w14:paraId="11F1AEE1" w14:textId="0CF8CF42" w:rsidR="00F65695" w:rsidRDefault="001720B0">
      <w:pPr>
        <w:pStyle w:val="ListParagraph"/>
        <w:numPr>
          <w:ilvl w:val="1"/>
          <w:numId w:val="4"/>
        </w:numPr>
        <w:rPr>
          <w:rFonts w:ascii="Century Gothic" w:hAnsi="Century Gothic"/>
        </w:rPr>
      </w:pPr>
      <w:r>
        <w:rPr>
          <w:rFonts w:ascii="Century Gothic" w:hAnsi="Century Gothic"/>
        </w:rPr>
        <w:t>Description and location of imagery</w:t>
      </w:r>
      <w:r w:rsidR="0004573D">
        <w:rPr>
          <w:rFonts w:ascii="Century Gothic" w:hAnsi="Century Gothic"/>
        </w:rPr>
        <w:t xml:space="preserve"> and/or</w:t>
      </w:r>
      <w:r w:rsidR="005A476D">
        <w:rPr>
          <w:rFonts w:ascii="Century Gothic" w:hAnsi="Century Gothic"/>
        </w:rPr>
        <w:t xml:space="preserve"> subject</w:t>
      </w:r>
    </w:p>
    <w:p w14:paraId="60E727B8" w14:textId="314BDA89" w:rsidR="001720B0" w:rsidRDefault="001720B0">
      <w:pPr>
        <w:pStyle w:val="ListParagraph"/>
        <w:numPr>
          <w:ilvl w:val="1"/>
          <w:numId w:val="4"/>
        </w:numPr>
        <w:rPr>
          <w:rFonts w:ascii="Century Gothic" w:hAnsi="Century Gothic"/>
        </w:rPr>
      </w:pPr>
      <w:r>
        <w:rPr>
          <w:rFonts w:ascii="Century Gothic" w:hAnsi="Century Gothic"/>
        </w:rPr>
        <w:t>File details</w:t>
      </w:r>
    </w:p>
    <w:p w14:paraId="6FA33C0A" w14:textId="77777777" w:rsidR="00663FCC" w:rsidRDefault="00663FCC" w:rsidP="00663FCC">
      <w:pPr>
        <w:pStyle w:val="ListParagraph"/>
        <w:ind w:left="1080"/>
        <w:rPr>
          <w:rFonts w:ascii="Century Gothic" w:hAnsi="Century Gothic"/>
        </w:rPr>
      </w:pPr>
    </w:p>
    <w:p w14:paraId="73AEAAE7" w14:textId="0E61D76C" w:rsidR="001720B0" w:rsidRDefault="005A476D" w:rsidP="005A476D">
      <w:pPr>
        <w:pStyle w:val="ListParagraph"/>
        <w:numPr>
          <w:ilvl w:val="0"/>
          <w:numId w:val="4"/>
        </w:numPr>
        <w:rPr>
          <w:rFonts w:ascii="Century Gothic" w:hAnsi="Century Gothic"/>
        </w:rPr>
      </w:pPr>
      <w:r>
        <w:rPr>
          <w:rFonts w:ascii="Century Gothic" w:hAnsi="Century Gothic"/>
        </w:rPr>
        <w:t xml:space="preserve">The creation and </w:t>
      </w:r>
      <w:r w:rsidR="00735AF4">
        <w:rPr>
          <w:rFonts w:ascii="Century Gothic" w:hAnsi="Century Gothic"/>
        </w:rPr>
        <w:t xml:space="preserve">transmittal of media collection (photographic, video, or any combination) logs is widely accepted as a best practice to support legal admissibility, clear reporting, and establish chain of custody for media evidence </w:t>
      </w:r>
      <w:r w:rsidR="0004573D">
        <w:rPr>
          <w:rFonts w:ascii="Century Gothic" w:hAnsi="Century Gothic"/>
        </w:rPr>
        <w:t xml:space="preserve">collection </w:t>
      </w:r>
      <w:r w:rsidR="00735AF4">
        <w:rPr>
          <w:rFonts w:ascii="Century Gothic" w:hAnsi="Century Gothic"/>
        </w:rPr>
        <w:t>supporting judicial or administrative proceedings.</w:t>
      </w:r>
    </w:p>
    <w:p w14:paraId="03962FF1" w14:textId="77777777" w:rsidR="00663FCC" w:rsidRDefault="00663FCC" w:rsidP="00663FCC">
      <w:pPr>
        <w:pStyle w:val="ListParagraph"/>
        <w:ind w:left="360"/>
        <w:rPr>
          <w:rFonts w:ascii="Century Gothic" w:hAnsi="Century Gothic"/>
        </w:rPr>
      </w:pPr>
    </w:p>
    <w:p w14:paraId="0FAB7F11" w14:textId="012DE98B" w:rsidR="00735AF4" w:rsidRDefault="00735AF4" w:rsidP="00735AF4">
      <w:pPr>
        <w:pStyle w:val="ListParagraph"/>
        <w:numPr>
          <w:ilvl w:val="0"/>
          <w:numId w:val="4"/>
        </w:numPr>
        <w:rPr>
          <w:rFonts w:ascii="Century Gothic" w:hAnsi="Century Gothic"/>
        </w:rPr>
      </w:pPr>
      <w:r w:rsidRPr="00F62499">
        <w:rPr>
          <w:rFonts w:ascii="Century Gothic" w:hAnsi="Century Gothic"/>
        </w:rPr>
        <w:t>Boarding and/or potential violation reports transmitted to the flag s</w:t>
      </w:r>
      <w:r w:rsidR="00F62499" w:rsidRPr="00F62499">
        <w:rPr>
          <w:rFonts w:ascii="Century Gothic" w:hAnsi="Century Gothic"/>
        </w:rPr>
        <w:t>tate s</w:t>
      </w:r>
      <w:r w:rsidRPr="00F62499">
        <w:rPr>
          <w:rFonts w:ascii="Century Gothic" w:hAnsi="Century Gothic"/>
        </w:rPr>
        <w:t xml:space="preserve">hould </w:t>
      </w:r>
      <w:r w:rsidR="00F62499" w:rsidRPr="00F62499">
        <w:rPr>
          <w:rFonts w:ascii="Century Gothic" w:hAnsi="Century Gothic"/>
        </w:rPr>
        <w:t xml:space="preserve">include details and/or descriptions of any necessary context relating to media evidence submitted within the report that is not otherwise self-evident. This may include such details as the location, subject, relationship or significance of the evidence depicted in the media. </w:t>
      </w:r>
      <w:r w:rsidR="009D6C43">
        <w:rPr>
          <w:rFonts w:ascii="Century Gothic" w:hAnsi="Century Gothic"/>
        </w:rPr>
        <w:t xml:space="preserve">Reference to specific media files affording key </w:t>
      </w:r>
      <w:r w:rsidR="009D6C43">
        <w:rPr>
          <w:rFonts w:ascii="Century Gothic" w:hAnsi="Century Gothic"/>
        </w:rPr>
        <w:t xml:space="preserve">evidence within the report may support clearer interpretation of evidence. </w:t>
      </w:r>
    </w:p>
    <w:p w14:paraId="7166CEBB" w14:textId="77777777" w:rsidR="00FA795B" w:rsidRPr="00F62499" w:rsidRDefault="00FA795B" w:rsidP="00FA795B">
      <w:pPr>
        <w:pStyle w:val="ListParagraph"/>
        <w:ind w:left="360"/>
        <w:rPr>
          <w:rFonts w:ascii="Century Gothic" w:hAnsi="Century Gothic"/>
        </w:rPr>
      </w:pPr>
    </w:p>
    <w:p w14:paraId="2038EAB1" w14:textId="77777777" w:rsidR="009B07B7" w:rsidRDefault="009B07B7">
      <w:pPr>
        <w:spacing w:after="0" w:line="240" w:lineRule="auto"/>
        <w:rPr>
          <w:rFonts w:asciiTheme="majorHAnsi" w:eastAsiaTheme="majorEastAsia" w:hAnsiTheme="majorHAnsi" w:cstheme="majorBidi"/>
          <w:color w:val="0F4761" w:themeColor="accent1" w:themeShade="BF"/>
          <w:sz w:val="30"/>
          <w:szCs w:val="30"/>
        </w:rPr>
      </w:pPr>
      <w:bookmarkStart w:id="8" w:name="_Toc205280011"/>
      <w:r>
        <w:br w:type="page"/>
      </w:r>
    </w:p>
    <w:p w14:paraId="0534A191" w14:textId="2CC51810" w:rsidR="00FA795B" w:rsidRDefault="00663FCC" w:rsidP="000D42E8">
      <w:pPr>
        <w:pStyle w:val="Heading2"/>
      </w:pPr>
      <w:r>
        <w:lastRenderedPageBreak/>
        <w:t>Dissemination of Media Evidence to Flag State</w:t>
      </w:r>
      <w:bookmarkEnd w:id="8"/>
    </w:p>
    <w:p w14:paraId="60A4EB8E" w14:textId="77777777" w:rsidR="00FA795B" w:rsidRPr="00FA795B" w:rsidRDefault="00FA795B" w:rsidP="00FA795B"/>
    <w:p w14:paraId="12EFA576" w14:textId="12794F9B" w:rsidR="0004573D" w:rsidRDefault="0004573D" w:rsidP="00FA795B">
      <w:pPr>
        <w:pStyle w:val="ListParagraph"/>
        <w:numPr>
          <w:ilvl w:val="0"/>
          <w:numId w:val="4"/>
        </w:numPr>
        <w:rPr>
          <w:rFonts w:ascii="Century Gothic" w:hAnsi="Century Gothic"/>
        </w:rPr>
      </w:pPr>
      <w:r>
        <w:rPr>
          <w:rFonts w:ascii="Century Gothic" w:hAnsi="Century Gothic"/>
        </w:rPr>
        <w:t xml:space="preserve">The submission of annotated photograph or media to the flag </w:t>
      </w:r>
      <w:r w:rsidR="009633B3">
        <w:rPr>
          <w:rFonts w:ascii="Century Gothic" w:hAnsi="Century Gothic"/>
        </w:rPr>
        <w:t xml:space="preserve">CCM </w:t>
      </w:r>
      <w:r>
        <w:rPr>
          <w:rFonts w:ascii="Century Gothic" w:hAnsi="Century Gothic"/>
        </w:rPr>
        <w:t xml:space="preserve">is generally a useful aid to support </w:t>
      </w:r>
      <w:r w:rsidR="00185384">
        <w:rPr>
          <w:rFonts w:ascii="Century Gothic" w:hAnsi="Century Gothic"/>
        </w:rPr>
        <w:t xml:space="preserve">in </w:t>
      </w:r>
      <w:r>
        <w:rPr>
          <w:rFonts w:ascii="Century Gothic" w:hAnsi="Century Gothic"/>
        </w:rPr>
        <w:t>the interpretation of media</w:t>
      </w:r>
      <w:r w:rsidR="00B179DB">
        <w:rPr>
          <w:rFonts w:ascii="Century Gothic" w:hAnsi="Century Gothic"/>
        </w:rPr>
        <w:t xml:space="preserve"> with evidentiary value</w:t>
      </w:r>
      <w:r>
        <w:rPr>
          <w:rFonts w:ascii="Century Gothic" w:hAnsi="Century Gothic"/>
        </w:rPr>
        <w:t xml:space="preserve"> and understanding context. </w:t>
      </w:r>
      <w:r w:rsidR="00185384">
        <w:rPr>
          <w:rFonts w:ascii="Century Gothic" w:hAnsi="Century Gothic"/>
        </w:rPr>
        <w:t xml:space="preserve">Providing access to both annotated and original </w:t>
      </w:r>
      <w:r w:rsidR="002676AB">
        <w:rPr>
          <w:rFonts w:ascii="Century Gothic" w:hAnsi="Century Gothic"/>
        </w:rPr>
        <w:t>media formats</w:t>
      </w:r>
      <w:r w:rsidR="00185384">
        <w:rPr>
          <w:rFonts w:ascii="Century Gothic" w:hAnsi="Century Gothic"/>
        </w:rPr>
        <w:t xml:space="preserve"> is encouraged. </w:t>
      </w:r>
    </w:p>
    <w:p w14:paraId="5C75967A" w14:textId="77777777" w:rsidR="0004573D" w:rsidRDefault="0004573D" w:rsidP="0004573D">
      <w:pPr>
        <w:pStyle w:val="ListParagraph"/>
        <w:ind w:left="360"/>
        <w:rPr>
          <w:rFonts w:ascii="Century Gothic" w:hAnsi="Century Gothic"/>
        </w:rPr>
      </w:pPr>
    </w:p>
    <w:p w14:paraId="40FB0D37" w14:textId="2ADEFA9E" w:rsidR="00FA795B" w:rsidRDefault="0012575B" w:rsidP="00FA795B">
      <w:pPr>
        <w:pStyle w:val="ListParagraph"/>
        <w:numPr>
          <w:ilvl w:val="0"/>
          <w:numId w:val="4"/>
        </w:numPr>
        <w:rPr>
          <w:rFonts w:ascii="Century Gothic" w:hAnsi="Century Gothic"/>
        </w:rPr>
      </w:pPr>
      <w:r>
        <w:rPr>
          <w:rFonts w:ascii="Century Gothic" w:hAnsi="Century Gothic"/>
        </w:rPr>
        <w:t xml:space="preserve">If media evidence, such as photographs, are transmitted to the flag </w:t>
      </w:r>
      <w:r w:rsidR="009633B3">
        <w:rPr>
          <w:rFonts w:ascii="Century Gothic" w:hAnsi="Century Gothic"/>
        </w:rPr>
        <w:t>CCM</w:t>
      </w:r>
      <w:r>
        <w:rPr>
          <w:rFonts w:ascii="Century Gothic" w:hAnsi="Century Gothic"/>
        </w:rPr>
        <w:t xml:space="preserve"> within a document </w:t>
      </w:r>
      <w:r w:rsidR="00185384">
        <w:rPr>
          <w:rFonts w:ascii="Century Gothic" w:hAnsi="Century Gothic"/>
        </w:rPr>
        <w:t xml:space="preserve">other than the original file format, </w:t>
      </w:r>
      <w:r>
        <w:rPr>
          <w:rFonts w:ascii="Century Gothic" w:hAnsi="Century Gothic"/>
        </w:rPr>
        <w:t xml:space="preserve">such as PDF or Word, the inspection authority should take additional steps to either transmit the original media files in original formats or make them available upon request. Ensuring access to full resolution and original media evidence may support analysis and evidentiary standards.  </w:t>
      </w:r>
    </w:p>
    <w:p w14:paraId="005723E6" w14:textId="77777777" w:rsidR="0012575B" w:rsidRPr="0012575B" w:rsidRDefault="0012575B" w:rsidP="0012575B">
      <w:pPr>
        <w:pStyle w:val="ListParagraph"/>
        <w:rPr>
          <w:rFonts w:ascii="Century Gothic" w:hAnsi="Century Gothic"/>
        </w:rPr>
      </w:pPr>
    </w:p>
    <w:p w14:paraId="094A3EC8" w14:textId="05C9CEE2" w:rsidR="0012575B" w:rsidRDefault="0054494B" w:rsidP="00FA795B">
      <w:pPr>
        <w:pStyle w:val="ListParagraph"/>
        <w:numPr>
          <w:ilvl w:val="0"/>
          <w:numId w:val="4"/>
        </w:numPr>
        <w:rPr>
          <w:rFonts w:ascii="Century Gothic" w:hAnsi="Century Gothic"/>
        </w:rPr>
      </w:pPr>
      <w:r w:rsidRPr="0054494B">
        <w:rPr>
          <w:rFonts w:ascii="Century Gothic" w:hAnsi="Century Gothic"/>
        </w:rPr>
        <w:t>The transmission of large media evidence files</w:t>
      </w:r>
      <w:r>
        <w:rPr>
          <w:rFonts w:ascii="Century Gothic" w:hAnsi="Century Gothic"/>
        </w:rPr>
        <w:t xml:space="preserve"> – s</w:t>
      </w:r>
      <w:r w:rsidRPr="0054494B">
        <w:rPr>
          <w:rFonts w:ascii="Century Gothic" w:hAnsi="Century Gothic"/>
        </w:rPr>
        <w:t>uch as video footage or extensive photo collections</w:t>
      </w:r>
      <w:r>
        <w:rPr>
          <w:rFonts w:ascii="Century Gothic" w:hAnsi="Century Gothic"/>
        </w:rPr>
        <w:t xml:space="preserve"> – m</w:t>
      </w:r>
      <w:r w:rsidRPr="0054494B">
        <w:rPr>
          <w:rFonts w:ascii="Century Gothic" w:hAnsi="Century Gothic"/>
        </w:rPr>
        <w:t>ay not be feasible via the official HSBI email contact points designated by the Secretariat</w:t>
      </w:r>
      <w:r>
        <w:rPr>
          <w:rFonts w:ascii="Century Gothic" w:hAnsi="Century Gothic"/>
        </w:rPr>
        <w:t xml:space="preserve"> due to bandwidth limitations associated with e-mail servers. Therefore, the use of cloud-based servers may be warranted to facilitate the exchange of larger media files between CCMs. Wherever possible, security features such as password protection, end-to-end encryption</w:t>
      </w:r>
      <w:r w:rsidR="00781318">
        <w:rPr>
          <w:rFonts w:ascii="Century Gothic" w:hAnsi="Century Gothic"/>
        </w:rPr>
        <w:t xml:space="preserve"> or e-mail-specific access links should be used to ensure the confidentiality and protection of such sensitive data. </w:t>
      </w:r>
      <w:r>
        <w:rPr>
          <w:rFonts w:ascii="Century Gothic" w:hAnsi="Century Gothic"/>
        </w:rPr>
        <w:t xml:space="preserve"> </w:t>
      </w:r>
    </w:p>
    <w:p w14:paraId="47AB52A3" w14:textId="77777777" w:rsidR="00781318" w:rsidRPr="00781318" w:rsidRDefault="00781318" w:rsidP="00781318">
      <w:pPr>
        <w:pStyle w:val="ListParagraph"/>
        <w:rPr>
          <w:rFonts w:ascii="Century Gothic" w:hAnsi="Century Gothic"/>
        </w:rPr>
      </w:pPr>
    </w:p>
    <w:p w14:paraId="1E6FF233" w14:textId="47413B44" w:rsidR="00781318" w:rsidRDefault="00781318" w:rsidP="00FA795B">
      <w:pPr>
        <w:pStyle w:val="ListParagraph"/>
        <w:numPr>
          <w:ilvl w:val="0"/>
          <w:numId w:val="4"/>
        </w:numPr>
        <w:rPr>
          <w:rFonts w:ascii="Century Gothic" w:hAnsi="Century Gothic"/>
        </w:rPr>
      </w:pPr>
      <w:r>
        <w:rPr>
          <w:rFonts w:ascii="Century Gothic" w:hAnsi="Century Gothic"/>
        </w:rPr>
        <w:t xml:space="preserve">Additional transmission mediums, such as the potential use of the Secretariat’s HSBI notification portal or Case Compliance File System (CCFS), should be assessed for the potential ability to deliver this capability of file sharing between CCMs. </w:t>
      </w:r>
    </w:p>
    <w:p w14:paraId="222F21E9" w14:textId="77777777" w:rsidR="00FA795B" w:rsidRDefault="00FA795B">
      <w:pPr>
        <w:ind w:left="360"/>
        <w:rPr>
          <w:rFonts w:ascii="Century Gothic" w:hAnsi="Century Gothic"/>
        </w:rPr>
      </w:pPr>
    </w:p>
    <w:sectPr w:rsidR="00FA795B">
      <w:headerReference w:type="default" r:id="rId12"/>
      <w:footerReference w:type="default" r:id="rId13"/>
      <w:headerReference w:type="first" r:id="rId14"/>
      <w:pgSz w:w="11906" w:h="16838"/>
      <w:pgMar w:top="1440" w:right="1440" w:bottom="1440" w:left="1440"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35BB2" w14:textId="77777777" w:rsidR="005F56A8" w:rsidRDefault="005F56A8">
      <w:pPr>
        <w:spacing w:after="0" w:line="240" w:lineRule="auto"/>
      </w:pPr>
      <w:r>
        <w:separator/>
      </w:r>
    </w:p>
  </w:endnote>
  <w:endnote w:type="continuationSeparator" w:id="0">
    <w:p w14:paraId="7E2AB64B" w14:textId="77777777" w:rsidR="005F56A8" w:rsidRDefault="005F5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iberation Mono">
    <w:altName w:val="Courier New"/>
    <w:charset w:val="00"/>
    <w:family w:val="roman"/>
    <w:pitch w:val="variable"/>
  </w:font>
  <w:font w:name="Calibri">
    <w:panose1 w:val="020F0502020204030204"/>
    <w:charset w:val="00"/>
    <w:family w:val="swiss"/>
    <w:pitch w:val="variable"/>
    <w:sig w:usb0="E4002EFF" w:usb1="C200247B" w:usb2="00000009" w:usb3="00000000" w:csb0="000001F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7967818"/>
      <w:docPartObj>
        <w:docPartGallery w:val="Page Numbers (Bottom of Page)"/>
        <w:docPartUnique/>
      </w:docPartObj>
    </w:sdtPr>
    <w:sdtEndPr>
      <w:rPr>
        <w:noProof/>
      </w:rPr>
    </w:sdtEndPr>
    <w:sdtContent>
      <w:p w14:paraId="3F685210" w14:textId="6FDF6F16" w:rsidR="009B07B7" w:rsidRDefault="009B07B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292433" w14:textId="77777777" w:rsidR="009B07B7" w:rsidRDefault="009B07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46C93" w14:textId="77777777" w:rsidR="005F56A8" w:rsidRDefault="005F56A8">
      <w:pPr>
        <w:rPr>
          <w:sz w:val="12"/>
        </w:rPr>
      </w:pPr>
      <w:r>
        <w:separator/>
      </w:r>
    </w:p>
  </w:footnote>
  <w:footnote w:type="continuationSeparator" w:id="0">
    <w:p w14:paraId="19607993" w14:textId="77777777" w:rsidR="005F56A8" w:rsidRDefault="005F56A8">
      <w:pPr>
        <w:rPr>
          <w:sz w:val="12"/>
        </w:rPr>
      </w:pPr>
      <w:r>
        <w:continuationSeparator/>
      </w:r>
    </w:p>
  </w:footnote>
  <w:footnote w:id="1">
    <w:p w14:paraId="35534DD0" w14:textId="77777777" w:rsidR="00F65695" w:rsidRPr="00DA4296" w:rsidRDefault="00FF2343">
      <w:pPr>
        <w:pStyle w:val="FootnoteText"/>
        <w:rPr>
          <w:rFonts w:ascii="Century Gothic" w:hAnsi="Century Gothic"/>
        </w:rPr>
      </w:pPr>
      <w:r w:rsidRPr="00DA4296">
        <w:rPr>
          <w:rStyle w:val="Caractresdenotedebasdepage"/>
          <w:rFonts w:ascii="Century Gothic" w:hAnsi="Century Gothic"/>
        </w:rPr>
        <w:footnoteRef/>
      </w:r>
      <w:r w:rsidRPr="00DA4296">
        <w:rPr>
          <w:rFonts w:ascii="Century Gothic" w:hAnsi="Century Gothic"/>
        </w:rPr>
        <w:t xml:space="preserve"> HSBI, refers to boarding and inspection and related activities conducted pursuant to CMM 2006-08 Western and Central Pacific Fisheries Commission Boarding and Inspection Procedures or any successor CMM.</w:t>
      </w:r>
    </w:p>
  </w:footnote>
  <w:footnote w:id="2">
    <w:p w14:paraId="3BE52E84" w14:textId="644A2EBF" w:rsidR="00DA4296" w:rsidRPr="00DA4296" w:rsidRDefault="00DA4296">
      <w:pPr>
        <w:pStyle w:val="FootnoteText"/>
        <w:rPr>
          <w:rFonts w:ascii="Century Gothic" w:hAnsi="Century Gothic"/>
          <w:lang w:val="en-US"/>
        </w:rPr>
      </w:pPr>
      <w:r w:rsidRPr="00DA4296">
        <w:rPr>
          <w:rStyle w:val="FootnoteReference"/>
          <w:rFonts w:ascii="Century Gothic" w:hAnsi="Century Gothic"/>
        </w:rPr>
        <w:footnoteRef/>
      </w:r>
      <w:r w:rsidRPr="00DA4296">
        <w:rPr>
          <w:rFonts w:ascii="Century Gothic" w:hAnsi="Century Gothic"/>
        </w:rPr>
        <w:t xml:space="preserve"> </w:t>
      </w:r>
      <w:r>
        <w:rPr>
          <w:rFonts w:ascii="Century Gothic" w:hAnsi="Century Gothic"/>
        </w:rPr>
        <w:t>Metadata is data that often specifies additional details about file creation, such as date and time, modification history, camera type, geographic coordinates, and other relevant data.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190922"/>
      <w:docPartObj>
        <w:docPartGallery w:val="Watermarks"/>
        <w:docPartUnique/>
      </w:docPartObj>
    </w:sdtPr>
    <w:sdtEndPr/>
    <w:sdtContent>
      <w:p w14:paraId="1D044A69" w14:textId="77777777" w:rsidR="00F65695" w:rsidRDefault="00C116C5">
        <w:pPr>
          <w:pStyle w:val="Header"/>
        </w:pPr>
        <w:r>
          <w:pict w14:anchorId="0C4313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margin-left:0;margin-top:0;width:412.25pt;height:153.3pt;rotation:315;z-index:251657216;mso-wrap-style:none;mso-position-horizontal:center;mso-position-horizontal-relative:margin;mso-position-vertical:center;mso-position-vertical-relative:margin;v-text-anchor:middle" o:allowincell="f" fillcolor="silver" stroked="f" strokecolor="#3465a4">
              <v:fill opacity=".5" color2="#3f3f3f" o:detectmouseclick="t"/>
              <v:textpath style="font-family:&quot;Calibri&quot;;font-size:1pt" trim="t" string="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8666309"/>
      <w:docPartObj>
        <w:docPartGallery w:val="Watermarks"/>
        <w:docPartUnique/>
      </w:docPartObj>
    </w:sdtPr>
    <w:sdtEndPr/>
    <w:sdtContent>
      <w:p w14:paraId="580F7A1F" w14:textId="77777777" w:rsidR="00F65695" w:rsidRDefault="00C116C5">
        <w:pPr>
          <w:pStyle w:val="Header"/>
        </w:pPr>
        <w:r>
          <w:pict w14:anchorId="045E6B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style="position:absolute;margin-left:0;margin-top:0;width:412.25pt;height:153.3pt;rotation:315;z-index:251658240;mso-wrap-style:none;mso-position-horizontal:center;mso-position-horizontal-relative:margin;mso-position-vertical:center;mso-position-vertical-relative:margin;v-text-anchor:middle" o:allowincell="f" fillcolor="silver" stroked="f" strokecolor="#3465a4">
              <v:fill opacity=".5" color2="#3f3f3f" o:detectmouseclick="t"/>
              <v:textpath style="font-family:&quot;Calibri&quot;;font-size:1pt" trim="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45D2B"/>
    <w:multiLevelType w:val="multilevel"/>
    <w:tmpl w:val="07C20FFC"/>
    <w:lvl w:ilvl="0">
      <w:numFmt w:val="bullet"/>
      <w:lvlText w:val="-"/>
      <w:lvlJc w:val="left"/>
      <w:pPr>
        <w:tabs>
          <w:tab w:val="num" w:pos="0"/>
        </w:tabs>
        <w:ind w:left="720" w:hanging="360"/>
      </w:pPr>
      <w:rPr>
        <w:rFonts w:ascii="Century Gothic" w:hAnsi="Century Gothic" w:cs="Century Gothic"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3DA5360"/>
    <w:multiLevelType w:val="multilevel"/>
    <w:tmpl w:val="9C3055E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8825BCB"/>
    <w:multiLevelType w:val="multilevel"/>
    <w:tmpl w:val="96107BA4"/>
    <w:lvl w:ilvl="0">
      <w:start w:val="1"/>
      <w:numFmt w:val="decimal"/>
      <w:lvlText w:val="%1."/>
      <w:lvlJc w:val="left"/>
      <w:pPr>
        <w:tabs>
          <w:tab w:val="num" w:pos="0"/>
        </w:tabs>
        <w:ind w:left="360" w:hanging="360"/>
      </w:pPr>
    </w:lvl>
    <w:lvl w:ilvl="1">
      <w:numFmt w:val="bullet"/>
      <w:lvlText w:val="-"/>
      <w:lvlJc w:val="left"/>
      <w:pPr>
        <w:tabs>
          <w:tab w:val="num" w:pos="0"/>
        </w:tabs>
        <w:ind w:left="1080" w:hanging="360"/>
      </w:pPr>
      <w:rPr>
        <w:rFonts w:ascii="Century Gothic" w:hAnsi="Century Gothic" w:cs="Century Gothic" w:hint="default"/>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 w15:restartNumberingAfterBreak="0">
    <w:nsid w:val="1BCC24D9"/>
    <w:multiLevelType w:val="multilevel"/>
    <w:tmpl w:val="9AD0A02A"/>
    <w:lvl w:ilvl="0">
      <w:start w:val="1"/>
      <w:numFmt w:val="bullet"/>
      <w:pStyle w:val="ListBullet"/>
      <w:lvlText w:val="−"/>
      <w:lvlJc w:val="left"/>
      <w:pPr>
        <w:tabs>
          <w:tab w:val="num" w:pos="0"/>
        </w:tabs>
        <w:ind w:left="720" w:hanging="360"/>
      </w:pPr>
      <w:rPr>
        <w:rFonts w:ascii="Century Gothic" w:hAnsi="Century Gothic" w:cs="Century Gothic" w:hint="default"/>
        <w:color w:val="0D0D0D"/>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2F197F81"/>
    <w:multiLevelType w:val="multilevel"/>
    <w:tmpl w:val="B2FE268E"/>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320E0ECF"/>
    <w:multiLevelType w:val="multilevel"/>
    <w:tmpl w:val="9AAC355C"/>
    <w:lvl w:ilvl="0">
      <w:start w:val="1"/>
      <w:numFmt w:val="decimal"/>
      <w:lvlText w:val="%1."/>
      <w:lvlJc w:val="left"/>
      <w:pPr>
        <w:tabs>
          <w:tab w:val="num" w:pos="0"/>
        </w:tabs>
        <w:ind w:left="360" w:hanging="360"/>
      </w:pPr>
    </w:lvl>
    <w:lvl w:ilvl="1">
      <w:numFmt w:val="bullet"/>
      <w:lvlText w:val="-"/>
      <w:lvlJc w:val="left"/>
      <w:pPr>
        <w:tabs>
          <w:tab w:val="num" w:pos="0"/>
        </w:tabs>
        <w:ind w:left="1080" w:hanging="360"/>
      </w:pPr>
      <w:rPr>
        <w:rFonts w:ascii="Century Gothic" w:hAnsi="Century Gothic" w:cs="Century Gothic" w:hint="default"/>
      </w:rPr>
    </w:lvl>
    <w:lvl w:ilvl="2">
      <w:start w:val="1"/>
      <w:numFmt w:val="lowerLetter"/>
      <w:lvlText w:val="%3)"/>
      <w:lvlJc w:val="left"/>
      <w:pPr>
        <w:tabs>
          <w:tab w:val="num" w:pos="0"/>
        </w:tabs>
        <w:ind w:left="1980" w:hanging="36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 w15:restartNumberingAfterBreak="0">
    <w:nsid w:val="44C7508A"/>
    <w:multiLevelType w:val="multilevel"/>
    <w:tmpl w:val="E6943BBC"/>
    <w:lvl w:ilvl="0">
      <w:numFmt w:val="bullet"/>
      <w:lvlText w:val="-"/>
      <w:lvlJc w:val="left"/>
      <w:pPr>
        <w:tabs>
          <w:tab w:val="num" w:pos="0"/>
        </w:tabs>
        <w:ind w:left="720" w:hanging="360"/>
      </w:pPr>
      <w:rPr>
        <w:rFonts w:ascii="Century Gothic" w:hAnsi="Century Gothic" w:cs="Century Gothic"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4CD30ADE"/>
    <w:multiLevelType w:val="multilevel"/>
    <w:tmpl w:val="4BD6CEB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5959773A"/>
    <w:multiLevelType w:val="multilevel"/>
    <w:tmpl w:val="C0A8652E"/>
    <w:lvl w:ilvl="0">
      <w:start w:val="1"/>
      <w:numFmt w:val="bullet"/>
      <w:lvlText w:val=""/>
      <w:lvlJc w:val="left"/>
      <w:pPr>
        <w:tabs>
          <w:tab w:val="num" w:pos="0"/>
        </w:tabs>
        <w:ind w:left="720" w:hanging="360"/>
      </w:pPr>
      <w:rPr>
        <w:rFonts w:ascii="Wingdings" w:hAnsi="Wingdings" w:hint="default"/>
        <w:color w:val="0D0D0D"/>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474876893">
    <w:abstractNumId w:val="3"/>
  </w:num>
  <w:num w:numId="2" w16cid:durableId="2070499393">
    <w:abstractNumId w:val="0"/>
  </w:num>
  <w:num w:numId="3" w16cid:durableId="1094283624">
    <w:abstractNumId w:val="6"/>
  </w:num>
  <w:num w:numId="4" w16cid:durableId="1098865618">
    <w:abstractNumId w:val="4"/>
  </w:num>
  <w:num w:numId="5" w16cid:durableId="1814256397">
    <w:abstractNumId w:val="7"/>
  </w:num>
  <w:num w:numId="6" w16cid:durableId="743990236">
    <w:abstractNumId w:val="2"/>
  </w:num>
  <w:num w:numId="7" w16cid:durableId="760755654">
    <w:abstractNumId w:val="5"/>
  </w:num>
  <w:num w:numId="8" w16cid:durableId="1794472928">
    <w:abstractNumId w:val="1"/>
  </w:num>
  <w:num w:numId="9" w16cid:durableId="13361512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695"/>
    <w:rsid w:val="000131F3"/>
    <w:rsid w:val="00017A10"/>
    <w:rsid w:val="00031114"/>
    <w:rsid w:val="0004573D"/>
    <w:rsid w:val="00062A1C"/>
    <w:rsid w:val="000B7F9B"/>
    <w:rsid w:val="000D42E8"/>
    <w:rsid w:val="0012575B"/>
    <w:rsid w:val="001720B0"/>
    <w:rsid w:val="00185384"/>
    <w:rsid w:val="001C2BE4"/>
    <w:rsid w:val="001F6E80"/>
    <w:rsid w:val="00207E37"/>
    <w:rsid w:val="0022598C"/>
    <w:rsid w:val="00267185"/>
    <w:rsid w:val="002676AB"/>
    <w:rsid w:val="002876D7"/>
    <w:rsid w:val="002E0867"/>
    <w:rsid w:val="00363D38"/>
    <w:rsid w:val="00372A50"/>
    <w:rsid w:val="003F38A2"/>
    <w:rsid w:val="004B7260"/>
    <w:rsid w:val="0054494B"/>
    <w:rsid w:val="005A2D99"/>
    <w:rsid w:val="005A476D"/>
    <w:rsid w:val="005D6B0F"/>
    <w:rsid w:val="005F56A8"/>
    <w:rsid w:val="0065292E"/>
    <w:rsid w:val="00656312"/>
    <w:rsid w:val="00663FCC"/>
    <w:rsid w:val="00735AF4"/>
    <w:rsid w:val="00781318"/>
    <w:rsid w:val="007B585F"/>
    <w:rsid w:val="008113DA"/>
    <w:rsid w:val="008359DA"/>
    <w:rsid w:val="008403E2"/>
    <w:rsid w:val="008A5910"/>
    <w:rsid w:val="008F3E95"/>
    <w:rsid w:val="008F5ACD"/>
    <w:rsid w:val="009633B3"/>
    <w:rsid w:val="009B07B7"/>
    <w:rsid w:val="009D6C43"/>
    <w:rsid w:val="009E4A4D"/>
    <w:rsid w:val="00A317A5"/>
    <w:rsid w:val="00A55F68"/>
    <w:rsid w:val="00B179DB"/>
    <w:rsid w:val="00B4568C"/>
    <w:rsid w:val="00B46B94"/>
    <w:rsid w:val="00B549CF"/>
    <w:rsid w:val="00B60A2C"/>
    <w:rsid w:val="00BC13E2"/>
    <w:rsid w:val="00BE49FE"/>
    <w:rsid w:val="00C116C5"/>
    <w:rsid w:val="00CB7CB8"/>
    <w:rsid w:val="00D2075B"/>
    <w:rsid w:val="00D33712"/>
    <w:rsid w:val="00D81F3F"/>
    <w:rsid w:val="00D87EFE"/>
    <w:rsid w:val="00DA4296"/>
    <w:rsid w:val="00DE6A52"/>
    <w:rsid w:val="00E70F71"/>
    <w:rsid w:val="00E76476"/>
    <w:rsid w:val="00EA5102"/>
    <w:rsid w:val="00F53A0A"/>
    <w:rsid w:val="00F62499"/>
    <w:rsid w:val="00F65695"/>
    <w:rsid w:val="00F8662E"/>
    <w:rsid w:val="00F90E17"/>
    <w:rsid w:val="00FA795B"/>
    <w:rsid w:val="00FB7D48"/>
    <w:rsid w:val="00FF2343"/>
  </w:rsids>
  <m:mathPr>
    <m:mathFont m:val="Cambria Math"/>
    <m:brkBin m:val="before"/>
    <m:brkBinSub m:val="--"/>
    <m:smallFrac m:val="0"/>
    <m:dispDef/>
    <m:lMargin m:val="0"/>
    <m:rMargin m:val="0"/>
    <m:defJc m:val="centerGroup"/>
    <m:wrapIndent m:val="1440"/>
    <m:intLim m:val="subSup"/>
    <m:naryLim m:val="undOvr"/>
  </m:mathPr>
  <w:themeFontLang w:val="en-AU"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E3340D"/>
  <w15:docId w15:val="{4E17247C-8F1C-4FC0-AC01-BEF10DDE3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1">
    <w:name w:val="heading 1"/>
    <w:basedOn w:val="Normal"/>
    <w:next w:val="Normal"/>
    <w:link w:val="Heading1Char"/>
    <w:uiPriority w:val="9"/>
    <w:qFormat/>
    <w:rsid w:val="00D558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D42E8"/>
    <w:pPr>
      <w:keepNext/>
      <w:keepLines/>
      <w:suppressAutoHyphens w:val="0"/>
      <w:spacing w:before="160" w:after="80"/>
      <w:outlineLvl w:val="1"/>
    </w:pPr>
    <w:rPr>
      <w:rFonts w:asciiTheme="majorHAnsi" w:eastAsiaTheme="majorEastAsia" w:hAnsiTheme="majorHAnsi" w:cstheme="majorBidi"/>
      <w:color w:val="0F4761" w:themeColor="accent1" w:themeShade="BF"/>
      <w:sz w:val="30"/>
      <w:szCs w:val="30"/>
    </w:rPr>
  </w:style>
  <w:style w:type="paragraph" w:styleId="Heading3">
    <w:name w:val="heading 3"/>
    <w:basedOn w:val="Normal"/>
    <w:next w:val="Normal"/>
    <w:link w:val="Heading3Char"/>
    <w:uiPriority w:val="9"/>
    <w:unhideWhenUsed/>
    <w:qFormat/>
    <w:rsid w:val="00D558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558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58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58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58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58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58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D558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qFormat/>
    <w:rsid w:val="000D42E8"/>
    <w:rPr>
      <w:rFonts w:asciiTheme="majorHAnsi" w:eastAsiaTheme="majorEastAsia" w:hAnsiTheme="majorHAnsi" w:cstheme="majorBidi"/>
      <w:color w:val="0F4761" w:themeColor="accent1" w:themeShade="BF"/>
      <w:sz w:val="30"/>
      <w:szCs w:val="30"/>
    </w:rPr>
  </w:style>
  <w:style w:type="character" w:customStyle="1" w:styleId="Heading3Char">
    <w:name w:val="Heading 3 Char"/>
    <w:basedOn w:val="DefaultParagraphFont"/>
    <w:link w:val="Heading3"/>
    <w:uiPriority w:val="9"/>
    <w:qFormat/>
    <w:rsid w:val="00D558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qFormat/>
    <w:rsid w:val="00D558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sid w:val="00D558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sid w:val="00D558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D558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D558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D5583E"/>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D5583E"/>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D5583E"/>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D5583E"/>
    <w:rPr>
      <w:i/>
      <w:iCs/>
      <w:color w:val="404040" w:themeColor="text1" w:themeTint="BF"/>
    </w:rPr>
  </w:style>
  <w:style w:type="character" w:styleId="IntenseEmphasis">
    <w:name w:val="Intense Emphasis"/>
    <w:basedOn w:val="DefaultParagraphFont"/>
    <w:uiPriority w:val="21"/>
    <w:qFormat/>
    <w:rsid w:val="00D5583E"/>
    <w:rPr>
      <w:i/>
      <w:iCs/>
      <w:color w:val="0F4761" w:themeColor="accent1" w:themeShade="BF"/>
    </w:rPr>
  </w:style>
  <w:style w:type="character" w:customStyle="1" w:styleId="IntenseQuoteChar">
    <w:name w:val="Intense Quote Char"/>
    <w:basedOn w:val="DefaultParagraphFont"/>
    <w:link w:val="IntenseQuote"/>
    <w:uiPriority w:val="30"/>
    <w:qFormat/>
    <w:rsid w:val="00D5583E"/>
    <w:rPr>
      <w:i/>
      <w:iCs/>
      <w:color w:val="0F4761" w:themeColor="accent1" w:themeShade="BF"/>
    </w:rPr>
  </w:style>
  <w:style w:type="character" w:styleId="IntenseReference">
    <w:name w:val="Intense Reference"/>
    <w:basedOn w:val="DefaultParagraphFont"/>
    <w:uiPriority w:val="32"/>
    <w:qFormat/>
    <w:rsid w:val="00D5583E"/>
    <w:rPr>
      <w:b/>
      <w:bCs/>
      <w:smallCaps/>
      <w:color w:val="0F4761" w:themeColor="accent1" w:themeShade="BF"/>
      <w:spacing w:val="5"/>
    </w:rPr>
  </w:style>
  <w:style w:type="character" w:styleId="Hyperlink">
    <w:name w:val="Hyperlink"/>
    <w:basedOn w:val="DefaultParagraphFont"/>
    <w:uiPriority w:val="99"/>
    <w:unhideWhenUsed/>
    <w:rsid w:val="00EE6B8A"/>
    <w:rPr>
      <w:color w:val="467886" w:themeColor="hyperlink"/>
      <w:u w:val="single"/>
    </w:rPr>
  </w:style>
  <w:style w:type="character" w:customStyle="1" w:styleId="HeaderChar">
    <w:name w:val="Header Char"/>
    <w:basedOn w:val="DefaultParagraphFont"/>
    <w:link w:val="Header"/>
    <w:uiPriority w:val="99"/>
    <w:qFormat/>
    <w:rsid w:val="009E7681"/>
  </w:style>
  <w:style w:type="character" w:customStyle="1" w:styleId="FooterChar">
    <w:name w:val="Footer Char"/>
    <w:basedOn w:val="DefaultParagraphFont"/>
    <w:link w:val="Footer"/>
    <w:uiPriority w:val="99"/>
    <w:qFormat/>
    <w:rsid w:val="009E7681"/>
  </w:style>
  <w:style w:type="character" w:styleId="CommentReference">
    <w:name w:val="annotation reference"/>
    <w:basedOn w:val="DefaultParagraphFont"/>
    <w:unhideWhenUsed/>
    <w:qFormat/>
    <w:rsid w:val="008F722A"/>
    <w:rPr>
      <w:sz w:val="16"/>
      <w:szCs w:val="16"/>
    </w:rPr>
  </w:style>
  <w:style w:type="character" w:customStyle="1" w:styleId="CommentTextChar">
    <w:name w:val="Comment Text Char"/>
    <w:basedOn w:val="DefaultParagraphFont"/>
    <w:link w:val="CommentText"/>
    <w:uiPriority w:val="99"/>
    <w:qFormat/>
    <w:rsid w:val="008F722A"/>
    <w:rPr>
      <w:sz w:val="20"/>
      <w:szCs w:val="20"/>
    </w:rPr>
  </w:style>
  <w:style w:type="character" w:customStyle="1" w:styleId="CommentSubjectChar">
    <w:name w:val="Comment Subject Char"/>
    <w:basedOn w:val="CommentTextChar"/>
    <w:link w:val="CommentSubject"/>
    <w:uiPriority w:val="99"/>
    <w:semiHidden/>
    <w:qFormat/>
    <w:rsid w:val="008F722A"/>
    <w:rPr>
      <w:b/>
      <w:bCs/>
      <w:sz w:val="20"/>
      <w:szCs w:val="20"/>
    </w:rPr>
  </w:style>
  <w:style w:type="character" w:styleId="BookTitle">
    <w:name w:val="Book Title"/>
    <w:basedOn w:val="DefaultParagraphFont"/>
    <w:uiPriority w:val="33"/>
    <w:qFormat/>
    <w:rsid w:val="0089416B"/>
    <w:rPr>
      <w:b/>
      <w:bCs/>
      <w:i/>
      <w:iCs/>
      <w:spacing w:val="5"/>
    </w:rPr>
  </w:style>
  <w:style w:type="character" w:customStyle="1" w:styleId="FootnoteTextChar">
    <w:name w:val="Footnote Text Char"/>
    <w:basedOn w:val="DefaultParagraphFont"/>
    <w:link w:val="FootnoteText"/>
    <w:uiPriority w:val="99"/>
    <w:semiHidden/>
    <w:qFormat/>
    <w:rsid w:val="00930928"/>
    <w:rPr>
      <w:sz w:val="20"/>
      <w:szCs w:val="20"/>
    </w:rPr>
  </w:style>
  <w:style w:type="character" w:styleId="FootnoteReference">
    <w:name w:val="footnote reference"/>
    <w:rPr>
      <w:vertAlign w:val="superscript"/>
    </w:rPr>
  </w:style>
  <w:style w:type="character" w:customStyle="1" w:styleId="FootnoteCharacters">
    <w:name w:val="Footnote Characters"/>
    <w:basedOn w:val="DefaultParagraphFont"/>
    <w:uiPriority w:val="99"/>
    <w:semiHidden/>
    <w:unhideWhenUsed/>
    <w:qFormat/>
    <w:rsid w:val="00930928"/>
    <w:rPr>
      <w:vertAlign w:val="superscript"/>
    </w:rPr>
  </w:style>
  <w:style w:type="character" w:styleId="UnresolvedMention">
    <w:name w:val="Unresolved Mention"/>
    <w:basedOn w:val="DefaultParagraphFont"/>
    <w:uiPriority w:val="99"/>
    <w:semiHidden/>
    <w:unhideWhenUsed/>
    <w:qFormat/>
    <w:rsid w:val="00BF6B82"/>
    <w:rPr>
      <w:color w:val="605E5C"/>
      <w:shd w:val="clear" w:color="auto" w:fill="E1DFDD"/>
    </w:rPr>
  </w:style>
  <w:style w:type="character" w:customStyle="1" w:styleId="Sautdindex">
    <w:name w:val="Saut d'index"/>
    <w:qFormat/>
  </w:style>
  <w:style w:type="character" w:customStyle="1" w:styleId="Caractresdenotedebasdepage">
    <w:name w:val="Caractères de note de bas de page"/>
    <w:qFormat/>
  </w:style>
  <w:style w:type="character" w:styleId="LineNumber">
    <w:name w:val="line number"/>
  </w:style>
  <w:style w:type="character" w:styleId="EndnoteReference">
    <w:name w:val="endnote reference"/>
    <w:rPr>
      <w:vertAlign w:val="superscript"/>
    </w:rPr>
  </w:style>
  <w:style w:type="character" w:customStyle="1" w:styleId="Caractresdenotedefin">
    <w:name w:val="Caractères de note de fin"/>
    <w:qFormat/>
  </w:style>
  <w:style w:type="paragraph" w:customStyle="1" w:styleId="Titre">
    <w:name w:val="Titre"/>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Title">
    <w:name w:val="Title"/>
    <w:basedOn w:val="Normal"/>
    <w:next w:val="Normal"/>
    <w:link w:val="TitleChar"/>
    <w:uiPriority w:val="10"/>
    <w:qFormat/>
    <w:rsid w:val="00D5583E"/>
    <w:pPr>
      <w:spacing w:after="80" w:line="240" w:lineRule="auto"/>
      <w:contextualSpacing/>
    </w:pPr>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D558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583E"/>
    <w:pPr>
      <w:spacing w:before="160"/>
      <w:jc w:val="center"/>
    </w:pPr>
    <w:rPr>
      <w:i/>
      <w:iCs/>
      <w:color w:val="404040" w:themeColor="text1" w:themeTint="BF"/>
    </w:rPr>
  </w:style>
  <w:style w:type="paragraph" w:styleId="ListParagraph">
    <w:name w:val="List Paragraph"/>
    <w:basedOn w:val="Normal"/>
    <w:uiPriority w:val="34"/>
    <w:qFormat/>
    <w:rsid w:val="00D5583E"/>
    <w:pPr>
      <w:ind w:left="720"/>
      <w:contextualSpacing/>
    </w:pPr>
  </w:style>
  <w:style w:type="paragraph" w:styleId="IntenseQuote">
    <w:name w:val="Intense Quote"/>
    <w:basedOn w:val="Normal"/>
    <w:next w:val="Normal"/>
    <w:link w:val="IntenseQuoteChar"/>
    <w:uiPriority w:val="30"/>
    <w:qFormat/>
    <w:rsid w:val="00D5583E"/>
    <w:pPr>
      <w:pBdr>
        <w:top w:val="single" w:sz="4" w:space="10" w:color="0F4761"/>
        <w:bottom w:val="single" w:sz="4" w:space="10" w:color="0F4761"/>
      </w:pBdr>
      <w:spacing w:before="360" w:after="360"/>
      <w:ind w:left="864" w:right="864"/>
      <w:jc w:val="center"/>
    </w:pPr>
    <w:rPr>
      <w:i/>
      <w:iCs/>
      <w:color w:val="0F4761" w:themeColor="accent1" w:themeShade="BF"/>
    </w:rPr>
  </w:style>
  <w:style w:type="paragraph" w:styleId="ListBullet">
    <w:name w:val="List Bullet"/>
    <w:basedOn w:val="Normal"/>
    <w:uiPriority w:val="10"/>
    <w:unhideWhenUsed/>
    <w:qFormat/>
    <w:rsid w:val="00F03FAB"/>
    <w:pPr>
      <w:numPr>
        <w:numId w:val="1"/>
      </w:numPr>
      <w:spacing w:before="120" w:after="200" w:line="264" w:lineRule="auto"/>
    </w:pPr>
    <w:rPr>
      <w:color w:val="595959" w:themeColor="text1" w:themeTint="A6"/>
      <w:kern w:val="0"/>
      <w:lang w:val="en-US"/>
      <w14:ligatures w14:val="none"/>
    </w:rPr>
  </w:style>
  <w:style w:type="paragraph" w:styleId="IndexHeading">
    <w:name w:val="index heading"/>
    <w:basedOn w:val="Titre"/>
  </w:style>
  <w:style w:type="paragraph" w:styleId="TOCHeading">
    <w:name w:val="TOC Heading"/>
    <w:basedOn w:val="Heading1"/>
    <w:next w:val="Normal"/>
    <w:uiPriority w:val="39"/>
    <w:unhideWhenUsed/>
    <w:qFormat/>
    <w:rsid w:val="00EE6B8A"/>
    <w:pPr>
      <w:spacing w:before="240" w:after="0"/>
    </w:pPr>
    <w:rPr>
      <w:kern w:val="0"/>
      <w:sz w:val="32"/>
      <w:szCs w:val="32"/>
      <w:lang w:val="en-US"/>
      <w14:ligatures w14:val="none"/>
    </w:rPr>
  </w:style>
  <w:style w:type="paragraph" w:styleId="TOC1">
    <w:name w:val="toc 1"/>
    <w:basedOn w:val="Normal"/>
    <w:next w:val="Normal"/>
    <w:autoRedefine/>
    <w:uiPriority w:val="39"/>
    <w:unhideWhenUsed/>
    <w:rsid w:val="00EE6B8A"/>
    <w:pPr>
      <w:spacing w:after="100"/>
    </w:pPr>
  </w:style>
  <w:style w:type="paragraph" w:styleId="TOC2">
    <w:name w:val="toc 2"/>
    <w:basedOn w:val="Normal"/>
    <w:next w:val="Normal"/>
    <w:autoRedefine/>
    <w:uiPriority w:val="39"/>
    <w:unhideWhenUsed/>
    <w:rsid w:val="00EE6B8A"/>
    <w:pPr>
      <w:spacing w:after="100"/>
      <w:ind w:left="220"/>
    </w:pPr>
  </w:style>
  <w:style w:type="paragraph" w:styleId="TOC3">
    <w:name w:val="toc 3"/>
    <w:basedOn w:val="Normal"/>
    <w:next w:val="Normal"/>
    <w:autoRedefine/>
    <w:uiPriority w:val="39"/>
    <w:unhideWhenUsed/>
    <w:rsid w:val="00EE6B8A"/>
    <w:pPr>
      <w:spacing w:after="100"/>
      <w:ind w:left="440"/>
    </w:pPr>
  </w:style>
  <w:style w:type="paragraph" w:customStyle="1" w:styleId="En-tteetpieddepage">
    <w:name w:val="En-tête et pied de page"/>
    <w:basedOn w:val="Normal"/>
    <w:qFormat/>
  </w:style>
  <w:style w:type="paragraph" w:customStyle="1" w:styleId="HeaderandFooter">
    <w:name w:val="Header and Footer"/>
    <w:basedOn w:val="Normal"/>
    <w:qFormat/>
  </w:style>
  <w:style w:type="paragraph" w:styleId="Header">
    <w:name w:val="header"/>
    <w:basedOn w:val="Normal"/>
    <w:link w:val="HeaderChar"/>
    <w:uiPriority w:val="99"/>
    <w:unhideWhenUsed/>
    <w:rsid w:val="009E7681"/>
    <w:pPr>
      <w:tabs>
        <w:tab w:val="center" w:pos="4513"/>
        <w:tab w:val="right" w:pos="9026"/>
      </w:tabs>
      <w:spacing w:after="0" w:line="240" w:lineRule="auto"/>
    </w:pPr>
  </w:style>
  <w:style w:type="paragraph" w:styleId="Footer">
    <w:name w:val="footer"/>
    <w:basedOn w:val="Normal"/>
    <w:link w:val="FooterChar"/>
    <w:uiPriority w:val="99"/>
    <w:unhideWhenUsed/>
    <w:rsid w:val="009E7681"/>
    <w:pPr>
      <w:tabs>
        <w:tab w:val="center" w:pos="4513"/>
        <w:tab w:val="right" w:pos="9026"/>
      </w:tabs>
      <w:spacing w:after="0" w:line="240" w:lineRule="auto"/>
    </w:pPr>
  </w:style>
  <w:style w:type="paragraph" w:styleId="CommentText">
    <w:name w:val="annotation text"/>
    <w:basedOn w:val="Normal"/>
    <w:link w:val="CommentTextChar"/>
    <w:uiPriority w:val="99"/>
    <w:unhideWhenUsed/>
    <w:qFormat/>
    <w:rsid w:val="008F722A"/>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8F722A"/>
    <w:rPr>
      <w:b/>
      <w:bCs/>
    </w:rPr>
  </w:style>
  <w:style w:type="paragraph" w:customStyle="1" w:styleId="Default">
    <w:name w:val="Default"/>
    <w:qFormat/>
    <w:rsid w:val="00447FF1"/>
    <w:rPr>
      <w:rFonts w:ascii="Arial" w:eastAsia="Aptos" w:hAnsi="Arial" w:cs="Arial"/>
      <w:color w:val="000000"/>
      <w:kern w:val="0"/>
      <w:sz w:val="24"/>
      <w:szCs w:val="24"/>
    </w:rPr>
  </w:style>
  <w:style w:type="paragraph" w:styleId="Revision">
    <w:name w:val="Revision"/>
    <w:uiPriority w:val="99"/>
    <w:semiHidden/>
    <w:qFormat/>
    <w:rsid w:val="00D31FDD"/>
  </w:style>
  <w:style w:type="paragraph" w:styleId="FootnoteText">
    <w:name w:val="footnote text"/>
    <w:basedOn w:val="Normal"/>
    <w:link w:val="FootnoteTextChar"/>
    <w:uiPriority w:val="99"/>
    <w:semiHidden/>
    <w:unhideWhenUsed/>
    <w:rsid w:val="00930928"/>
    <w:pPr>
      <w:spacing w:after="0" w:line="240" w:lineRule="auto"/>
    </w:pPr>
    <w:rPr>
      <w:sz w:val="20"/>
      <w:szCs w:val="20"/>
    </w:rPr>
  </w:style>
  <w:style w:type="paragraph" w:customStyle="1" w:styleId="Standard">
    <w:name w:val="Standard"/>
    <w:qFormat/>
    <w:rsid w:val="008F1588"/>
    <w:pPr>
      <w:textAlignment w:val="baseline"/>
    </w:pPr>
    <w:rPr>
      <w:rFonts w:ascii="Liberation Serif" w:eastAsia="NSimSun" w:hAnsi="Liberation Serif" w:cs="Lucida Sans"/>
      <w:sz w:val="24"/>
      <w:szCs w:val="24"/>
      <w:lang w:val="en-US" w:eastAsia="zh-CN" w:bidi="hi-IN"/>
      <w14:ligatures w14:val="none"/>
    </w:rPr>
  </w:style>
  <w:style w:type="paragraph" w:customStyle="1" w:styleId="Texteprformat">
    <w:name w:val="Texte préformaté"/>
    <w:basedOn w:val="Normal"/>
    <w:qFormat/>
    <w:pPr>
      <w:spacing w:after="0"/>
    </w:pPr>
    <w:rPr>
      <w:rFonts w:ascii="Liberation Mono" w:eastAsia="Liberation Mono" w:hAnsi="Liberation Mono" w:cs="Liberation Mono"/>
      <w:sz w:val="20"/>
      <w:szCs w:val="20"/>
    </w:rPr>
  </w:style>
  <w:style w:type="paragraph" w:customStyle="1" w:styleId="Contenudetableau">
    <w:name w:val="Contenu de tableau"/>
    <w:basedOn w:val="Normal"/>
    <w:qFormat/>
    <w:pPr>
      <w:widowControl w:val="0"/>
      <w:suppressLineNumbers/>
    </w:pPr>
  </w:style>
  <w:style w:type="paragraph" w:customStyle="1" w:styleId="Titredetableau">
    <w:name w:val="Titre de tableau"/>
    <w:basedOn w:val="Contenudetableau"/>
    <w:qFormat/>
    <w:pPr>
      <w:jc w:val="center"/>
    </w:pPr>
    <w:rPr>
      <w:b/>
      <w:bCs/>
    </w:rPr>
  </w:style>
  <w:style w:type="paragraph" w:customStyle="1" w:styleId="Commentaire">
    <w:name w:val="Commentaire"/>
    <w:basedOn w:val="Normal"/>
    <w:qFormat/>
    <w:rPr>
      <w:sz w:val="20"/>
      <w:szCs w:val="20"/>
    </w:rPr>
  </w:style>
  <w:style w:type="numbering" w:customStyle="1" w:styleId="Pasdeliste">
    <w:name w:val="Pas de liste"/>
    <w:uiPriority w:val="99"/>
    <w:semiHidden/>
    <w:unhideWhenUsed/>
    <w:qFormat/>
  </w:style>
  <w:style w:type="table" w:styleId="TableGrid">
    <w:name w:val="Table Grid"/>
    <w:basedOn w:val="TableNormal"/>
    <w:uiPriority w:val="39"/>
    <w:rsid w:val="00D558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183A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DA429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A429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8a27d95-57c2-43e3-b476-b594a7140c79" xsi:nil="true"/>
    <lcf76f155ced4ddcb4097134ff3c332f xmlns="bc261124-a7d1-4933-a581-0b9b977d34a5">
      <Terms xmlns="http://schemas.microsoft.com/office/infopath/2007/PartnerControls"/>
    </lcf76f155ced4ddcb4097134ff3c332f>
    <planningtopic xmlns="bc261124-a7d1-4933-a581-0b9b977d34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B3FC9AED01C2C4FA79478106CEFB345" ma:contentTypeVersion="14" ma:contentTypeDescription="Create a new document." ma:contentTypeScope="" ma:versionID="eb707ee0fb7938c85ad967506323a999">
  <xsd:schema xmlns:xsd="http://www.w3.org/2001/XMLSchema" xmlns:xs="http://www.w3.org/2001/XMLSchema" xmlns:p="http://schemas.microsoft.com/office/2006/metadata/properties" xmlns:ns2="bc261124-a7d1-4933-a581-0b9b977d34a5" xmlns:ns3="b8a27d95-57c2-43e3-b476-b594a7140c79" targetNamespace="http://schemas.microsoft.com/office/2006/metadata/properties" ma:root="true" ma:fieldsID="8b250174c83712a43e2698a8fd952133" ns2:_="" ns3:_="">
    <xsd:import namespace="bc261124-a7d1-4933-a581-0b9b977d34a5"/>
    <xsd:import namespace="b8a27d95-57c2-43e3-b476-b594a7140c79"/>
    <xsd:element name="properties">
      <xsd:complexType>
        <xsd:sequence>
          <xsd:element name="documentManagement">
            <xsd:complexType>
              <xsd:all>
                <xsd:element ref="ns2:MediaServiceMetadata" minOccurs="0"/>
                <xsd:element ref="ns2:MediaServiceFastMetadata" minOccurs="0"/>
                <xsd:element ref="ns2:planningtopic"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261124-a7d1-4933-a581-0b9b977d34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lanningtopic" ma:index="10" nillable="true" ma:displayName="planning topic" ma:format="Dropdown" ma:internalName="planningtopic">
      <xsd:complexType>
        <xsd:complexContent>
          <xsd:extension base="dms:MultiChoiceFillIn">
            <xsd:sequence>
              <xsd:element name="Value" maxOccurs="unbounded" minOccurs="0" nillable="true">
                <xsd:simpleType>
                  <xsd:union memberTypes="dms:Text">
                    <xsd:simpleType>
                      <xsd:restriction base="dms:Choice">
                        <xsd:enumeration value="post-WCPFC19 updates"/>
                        <xsd:enumeration value="dCMR RY 2021 and RY 2022"/>
                        <xsd:enumeration value="Analytical work"/>
                        <xsd:enumeration value="IMS upgrades and streamlining"/>
                        <xsd:enumeration value="2023 IWG support"/>
                        <xsd:enumeration value="2023 Additional info to support CMS"/>
                      </xsd:restriction>
                    </xsd:simpleType>
                  </xsd:union>
                </xsd:simpleType>
              </xsd:element>
            </xsd:sequence>
          </xsd:extension>
        </xsd:complexContent>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c3206a9-ba80-4caf-8b0d-9c8108546b7c"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a27d95-57c2-43e3-b476-b594a7140c7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e31d97e-b712-4ead-b042-c98b7961487a}" ma:internalName="TaxCatchAll" ma:showField="CatchAllData" ma:web="b8a27d95-57c2-43e3-b476-b594a7140c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583C4F-7243-4AD7-9D27-D78A992258CA}">
  <ds:schemaRefs>
    <ds:schemaRef ds:uri="http://purl.org/dc/dcmitype/"/>
    <ds:schemaRef ds:uri="http://schemas.microsoft.com/office/2006/documentManagement/types"/>
    <ds:schemaRef ds:uri="http://www.w3.org/XML/1998/namespace"/>
    <ds:schemaRef ds:uri="http://purl.org/dc/elements/1.1/"/>
    <ds:schemaRef ds:uri="http://schemas.openxmlformats.org/package/2006/metadata/core-properties"/>
    <ds:schemaRef ds:uri="http://schemas.microsoft.com/office/infopath/2007/PartnerControls"/>
    <ds:schemaRef ds:uri="http://schemas.microsoft.com/office/2006/metadata/properties"/>
    <ds:schemaRef ds:uri="b8a27d95-57c2-43e3-b476-b594a7140c79"/>
    <ds:schemaRef ds:uri="bc261124-a7d1-4933-a581-0b9b977d34a5"/>
    <ds:schemaRef ds:uri="http://purl.org/dc/terms/"/>
  </ds:schemaRefs>
</ds:datastoreItem>
</file>

<file path=customXml/itemProps2.xml><?xml version="1.0" encoding="utf-8"?>
<ds:datastoreItem xmlns:ds="http://schemas.openxmlformats.org/officeDocument/2006/customXml" ds:itemID="{91423F79-9826-4211-9766-234C144E94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261124-a7d1-4933-a581-0b9b977d34a5"/>
    <ds:schemaRef ds:uri="b8a27d95-57c2-43e3-b476-b594a7140c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DC42C9-95DC-489B-B11C-E0FE7B68C3BB}">
  <ds:schemaRefs>
    <ds:schemaRef ds:uri="http://schemas.openxmlformats.org/officeDocument/2006/bibliography"/>
  </ds:schemaRefs>
</ds:datastoreItem>
</file>

<file path=customXml/itemProps4.xml><?xml version="1.0" encoding="utf-8"?>
<ds:datastoreItem xmlns:ds="http://schemas.openxmlformats.org/officeDocument/2006/customXml" ds:itemID="{AD21DAC4-ADF0-4000-B644-AC6C99A9BB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1284</Words>
  <Characters>7321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Australian Fisheries Management Authority</Company>
  <LinksUpToDate>false</LinksUpToDate>
  <CharactersWithSpaces>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LAWSON, Emily</dc:creator>
  <dc:description/>
  <cp:lastModifiedBy>Lara Manarangi-Trott</cp:lastModifiedBy>
  <cp:revision>14</cp:revision>
  <cp:lastPrinted>2025-08-06T04:50:00Z</cp:lastPrinted>
  <dcterms:created xsi:type="dcterms:W3CDTF">2025-08-05T23:20:00Z</dcterms:created>
  <dcterms:modified xsi:type="dcterms:W3CDTF">2025-08-06T04:50:00Z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lyMark">
    <vt:lpwstr>false</vt:lpwstr>
  </property>
  <property fmtid="{D5CDD505-2E9C-101B-9397-08002B2CF9AE}" pid="3" name="ContentTypeId">
    <vt:lpwstr>0x0101002B3FC9AED01C2C4FA79478106CEFB345</vt:lpwstr>
  </property>
  <property fmtid="{D5CDD505-2E9C-101B-9397-08002B2CF9AE}" pid="4" name="MediaServiceImageTags">
    <vt:lpwstr/>
  </property>
  <property fmtid="{D5CDD505-2E9C-101B-9397-08002B2CF9AE}" pid="5" name="SEC">
    <vt:lpwstr>OFFICIAL</vt:lpwstr>
  </property>
  <property fmtid="{D5CDD505-2E9C-101B-9397-08002B2CF9AE}" pid="6" name="TitusGUID">
    <vt:lpwstr>fd125059-5881-4a3a-981d-59ce8cad94cd</vt:lpwstr>
  </property>
  <property fmtid="{D5CDD505-2E9C-101B-9397-08002B2CF9AE}" pid="7" name="_dlc_DocIdItemGuid">
    <vt:lpwstr>9edabd3d-0b57-45f6-b96f-eb42263a729d</vt:lpwstr>
  </property>
  <property fmtid="{D5CDD505-2E9C-101B-9397-08002B2CF9AE}" pid="8" name="MSIP_Label_4e6cdb53-fd15-486d-84de-c510e3a62203_Enabled">
    <vt:lpwstr>true</vt:lpwstr>
  </property>
  <property fmtid="{D5CDD505-2E9C-101B-9397-08002B2CF9AE}" pid="9" name="MSIP_Label_4e6cdb53-fd15-486d-84de-c510e3a62203_SetDate">
    <vt:lpwstr>2025-08-03T22:29:06Z</vt:lpwstr>
  </property>
  <property fmtid="{D5CDD505-2E9C-101B-9397-08002B2CF9AE}" pid="10" name="MSIP_Label_4e6cdb53-fd15-486d-84de-c510e3a62203_Method">
    <vt:lpwstr>Standard</vt:lpwstr>
  </property>
  <property fmtid="{D5CDD505-2E9C-101B-9397-08002B2CF9AE}" pid="11" name="MSIP_Label_4e6cdb53-fd15-486d-84de-c510e3a62203_Name">
    <vt:lpwstr>UNCLASSIFIED - NON-CLASSIFIÉ</vt:lpwstr>
  </property>
  <property fmtid="{D5CDD505-2E9C-101B-9397-08002B2CF9AE}" pid="12" name="MSIP_Label_4e6cdb53-fd15-486d-84de-c510e3a62203_SiteId">
    <vt:lpwstr>1594fdae-a1d9-4405-915d-011467234338</vt:lpwstr>
  </property>
  <property fmtid="{D5CDD505-2E9C-101B-9397-08002B2CF9AE}" pid="13" name="MSIP_Label_4e6cdb53-fd15-486d-84de-c510e3a62203_ActionId">
    <vt:lpwstr>1019931c-352e-4523-9ad1-8b0739377ead</vt:lpwstr>
  </property>
  <property fmtid="{D5CDD505-2E9C-101B-9397-08002B2CF9AE}" pid="14" name="MSIP_Label_4e6cdb53-fd15-486d-84de-c510e3a62203_ContentBits">
    <vt:lpwstr>1</vt:lpwstr>
  </property>
</Properties>
</file>