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89A9" w14:textId="77777777" w:rsidR="00785794" w:rsidRPr="008F27E0" w:rsidRDefault="00785794" w:rsidP="00785794">
      <w:pPr>
        <w:kinsoku w:val="0"/>
        <w:overflowPunct w:val="0"/>
        <w:autoSpaceDE w:val="0"/>
        <w:autoSpaceDN w:val="0"/>
        <w:adjustRightInd w:val="0"/>
        <w:snapToGrid w:val="0"/>
        <w:jc w:val="center"/>
        <w:rPr>
          <w:sz w:val="22"/>
          <w:szCs w:val="22"/>
        </w:rPr>
      </w:pPr>
      <w:r w:rsidRPr="008F27E0">
        <w:rPr>
          <w:noProof/>
          <w:sz w:val="22"/>
          <w:szCs w:val="22"/>
        </w:rPr>
        <w:drawing>
          <wp:inline distT="0" distB="0" distL="0" distR="0" wp14:anchorId="5D0DCAA6" wp14:editId="752419BE">
            <wp:extent cx="2105025" cy="1104900"/>
            <wp:effectExtent l="0" t="0" r="952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2105025" cy="1104900"/>
                    </a:xfrm>
                    <a:prstGeom prst="rect">
                      <a:avLst/>
                    </a:prstGeom>
                  </pic:spPr>
                </pic:pic>
              </a:graphicData>
            </a:graphic>
          </wp:inline>
        </w:drawing>
      </w:r>
    </w:p>
    <w:p w14:paraId="60CADD8D" w14:textId="77777777" w:rsidR="00785794" w:rsidRPr="008F27E0" w:rsidRDefault="00785794" w:rsidP="00785794">
      <w:pPr>
        <w:kinsoku w:val="0"/>
        <w:overflowPunct w:val="0"/>
        <w:autoSpaceDE w:val="0"/>
        <w:autoSpaceDN w:val="0"/>
        <w:adjustRightInd w:val="0"/>
        <w:snapToGrid w:val="0"/>
        <w:jc w:val="center"/>
        <w:rPr>
          <w:b/>
          <w:sz w:val="22"/>
          <w:szCs w:val="22"/>
        </w:rPr>
      </w:pPr>
      <w:r w:rsidRPr="008F27E0">
        <w:rPr>
          <w:b/>
          <w:sz w:val="22"/>
          <w:szCs w:val="22"/>
        </w:rPr>
        <w:t>WCPFC HARVEST STRATEGY</w:t>
      </w:r>
    </w:p>
    <w:p w14:paraId="61A25D29" w14:textId="77777777" w:rsidR="00785794" w:rsidRPr="008F27E0" w:rsidRDefault="00785794" w:rsidP="00785794">
      <w:pPr>
        <w:kinsoku w:val="0"/>
        <w:overflowPunct w:val="0"/>
        <w:autoSpaceDE w:val="0"/>
        <w:autoSpaceDN w:val="0"/>
        <w:adjustRightInd w:val="0"/>
        <w:snapToGrid w:val="0"/>
        <w:jc w:val="center"/>
        <w:rPr>
          <w:rFonts w:eastAsiaTheme="minorEastAsia"/>
          <w:b/>
          <w:sz w:val="22"/>
          <w:szCs w:val="22"/>
          <w:lang w:eastAsia="ko-KR"/>
        </w:rPr>
      </w:pPr>
      <w:r w:rsidRPr="008F27E0">
        <w:rPr>
          <w:rFonts w:eastAsiaTheme="minorEastAsia"/>
          <w:b/>
          <w:sz w:val="22"/>
          <w:szCs w:val="22"/>
          <w:lang w:eastAsia="ko-KR"/>
        </w:rPr>
        <w:t>CAPACITY BUILDING SEMINAR</w:t>
      </w:r>
    </w:p>
    <w:p w14:paraId="2CDCE029" w14:textId="77777777" w:rsidR="00785794" w:rsidRPr="008F27E0" w:rsidRDefault="00785794" w:rsidP="00785794">
      <w:pPr>
        <w:kinsoku w:val="0"/>
        <w:overflowPunct w:val="0"/>
        <w:autoSpaceDE w:val="0"/>
        <w:autoSpaceDN w:val="0"/>
        <w:adjustRightInd w:val="0"/>
        <w:snapToGrid w:val="0"/>
        <w:jc w:val="center"/>
        <w:rPr>
          <w:rFonts w:eastAsiaTheme="minorEastAsia"/>
          <w:bCs/>
          <w:sz w:val="22"/>
          <w:szCs w:val="22"/>
          <w:lang w:eastAsia="ko-KR"/>
        </w:rPr>
      </w:pPr>
    </w:p>
    <w:p w14:paraId="30905ECF" w14:textId="77777777" w:rsidR="00785794" w:rsidRPr="008F27E0" w:rsidRDefault="00785794" w:rsidP="00785794">
      <w:pPr>
        <w:kinsoku w:val="0"/>
        <w:overflowPunct w:val="0"/>
        <w:autoSpaceDE w:val="0"/>
        <w:autoSpaceDN w:val="0"/>
        <w:adjustRightInd w:val="0"/>
        <w:snapToGrid w:val="0"/>
        <w:jc w:val="center"/>
        <w:rPr>
          <w:bCs/>
          <w:sz w:val="22"/>
          <w:szCs w:val="22"/>
        </w:rPr>
      </w:pPr>
      <w:r w:rsidRPr="008F27E0">
        <w:rPr>
          <w:rFonts w:eastAsiaTheme="minorEastAsia"/>
          <w:bCs/>
          <w:sz w:val="22"/>
          <w:szCs w:val="22"/>
          <w:lang w:eastAsia="ko-KR"/>
        </w:rPr>
        <w:t>First Meeting (Online)</w:t>
      </w:r>
    </w:p>
    <w:p w14:paraId="2D9203D7" w14:textId="77777777" w:rsidR="00785794" w:rsidRPr="008F27E0" w:rsidRDefault="00785794" w:rsidP="00785794">
      <w:pPr>
        <w:kinsoku w:val="0"/>
        <w:overflowPunct w:val="0"/>
        <w:autoSpaceDE w:val="0"/>
        <w:autoSpaceDN w:val="0"/>
        <w:adjustRightInd w:val="0"/>
        <w:snapToGrid w:val="0"/>
        <w:jc w:val="center"/>
        <w:rPr>
          <w:rFonts w:eastAsiaTheme="minorEastAsia"/>
          <w:bCs/>
          <w:sz w:val="22"/>
          <w:szCs w:val="22"/>
          <w:lang w:eastAsia="ko-KR"/>
        </w:rPr>
      </w:pPr>
      <w:r w:rsidRPr="008F27E0">
        <w:rPr>
          <w:rFonts w:eastAsiaTheme="minorEastAsia"/>
          <w:bCs/>
          <w:sz w:val="22"/>
          <w:szCs w:val="22"/>
          <w:lang w:eastAsia="ko-KR"/>
        </w:rPr>
        <w:t xml:space="preserve">(11am </w:t>
      </w:r>
      <w:proofErr w:type="gramStart"/>
      <w:r w:rsidRPr="008F27E0">
        <w:rPr>
          <w:rFonts w:eastAsiaTheme="minorEastAsia"/>
          <w:bCs/>
          <w:sz w:val="22"/>
          <w:szCs w:val="22"/>
          <w:lang w:eastAsia="ko-KR"/>
        </w:rPr>
        <w:t>– )</w:t>
      </w:r>
      <w:proofErr w:type="gramEnd"/>
      <w:r w:rsidRPr="008F27E0">
        <w:rPr>
          <w:rFonts w:eastAsiaTheme="minorEastAsia"/>
          <w:bCs/>
          <w:sz w:val="22"/>
          <w:szCs w:val="22"/>
          <w:lang w:eastAsia="ko-KR"/>
        </w:rPr>
        <w:t xml:space="preserve"> 08 June 2022, Pohnpei time</w:t>
      </w:r>
    </w:p>
    <w:p w14:paraId="55AA245F" w14:textId="77777777" w:rsidR="00785794" w:rsidRPr="008F27E0" w:rsidRDefault="00785794" w:rsidP="00785794">
      <w:pPr>
        <w:pStyle w:val="BodyText"/>
        <w:pBdr>
          <w:top w:val="single" w:sz="18" w:space="1" w:color="auto"/>
          <w:bottom w:val="single" w:sz="18" w:space="1" w:color="auto"/>
        </w:pBdr>
        <w:kinsoku w:val="0"/>
        <w:overflowPunct w:val="0"/>
        <w:autoSpaceDE w:val="0"/>
        <w:autoSpaceDN w:val="0"/>
        <w:adjustRightInd w:val="0"/>
        <w:snapToGrid w:val="0"/>
        <w:rPr>
          <w:b/>
          <w:sz w:val="22"/>
          <w:szCs w:val="22"/>
          <w:lang w:val="en-US"/>
        </w:rPr>
      </w:pPr>
      <w:r w:rsidRPr="008F27E0">
        <w:rPr>
          <w:b/>
          <w:sz w:val="22"/>
          <w:szCs w:val="22"/>
          <w:lang w:val="en-US"/>
        </w:rPr>
        <w:t>SEMINAR OUTLINE</w:t>
      </w:r>
    </w:p>
    <w:p w14:paraId="7B424579" w14:textId="77777777" w:rsidR="00785794" w:rsidRPr="008F27E0" w:rsidRDefault="00785794" w:rsidP="00785794">
      <w:pPr>
        <w:kinsoku w:val="0"/>
        <w:overflowPunct w:val="0"/>
        <w:autoSpaceDE w:val="0"/>
        <w:autoSpaceDN w:val="0"/>
        <w:adjustRightInd w:val="0"/>
        <w:snapToGrid w:val="0"/>
        <w:jc w:val="right"/>
        <w:rPr>
          <w:b/>
          <w:sz w:val="22"/>
          <w:szCs w:val="22"/>
          <w:lang w:eastAsia="ko-KR"/>
        </w:rPr>
      </w:pPr>
      <w:r w:rsidRPr="008F27E0">
        <w:rPr>
          <w:b/>
          <w:sz w:val="22"/>
          <w:szCs w:val="22"/>
        </w:rPr>
        <w:t>WCPFC-HS Seminar-2022/01</w:t>
      </w:r>
    </w:p>
    <w:p w14:paraId="3870218D" w14:textId="77777777" w:rsidR="00785794" w:rsidRPr="008F27E0" w:rsidRDefault="00785794" w:rsidP="00785794">
      <w:pPr>
        <w:adjustRightInd w:val="0"/>
        <w:snapToGrid w:val="0"/>
        <w:rPr>
          <w:sz w:val="22"/>
          <w:szCs w:val="22"/>
        </w:rPr>
      </w:pPr>
    </w:p>
    <w:p w14:paraId="40C3FBF5" w14:textId="77777777" w:rsidR="00785794" w:rsidRPr="008F27E0" w:rsidRDefault="00785794" w:rsidP="00785794">
      <w:pPr>
        <w:adjustRightInd w:val="0"/>
        <w:snapToGrid w:val="0"/>
        <w:rPr>
          <w:sz w:val="22"/>
          <w:szCs w:val="22"/>
        </w:rPr>
      </w:pPr>
    </w:p>
    <w:p w14:paraId="39A5C8C3" w14:textId="77777777" w:rsidR="00785794" w:rsidRPr="008F27E0" w:rsidRDefault="00785794" w:rsidP="00785794">
      <w:pPr>
        <w:adjustRightInd w:val="0"/>
        <w:snapToGrid w:val="0"/>
        <w:jc w:val="center"/>
        <w:rPr>
          <w:b/>
          <w:bCs/>
          <w:sz w:val="22"/>
          <w:szCs w:val="22"/>
        </w:rPr>
      </w:pPr>
      <w:r w:rsidRPr="008F27E0">
        <w:rPr>
          <w:b/>
          <w:bCs/>
          <w:sz w:val="22"/>
          <w:szCs w:val="22"/>
        </w:rPr>
        <w:t>SEMINAR OVERVIEW</w:t>
      </w:r>
    </w:p>
    <w:p w14:paraId="2813A3C1" w14:textId="77777777" w:rsidR="00785794" w:rsidRPr="008F27E0" w:rsidRDefault="00785794" w:rsidP="00785794">
      <w:pPr>
        <w:pStyle w:val="ListParagraph"/>
        <w:adjustRightInd w:val="0"/>
        <w:snapToGrid w:val="0"/>
        <w:jc w:val="both"/>
        <w:rPr>
          <w:rFonts w:ascii="Times New Roman" w:hAnsi="Times New Roman"/>
        </w:rPr>
      </w:pPr>
    </w:p>
    <w:p w14:paraId="147DDE76" w14:textId="77777777" w:rsidR="00785794" w:rsidRPr="008F27E0" w:rsidRDefault="00785794" w:rsidP="00785794">
      <w:pPr>
        <w:pStyle w:val="ListParagraph"/>
        <w:adjustRightInd w:val="0"/>
        <w:snapToGrid w:val="0"/>
        <w:jc w:val="both"/>
        <w:rPr>
          <w:rFonts w:ascii="Times New Roman" w:hAnsi="Times New Roman"/>
        </w:rPr>
      </w:pPr>
    </w:p>
    <w:p w14:paraId="3BCC02F3" w14:textId="77777777" w:rsidR="00785794" w:rsidRPr="008F27E0" w:rsidRDefault="00785794" w:rsidP="00785794">
      <w:pPr>
        <w:pStyle w:val="ListParagraph"/>
        <w:adjustRightInd w:val="0"/>
        <w:snapToGrid w:val="0"/>
        <w:ind w:left="0"/>
        <w:jc w:val="both"/>
        <w:rPr>
          <w:rFonts w:ascii="Times New Roman" w:hAnsi="Times New Roman"/>
        </w:rPr>
      </w:pPr>
      <w:r w:rsidRPr="008F27E0">
        <w:rPr>
          <w:rFonts w:ascii="Times New Roman" w:hAnsi="Times New Roman"/>
        </w:rPr>
        <w:t>As notified in the draft provisional agenda for the first Science-Management Dialogue meeting (</w:t>
      </w:r>
      <w:hyperlink r:id="rId10" w:history="1">
        <w:r w:rsidRPr="008F27E0">
          <w:rPr>
            <w:rStyle w:val="Hyperlink"/>
            <w:rFonts w:ascii="Times New Roman" w:hAnsi="Times New Roman"/>
          </w:rPr>
          <w:t>SMD01</w:t>
        </w:r>
      </w:hyperlink>
      <w:r w:rsidRPr="008F27E0">
        <w:rPr>
          <w:rFonts w:ascii="Times New Roman" w:hAnsi="Times New Roman"/>
        </w:rPr>
        <w:t xml:space="preserve">), two WCPFC harvest strategy seminars will be held in June and July this year, prior to the SMD01 in August this year. The purpose of these seminars is to build members’ capacity to fully participate in the harvest strategy discussions during the SMD01. The SSP will provide introductory presentations (around 25 minutes) on key topics (see below), with subsequent time allotted for a question-and-answer session. </w:t>
      </w:r>
    </w:p>
    <w:p w14:paraId="1C99F2F4" w14:textId="77777777" w:rsidR="00785794" w:rsidRPr="008F27E0" w:rsidRDefault="00785794" w:rsidP="00785794">
      <w:pPr>
        <w:pStyle w:val="ListParagraph"/>
        <w:adjustRightInd w:val="0"/>
        <w:snapToGrid w:val="0"/>
        <w:ind w:left="0"/>
        <w:jc w:val="both"/>
        <w:rPr>
          <w:rFonts w:ascii="Times New Roman" w:hAnsi="Times New Roman"/>
        </w:rPr>
      </w:pPr>
    </w:p>
    <w:p w14:paraId="590A49D7" w14:textId="7FA40831" w:rsidR="00785794" w:rsidRPr="008F27E0" w:rsidRDefault="00785794" w:rsidP="00785794">
      <w:pPr>
        <w:pStyle w:val="ListParagraph"/>
        <w:adjustRightInd w:val="0"/>
        <w:snapToGrid w:val="0"/>
        <w:ind w:left="0"/>
        <w:jc w:val="both"/>
        <w:rPr>
          <w:rFonts w:ascii="Times New Roman" w:hAnsi="Times New Roman"/>
        </w:rPr>
      </w:pPr>
      <w:r w:rsidRPr="008F27E0">
        <w:rPr>
          <w:rFonts w:ascii="Times New Roman" w:hAnsi="Times New Roman"/>
        </w:rPr>
        <w:t xml:space="preserve">The first seminar, scheduled on </w:t>
      </w:r>
      <w:r w:rsidR="00D40277" w:rsidRPr="008F27E0">
        <w:rPr>
          <w:rFonts w:ascii="Times New Roman" w:hAnsi="Times New Roman"/>
        </w:rPr>
        <w:t>Wednesday</w:t>
      </w:r>
      <w:r w:rsidRPr="008F27E0">
        <w:rPr>
          <w:rFonts w:ascii="Times New Roman" w:hAnsi="Times New Roman"/>
        </w:rPr>
        <w:t>, 08 June 2022, will provide a general overview of the harvest strategy approach including key management objectives and their associated performance indicators; the design and testing of alternative candidate management procedures, and methods for monitoring the performance of a management procedure once implemented.</w:t>
      </w:r>
    </w:p>
    <w:p w14:paraId="7ABF96B7" w14:textId="77777777" w:rsidR="00785794" w:rsidRPr="008F27E0" w:rsidRDefault="00785794" w:rsidP="00785794">
      <w:pPr>
        <w:pStyle w:val="ListParagraph"/>
        <w:adjustRightInd w:val="0"/>
        <w:snapToGrid w:val="0"/>
        <w:ind w:left="0"/>
        <w:jc w:val="both"/>
        <w:rPr>
          <w:rFonts w:ascii="Times New Roman" w:hAnsi="Times New Roman"/>
        </w:rPr>
      </w:pPr>
    </w:p>
    <w:p w14:paraId="2305F3FA" w14:textId="77777777" w:rsidR="00785794" w:rsidRPr="008F27E0" w:rsidRDefault="00785794" w:rsidP="00785794">
      <w:pPr>
        <w:pStyle w:val="ListParagraph"/>
        <w:adjustRightInd w:val="0"/>
        <w:snapToGrid w:val="0"/>
        <w:ind w:left="0"/>
        <w:jc w:val="both"/>
        <w:rPr>
          <w:rFonts w:ascii="Times New Roman" w:hAnsi="Times New Roman"/>
        </w:rPr>
      </w:pPr>
      <w:r w:rsidRPr="008F27E0">
        <w:rPr>
          <w:rFonts w:ascii="Times New Roman" w:hAnsi="Times New Roman"/>
        </w:rPr>
        <w:t>The second seminar, scheduled on Thursday, 07 July 2022, will focus more specifically on methods for selecting a preferred management procedure including the consideration of mixed fishery performance indicators. However, the second seminar may also address topics raised during the first seminar.</w:t>
      </w:r>
    </w:p>
    <w:p w14:paraId="366D7D49" w14:textId="77777777" w:rsidR="00785794" w:rsidRPr="008F27E0" w:rsidRDefault="00785794" w:rsidP="00785794">
      <w:pPr>
        <w:pStyle w:val="ListParagraph"/>
        <w:adjustRightInd w:val="0"/>
        <w:snapToGrid w:val="0"/>
        <w:ind w:left="0"/>
        <w:jc w:val="both"/>
        <w:rPr>
          <w:rFonts w:ascii="Times New Roman" w:hAnsi="Times New Roman"/>
        </w:rPr>
      </w:pPr>
    </w:p>
    <w:p w14:paraId="216C2D97" w14:textId="77777777" w:rsidR="00785794" w:rsidRPr="008F27E0" w:rsidRDefault="00785794" w:rsidP="00785794">
      <w:pPr>
        <w:pStyle w:val="ListParagraph"/>
        <w:adjustRightInd w:val="0"/>
        <w:snapToGrid w:val="0"/>
        <w:ind w:left="0"/>
        <w:jc w:val="both"/>
        <w:rPr>
          <w:rFonts w:ascii="Times New Roman" w:hAnsi="Times New Roman"/>
        </w:rPr>
      </w:pPr>
      <w:r w:rsidRPr="008F27E0">
        <w:rPr>
          <w:rFonts w:ascii="Times New Roman" w:hAnsi="Times New Roman"/>
        </w:rPr>
        <w:t xml:space="preserve">Before these Capacity Building Seminars, all participants are strongly requested to visit the self-help tutorial pages in the links below to become more familiar with the concepts of the harvest strategy approach and the approaches to identify and select preferred management procedures using performance indicators. </w:t>
      </w:r>
    </w:p>
    <w:p w14:paraId="4E1DCC0D" w14:textId="77777777" w:rsidR="00785794" w:rsidRPr="008F27E0" w:rsidRDefault="00785794" w:rsidP="00785794">
      <w:pPr>
        <w:pStyle w:val="ListParagraph"/>
        <w:adjustRightInd w:val="0"/>
        <w:snapToGrid w:val="0"/>
        <w:ind w:left="0"/>
        <w:jc w:val="both"/>
        <w:rPr>
          <w:rFonts w:ascii="Times New Roman" w:hAnsi="Times New Roman"/>
        </w:rPr>
      </w:pPr>
    </w:p>
    <w:p w14:paraId="6829F286" w14:textId="77777777" w:rsidR="00785794" w:rsidRPr="008F27E0" w:rsidRDefault="00785794" w:rsidP="00785794">
      <w:pPr>
        <w:pStyle w:val="ListParagraph"/>
        <w:adjustRightInd w:val="0"/>
        <w:snapToGrid w:val="0"/>
        <w:ind w:left="0"/>
        <w:jc w:val="both"/>
        <w:rPr>
          <w:rFonts w:ascii="Times New Roman" w:hAnsi="Times New Roman"/>
        </w:rPr>
      </w:pPr>
      <w:r w:rsidRPr="008F27E0">
        <w:rPr>
          <w:rFonts w:ascii="Times New Roman" w:hAnsi="Times New Roman"/>
        </w:rPr>
        <w:t>Self-guiding tutorial tools are available at:</w:t>
      </w:r>
    </w:p>
    <w:p w14:paraId="2C49FCC9" w14:textId="77777777" w:rsidR="00785794" w:rsidRPr="008F27E0" w:rsidRDefault="00785794" w:rsidP="00785794">
      <w:pPr>
        <w:pStyle w:val="ListParagraph"/>
        <w:numPr>
          <w:ilvl w:val="1"/>
          <w:numId w:val="25"/>
        </w:numPr>
        <w:adjustRightInd w:val="0"/>
        <w:snapToGrid w:val="0"/>
        <w:ind w:left="720"/>
        <w:contextualSpacing/>
        <w:rPr>
          <w:rFonts w:ascii="Times New Roman" w:hAnsi="Times New Roman"/>
        </w:rPr>
      </w:pPr>
      <w:r w:rsidRPr="008F27E0">
        <w:rPr>
          <w:rFonts w:ascii="Times New Roman" w:hAnsi="Times New Roman"/>
        </w:rPr>
        <w:t>Introduction to Harvest Control Rules (</w:t>
      </w:r>
      <w:hyperlink r:id="rId11" w:history="1">
        <w:r w:rsidRPr="008F27E0">
          <w:rPr>
            <w:rStyle w:val="Hyperlink"/>
            <w:rFonts w:ascii="Times New Roman" w:hAnsi="Times New Roman"/>
          </w:rPr>
          <w:t>https://ofp-sam.shinyapps.io/amped-intro-hcr/)</w:t>
        </w:r>
      </w:hyperlink>
      <w:r w:rsidRPr="008F27E0">
        <w:rPr>
          <w:rFonts w:ascii="Times New Roman" w:hAnsi="Times New Roman"/>
          <w:color w:val="000000"/>
        </w:rPr>
        <w:t xml:space="preserve"> </w:t>
      </w:r>
    </w:p>
    <w:p w14:paraId="2D737965" w14:textId="77777777" w:rsidR="00785794" w:rsidRPr="008F27E0" w:rsidRDefault="00785794" w:rsidP="00785794">
      <w:pPr>
        <w:pStyle w:val="ListParagraph"/>
        <w:numPr>
          <w:ilvl w:val="1"/>
          <w:numId w:val="25"/>
        </w:numPr>
        <w:adjustRightInd w:val="0"/>
        <w:snapToGrid w:val="0"/>
        <w:ind w:left="720"/>
        <w:contextualSpacing/>
        <w:rPr>
          <w:rFonts w:ascii="Times New Roman" w:hAnsi="Times New Roman"/>
        </w:rPr>
      </w:pPr>
      <w:r w:rsidRPr="008F27E0">
        <w:rPr>
          <w:rFonts w:ascii="Times New Roman" w:hAnsi="Times New Roman"/>
        </w:rPr>
        <w:t>Introduction to Performance Indicators (</w:t>
      </w:r>
      <w:hyperlink r:id="rId12" w:history="1">
        <w:r w:rsidRPr="008F27E0">
          <w:rPr>
            <w:rStyle w:val="Hyperlink"/>
            <w:rFonts w:ascii="Times New Roman" w:hAnsi="Times New Roman"/>
          </w:rPr>
          <w:t>https://ofp-sam.shinyapps.io/amped-intro-indicators/</w:t>
        </w:r>
      </w:hyperlink>
      <w:r w:rsidRPr="008F27E0">
        <w:rPr>
          <w:rFonts w:ascii="Times New Roman" w:hAnsi="Times New Roman"/>
        </w:rPr>
        <w:t xml:space="preserve">)  </w:t>
      </w:r>
    </w:p>
    <w:p w14:paraId="4204F161" w14:textId="77777777" w:rsidR="00785794" w:rsidRPr="008F27E0" w:rsidRDefault="00785794" w:rsidP="00785794">
      <w:pPr>
        <w:pStyle w:val="ListParagraph"/>
        <w:numPr>
          <w:ilvl w:val="1"/>
          <w:numId w:val="25"/>
        </w:numPr>
        <w:adjustRightInd w:val="0"/>
        <w:snapToGrid w:val="0"/>
        <w:ind w:left="720"/>
        <w:contextualSpacing/>
        <w:rPr>
          <w:rFonts w:ascii="Times New Roman" w:hAnsi="Times New Roman"/>
        </w:rPr>
      </w:pPr>
      <w:r w:rsidRPr="008F27E0">
        <w:rPr>
          <w:rFonts w:ascii="Times New Roman" w:hAnsi="Times New Roman"/>
        </w:rPr>
        <w:t>Comparing Performance of Management Procedures (</w:t>
      </w:r>
      <w:hyperlink r:id="rId13" w:history="1">
        <w:r w:rsidRPr="008F27E0">
          <w:rPr>
            <w:rStyle w:val="Hyperlink"/>
            <w:rFonts w:ascii="Times New Roman" w:hAnsi="Times New Roman"/>
          </w:rPr>
          <w:t>https://ofp-sam.shinyapps.io/amped-comparing-performance/</w:t>
        </w:r>
      </w:hyperlink>
      <w:r w:rsidRPr="008F27E0">
        <w:rPr>
          <w:rFonts w:ascii="Times New Roman" w:hAnsi="Times New Roman"/>
          <w:color w:val="008D77"/>
        </w:rPr>
        <w:t>)</w:t>
      </w:r>
    </w:p>
    <w:p w14:paraId="52AD0056" w14:textId="77777777" w:rsidR="00785794" w:rsidRPr="008F27E0" w:rsidRDefault="00785794" w:rsidP="00785794">
      <w:pPr>
        <w:pStyle w:val="ListParagraph"/>
        <w:adjustRightInd w:val="0"/>
        <w:snapToGrid w:val="0"/>
        <w:ind w:left="0"/>
        <w:jc w:val="both"/>
        <w:rPr>
          <w:rFonts w:ascii="Times New Roman" w:hAnsi="Times New Roman"/>
        </w:rPr>
      </w:pPr>
    </w:p>
    <w:p w14:paraId="51F2C4DF" w14:textId="77777777" w:rsidR="00785794" w:rsidRPr="008F27E0" w:rsidRDefault="00785794" w:rsidP="00785794">
      <w:pPr>
        <w:pStyle w:val="ListParagraph"/>
        <w:adjustRightInd w:val="0"/>
        <w:snapToGrid w:val="0"/>
        <w:ind w:left="0"/>
        <w:jc w:val="both"/>
        <w:rPr>
          <w:rFonts w:ascii="Times New Roman" w:hAnsi="Times New Roman"/>
        </w:rPr>
      </w:pPr>
      <w:r w:rsidRPr="008F27E0">
        <w:rPr>
          <w:rFonts w:ascii="Times New Roman" w:hAnsi="Times New Roman"/>
        </w:rPr>
        <w:t xml:space="preserve">At the opening of the Seminar, the Executive Director will welcome the seminar participants and the SSP will briefly introduce schedules of the first Harvest Strategy Capacity Building Seminar. </w:t>
      </w:r>
    </w:p>
    <w:p w14:paraId="697792D9" w14:textId="77777777" w:rsidR="00785794" w:rsidRPr="008F27E0" w:rsidRDefault="00785794" w:rsidP="00785794">
      <w:pPr>
        <w:pStyle w:val="ListParagraph"/>
        <w:adjustRightInd w:val="0"/>
        <w:snapToGrid w:val="0"/>
        <w:ind w:left="0"/>
        <w:jc w:val="both"/>
        <w:rPr>
          <w:rFonts w:ascii="Times New Roman" w:hAnsi="Times New Roman"/>
        </w:rPr>
      </w:pPr>
    </w:p>
    <w:p w14:paraId="2B4987FE" w14:textId="77777777" w:rsidR="00785794" w:rsidRPr="008F27E0" w:rsidRDefault="00785794" w:rsidP="00785794">
      <w:pPr>
        <w:pStyle w:val="ListParagraph"/>
        <w:adjustRightInd w:val="0"/>
        <w:snapToGrid w:val="0"/>
        <w:ind w:left="0"/>
        <w:jc w:val="both"/>
        <w:rPr>
          <w:rFonts w:ascii="Times New Roman" w:hAnsi="Times New Roman"/>
        </w:rPr>
      </w:pPr>
    </w:p>
    <w:p w14:paraId="3EF2EA19" w14:textId="77777777" w:rsidR="00785794" w:rsidRPr="008F27E0" w:rsidRDefault="00785794" w:rsidP="00785794">
      <w:pPr>
        <w:pStyle w:val="ListParagraph"/>
        <w:adjustRightInd w:val="0"/>
        <w:snapToGrid w:val="0"/>
        <w:jc w:val="both"/>
        <w:rPr>
          <w:rFonts w:ascii="Times New Roman" w:hAnsi="Times New Roman"/>
        </w:rPr>
      </w:pPr>
    </w:p>
    <w:p w14:paraId="080B9E39" w14:textId="77777777" w:rsidR="00785794" w:rsidRPr="008F27E0" w:rsidRDefault="00785794" w:rsidP="00785794">
      <w:pPr>
        <w:pStyle w:val="ListParagraph"/>
        <w:adjustRightInd w:val="0"/>
        <w:snapToGrid w:val="0"/>
        <w:jc w:val="both"/>
        <w:rPr>
          <w:rFonts w:ascii="Times New Roman" w:hAnsi="Times New Roman"/>
        </w:rPr>
      </w:pPr>
    </w:p>
    <w:p w14:paraId="37A6A66B" w14:textId="77777777" w:rsidR="00B7346C" w:rsidRDefault="00B7346C" w:rsidP="00785794">
      <w:pPr>
        <w:adjustRightInd w:val="0"/>
        <w:snapToGrid w:val="0"/>
        <w:jc w:val="both"/>
        <w:rPr>
          <w:b/>
          <w:bCs/>
          <w:sz w:val="22"/>
          <w:szCs w:val="22"/>
        </w:rPr>
      </w:pPr>
    </w:p>
    <w:p w14:paraId="61116B21" w14:textId="2B5A060B" w:rsidR="00785794" w:rsidRPr="008F27E0" w:rsidRDefault="00785794" w:rsidP="00785794">
      <w:pPr>
        <w:adjustRightInd w:val="0"/>
        <w:snapToGrid w:val="0"/>
        <w:jc w:val="both"/>
        <w:rPr>
          <w:b/>
          <w:bCs/>
          <w:sz w:val="22"/>
          <w:szCs w:val="22"/>
        </w:rPr>
      </w:pPr>
      <w:r w:rsidRPr="008F27E0">
        <w:rPr>
          <w:b/>
          <w:bCs/>
          <w:sz w:val="22"/>
          <w:szCs w:val="22"/>
        </w:rPr>
        <w:lastRenderedPageBreak/>
        <w:t>SEMINAR 1</w:t>
      </w:r>
    </w:p>
    <w:p w14:paraId="7447C19A" w14:textId="77777777" w:rsidR="00785794" w:rsidRPr="008F27E0" w:rsidRDefault="00785794" w:rsidP="00785794">
      <w:pPr>
        <w:pStyle w:val="ListParagraph"/>
        <w:adjustRightInd w:val="0"/>
        <w:snapToGrid w:val="0"/>
        <w:ind w:left="567"/>
        <w:jc w:val="both"/>
        <w:rPr>
          <w:rFonts w:ascii="Times New Roman" w:hAnsi="Times New Roman"/>
        </w:rPr>
      </w:pPr>
    </w:p>
    <w:p w14:paraId="7FDB315E" w14:textId="77777777" w:rsidR="00785794" w:rsidRPr="008F27E0" w:rsidRDefault="00785794" w:rsidP="00785794">
      <w:pPr>
        <w:adjustRightInd w:val="0"/>
        <w:snapToGrid w:val="0"/>
        <w:jc w:val="both"/>
        <w:rPr>
          <w:b/>
          <w:bCs/>
          <w:sz w:val="22"/>
          <w:szCs w:val="22"/>
        </w:rPr>
      </w:pPr>
      <w:r w:rsidRPr="008F27E0">
        <w:rPr>
          <w:b/>
          <w:bCs/>
          <w:sz w:val="22"/>
          <w:szCs w:val="22"/>
        </w:rPr>
        <w:t xml:space="preserve">Overview of the WCPFC harvest strategy approach </w:t>
      </w:r>
    </w:p>
    <w:p w14:paraId="1701F03E" w14:textId="77777777" w:rsidR="00785794" w:rsidRPr="008F27E0" w:rsidRDefault="00785794" w:rsidP="00785794">
      <w:pPr>
        <w:adjustRightInd w:val="0"/>
        <w:snapToGrid w:val="0"/>
        <w:jc w:val="both"/>
        <w:rPr>
          <w:b/>
          <w:bCs/>
          <w:sz w:val="22"/>
          <w:szCs w:val="22"/>
        </w:rPr>
      </w:pPr>
    </w:p>
    <w:p w14:paraId="406A2F33" w14:textId="77777777" w:rsidR="00785794" w:rsidRPr="008F27E0" w:rsidRDefault="00785794" w:rsidP="00785794">
      <w:pPr>
        <w:adjustRightInd w:val="0"/>
        <w:snapToGrid w:val="0"/>
        <w:jc w:val="both"/>
        <w:rPr>
          <w:sz w:val="22"/>
          <w:szCs w:val="22"/>
        </w:rPr>
      </w:pPr>
      <w:r w:rsidRPr="008F27E0">
        <w:rPr>
          <w:sz w:val="22"/>
          <w:szCs w:val="22"/>
        </w:rPr>
        <w:t>The SSP will provide a brief overview of the harvest strategy approach that will be implemented through the WCPFC, with specific focus on the following three topics.</w:t>
      </w:r>
    </w:p>
    <w:p w14:paraId="44A1859A" w14:textId="77777777" w:rsidR="00785794" w:rsidRPr="008F27E0" w:rsidRDefault="00785794" w:rsidP="00785794">
      <w:pPr>
        <w:adjustRightInd w:val="0"/>
        <w:snapToGrid w:val="0"/>
        <w:ind w:left="567"/>
        <w:jc w:val="both"/>
        <w:rPr>
          <w:sz w:val="22"/>
          <w:szCs w:val="22"/>
        </w:rPr>
      </w:pPr>
    </w:p>
    <w:p w14:paraId="038F4921" w14:textId="77777777" w:rsidR="00785794" w:rsidRPr="008F27E0" w:rsidRDefault="00785794" w:rsidP="00785794">
      <w:pPr>
        <w:pStyle w:val="ListParagraph"/>
        <w:numPr>
          <w:ilvl w:val="0"/>
          <w:numId w:val="28"/>
        </w:numPr>
        <w:adjustRightInd w:val="0"/>
        <w:snapToGrid w:val="0"/>
        <w:ind w:left="360"/>
        <w:contextualSpacing/>
        <w:jc w:val="both"/>
        <w:rPr>
          <w:rFonts w:ascii="Times New Roman" w:hAnsi="Times New Roman"/>
          <w:b/>
          <w:bCs/>
        </w:rPr>
      </w:pPr>
      <w:r w:rsidRPr="008F27E0">
        <w:rPr>
          <w:rFonts w:ascii="Times New Roman" w:hAnsi="Times New Roman"/>
          <w:b/>
          <w:bCs/>
        </w:rPr>
        <w:t>Management objectives and associated performance indicators</w:t>
      </w:r>
    </w:p>
    <w:p w14:paraId="2AF524D9" w14:textId="77777777" w:rsidR="00785794" w:rsidRPr="008F27E0" w:rsidRDefault="00785794" w:rsidP="00785794">
      <w:pPr>
        <w:adjustRightInd w:val="0"/>
        <w:snapToGrid w:val="0"/>
        <w:ind w:left="567"/>
        <w:jc w:val="both"/>
        <w:rPr>
          <w:sz w:val="22"/>
          <w:szCs w:val="22"/>
        </w:rPr>
      </w:pPr>
    </w:p>
    <w:p w14:paraId="1993529B" w14:textId="77777777" w:rsidR="00785794" w:rsidRPr="008F27E0" w:rsidRDefault="00785794" w:rsidP="00785794">
      <w:pPr>
        <w:adjustRightInd w:val="0"/>
        <w:snapToGrid w:val="0"/>
        <w:ind w:left="360"/>
        <w:jc w:val="both"/>
        <w:rPr>
          <w:sz w:val="22"/>
          <w:szCs w:val="22"/>
        </w:rPr>
      </w:pPr>
      <w:r w:rsidRPr="008F27E0">
        <w:rPr>
          <w:sz w:val="22"/>
          <w:szCs w:val="22"/>
        </w:rPr>
        <w:t>Management objectives are the, often high-level, goals and aims for fisheries at national and regional levels. They underpin the harvest strategy approach and can be broadly categorised as biological, economic, social or ecosystem based. It may not be possible to achieve all objectives simultaneously and often trade-offs must be made between competing objectives.</w:t>
      </w:r>
    </w:p>
    <w:p w14:paraId="43D4B982" w14:textId="77777777" w:rsidR="00785794" w:rsidRPr="008F27E0" w:rsidRDefault="00785794" w:rsidP="00785794">
      <w:pPr>
        <w:adjustRightInd w:val="0"/>
        <w:snapToGrid w:val="0"/>
        <w:ind w:left="927"/>
        <w:jc w:val="both"/>
        <w:rPr>
          <w:sz w:val="22"/>
          <w:szCs w:val="22"/>
        </w:rPr>
      </w:pPr>
    </w:p>
    <w:p w14:paraId="52DD88B7" w14:textId="77777777" w:rsidR="00785794" w:rsidRPr="008F27E0" w:rsidRDefault="00785794" w:rsidP="00785794">
      <w:pPr>
        <w:adjustRightInd w:val="0"/>
        <w:snapToGrid w:val="0"/>
        <w:ind w:left="360"/>
        <w:jc w:val="both"/>
        <w:rPr>
          <w:sz w:val="22"/>
          <w:szCs w:val="22"/>
        </w:rPr>
      </w:pPr>
      <w:r w:rsidRPr="008F27E0">
        <w:rPr>
          <w:sz w:val="22"/>
          <w:szCs w:val="22"/>
        </w:rPr>
        <w:t>Performance indicators are identified to translate high level management objectives into measurable quantities. They allow you to evaluate and easily compare how well you are achieving a particular management objective when applying alternative management procedures. Performance indicators are the primary source of information used when identifying and selecting the “best performing” management procedure for a given set of objectives.</w:t>
      </w:r>
    </w:p>
    <w:p w14:paraId="17D2C22E" w14:textId="77777777" w:rsidR="00785794" w:rsidRPr="008F27E0" w:rsidRDefault="00785794" w:rsidP="00785794">
      <w:pPr>
        <w:adjustRightInd w:val="0"/>
        <w:snapToGrid w:val="0"/>
        <w:ind w:left="360"/>
        <w:jc w:val="both"/>
        <w:rPr>
          <w:sz w:val="22"/>
          <w:szCs w:val="22"/>
        </w:rPr>
      </w:pPr>
    </w:p>
    <w:p w14:paraId="0B700F31" w14:textId="77777777" w:rsidR="00785794" w:rsidRPr="008F27E0" w:rsidRDefault="00785794" w:rsidP="00785794">
      <w:pPr>
        <w:adjustRightInd w:val="0"/>
        <w:snapToGrid w:val="0"/>
        <w:ind w:left="360"/>
        <w:jc w:val="both"/>
        <w:rPr>
          <w:sz w:val="22"/>
          <w:szCs w:val="22"/>
        </w:rPr>
      </w:pPr>
      <w:r w:rsidRPr="008F27E0">
        <w:rPr>
          <w:sz w:val="22"/>
          <w:szCs w:val="22"/>
        </w:rPr>
        <w:t xml:space="preserve">Performance indicators corresponding to management objectives have been recorded in previous WCPFC summary reports for the tropical longline fishery (WCPFC14, attachment K), the tropical purse seine fishery (WCPFC13, attachment M) and the southern longline fishery (WCPFC14 attachment K). Discussion and refinement of performance indicators has continued through the Scientific Committee. </w:t>
      </w:r>
    </w:p>
    <w:p w14:paraId="65039248" w14:textId="77777777" w:rsidR="00785794" w:rsidRPr="008F27E0" w:rsidRDefault="00785794" w:rsidP="00785794">
      <w:pPr>
        <w:adjustRightInd w:val="0"/>
        <w:snapToGrid w:val="0"/>
        <w:ind w:left="927"/>
        <w:jc w:val="both"/>
        <w:rPr>
          <w:sz w:val="22"/>
          <w:szCs w:val="22"/>
        </w:rPr>
      </w:pPr>
    </w:p>
    <w:p w14:paraId="550FB8EF" w14:textId="77777777" w:rsidR="00785794" w:rsidRPr="008F27E0" w:rsidRDefault="00785794" w:rsidP="00785794">
      <w:pPr>
        <w:adjustRightInd w:val="0"/>
        <w:snapToGrid w:val="0"/>
        <w:ind w:left="360"/>
        <w:jc w:val="both"/>
        <w:rPr>
          <w:sz w:val="22"/>
          <w:szCs w:val="22"/>
        </w:rPr>
      </w:pPr>
      <w:r w:rsidRPr="008F27E0">
        <w:rPr>
          <w:sz w:val="22"/>
          <w:szCs w:val="22"/>
        </w:rPr>
        <w:t xml:space="preserve">Not </w:t>
      </w:r>
      <w:proofErr w:type="gramStart"/>
      <w:r w:rsidRPr="008F27E0">
        <w:rPr>
          <w:sz w:val="22"/>
          <w:szCs w:val="22"/>
        </w:rPr>
        <w:t>all of</w:t>
      </w:r>
      <w:proofErr w:type="gramEnd"/>
      <w:r w:rsidRPr="008F27E0">
        <w:rPr>
          <w:sz w:val="22"/>
          <w:szCs w:val="22"/>
        </w:rPr>
        <w:t xml:space="preserve"> the performance indicators can be calculated from the evaluation framework and in some cases alternative measurements are used as a proxy performance indicator for a particular objective. Some members have argued that the number of performance indicators should be reduced to a smaller subset of key indicators, whilst other members have requested that all performance indicators are retained and presented, pending further discussion on their calculation and utility.</w:t>
      </w:r>
    </w:p>
    <w:p w14:paraId="57368E6D" w14:textId="77777777" w:rsidR="00785794" w:rsidRPr="008F27E0" w:rsidRDefault="00785794" w:rsidP="00785794">
      <w:pPr>
        <w:adjustRightInd w:val="0"/>
        <w:snapToGrid w:val="0"/>
        <w:ind w:left="567"/>
        <w:jc w:val="both"/>
        <w:rPr>
          <w:sz w:val="22"/>
          <w:szCs w:val="22"/>
        </w:rPr>
      </w:pPr>
    </w:p>
    <w:p w14:paraId="6302D120" w14:textId="77777777" w:rsidR="00785794" w:rsidRPr="008F27E0" w:rsidRDefault="00785794" w:rsidP="00785794">
      <w:pPr>
        <w:pStyle w:val="ListParagraph"/>
        <w:numPr>
          <w:ilvl w:val="0"/>
          <w:numId w:val="28"/>
        </w:numPr>
        <w:adjustRightInd w:val="0"/>
        <w:snapToGrid w:val="0"/>
        <w:ind w:left="360"/>
        <w:contextualSpacing/>
        <w:jc w:val="both"/>
        <w:rPr>
          <w:rFonts w:ascii="Times New Roman" w:hAnsi="Times New Roman"/>
          <w:b/>
          <w:bCs/>
        </w:rPr>
      </w:pPr>
      <w:r w:rsidRPr="008F27E0">
        <w:rPr>
          <w:rFonts w:ascii="Times New Roman" w:hAnsi="Times New Roman"/>
          <w:b/>
          <w:bCs/>
        </w:rPr>
        <w:t>Design and testing of alternative candidate management procedures</w:t>
      </w:r>
    </w:p>
    <w:p w14:paraId="7E1D972E" w14:textId="77777777" w:rsidR="00785794" w:rsidRPr="008F27E0" w:rsidRDefault="00785794" w:rsidP="00785794">
      <w:pPr>
        <w:adjustRightInd w:val="0"/>
        <w:snapToGrid w:val="0"/>
        <w:ind w:left="567"/>
        <w:jc w:val="both"/>
        <w:rPr>
          <w:sz w:val="22"/>
          <w:szCs w:val="22"/>
        </w:rPr>
      </w:pPr>
    </w:p>
    <w:p w14:paraId="503DC8C1" w14:textId="77777777" w:rsidR="00785794" w:rsidRPr="008F27E0" w:rsidRDefault="00785794" w:rsidP="00785794">
      <w:pPr>
        <w:adjustRightInd w:val="0"/>
        <w:snapToGrid w:val="0"/>
        <w:ind w:left="360"/>
        <w:jc w:val="both"/>
        <w:rPr>
          <w:sz w:val="22"/>
          <w:szCs w:val="22"/>
        </w:rPr>
      </w:pPr>
      <w:r w:rsidRPr="008F27E0">
        <w:rPr>
          <w:sz w:val="22"/>
          <w:szCs w:val="22"/>
        </w:rPr>
        <w:t>A management procedure is a pre-agreed and tested set of rules for setting the level of fishing. Many different “candidate” management procedures can be designed and tested to evaluate which is predicted to perform best at achieving the defined management objectives. A management procedure has 3 components:</w:t>
      </w:r>
    </w:p>
    <w:p w14:paraId="6D4B767E" w14:textId="77777777" w:rsidR="00785794" w:rsidRPr="008F27E0" w:rsidRDefault="00785794" w:rsidP="00785794">
      <w:pPr>
        <w:adjustRightInd w:val="0"/>
        <w:snapToGrid w:val="0"/>
        <w:ind w:left="360"/>
        <w:jc w:val="both"/>
        <w:rPr>
          <w:sz w:val="22"/>
          <w:szCs w:val="22"/>
        </w:rPr>
      </w:pPr>
    </w:p>
    <w:p w14:paraId="030DAC93" w14:textId="77777777" w:rsidR="00785794" w:rsidRPr="008F27E0" w:rsidRDefault="00785794" w:rsidP="00785794">
      <w:pPr>
        <w:pStyle w:val="ListParagraph"/>
        <w:numPr>
          <w:ilvl w:val="0"/>
          <w:numId w:val="26"/>
        </w:numPr>
        <w:adjustRightInd w:val="0"/>
        <w:snapToGrid w:val="0"/>
        <w:ind w:left="1080"/>
        <w:contextualSpacing/>
        <w:jc w:val="both"/>
        <w:rPr>
          <w:rFonts w:ascii="Times New Roman" w:hAnsi="Times New Roman"/>
        </w:rPr>
      </w:pPr>
      <w:r w:rsidRPr="008F27E0">
        <w:rPr>
          <w:rFonts w:ascii="Times New Roman" w:hAnsi="Times New Roman"/>
        </w:rPr>
        <w:t>An agreed data collection programme to ensure that data of sufficient quantity and quality are available to estimate the status of the stock and fishery.</w:t>
      </w:r>
    </w:p>
    <w:p w14:paraId="3EA22CFD" w14:textId="77777777" w:rsidR="00785794" w:rsidRPr="008F27E0" w:rsidRDefault="00785794" w:rsidP="00785794">
      <w:pPr>
        <w:pStyle w:val="ListParagraph"/>
        <w:numPr>
          <w:ilvl w:val="0"/>
          <w:numId w:val="26"/>
        </w:numPr>
        <w:adjustRightInd w:val="0"/>
        <w:snapToGrid w:val="0"/>
        <w:ind w:left="1080"/>
        <w:contextualSpacing/>
        <w:jc w:val="both"/>
        <w:rPr>
          <w:rFonts w:ascii="Times New Roman" w:hAnsi="Times New Roman"/>
        </w:rPr>
      </w:pPr>
      <w:r w:rsidRPr="008F27E0">
        <w:rPr>
          <w:rFonts w:ascii="Times New Roman" w:hAnsi="Times New Roman"/>
        </w:rPr>
        <w:t>A pre-agreed and consistent estimation method that provides a reliable indication of the status of the stock and fishery.</w:t>
      </w:r>
    </w:p>
    <w:p w14:paraId="6EA4B87B" w14:textId="77777777" w:rsidR="00785794" w:rsidRPr="008F27E0" w:rsidRDefault="00785794" w:rsidP="00785794">
      <w:pPr>
        <w:pStyle w:val="ListParagraph"/>
        <w:numPr>
          <w:ilvl w:val="0"/>
          <w:numId w:val="26"/>
        </w:numPr>
        <w:adjustRightInd w:val="0"/>
        <w:snapToGrid w:val="0"/>
        <w:ind w:left="1080"/>
        <w:contextualSpacing/>
        <w:jc w:val="both"/>
        <w:rPr>
          <w:rFonts w:ascii="Times New Roman" w:hAnsi="Times New Roman"/>
        </w:rPr>
      </w:pPr>
      <w:r w:rsidRPr="008F27E0">
        <w:rPr>
          <w:rFonts w:ascii="Times New Roman" w:hAnsi="Times New Roman"/>
        </w:rPr>
        <w:t xml:space="preserve">A harvest control rule (HCR) that sets the level of future fishing depending on the estimate of stock status. </w:t>
      </w:r>
    </w:p>
    <w:p w14:paraId="40463DF8" w14:textId="77777777" w:rsidR="00785794" w:rsidRPr="008F27E0" w:rsidRDefault="00785794" w:rsidP="00785794">
      <w:pPr>
        <w:adjustRightInd w:val="0"/>
        <w:snapToGrid w:val="0"/>
        <w:ind w:left="1494"/>
        <w:jc w:val="both"/>
        <w:rPr>
          <w:sz w:val="22"/>
          <w:szCs w:val="22"/>
        </w:rPr>
      </w:pPr>
    </w:p>
    <w:p w14:paraId="61C43386" w14:textId="77777777" w:rsidR="00785794" w:rsidRPr="008F27E0" w:rsidRDefault="00785794" w:rsidP="00785794">
      <w:pPr>
        <w:adjustRightInd w:val="0"/>
        <w:snapToGrid w:val="0"/>
        <w:ind w:left="360"/>
        <w:jc w:val="both"/>
        <w:rPr>
          <w:sz w:val="22"/>
          <w:szCs w:val="22"/>
        </w:rPr>
      </w:pPr>
      <w:r w:rsidRPr="008F27E0">
        <w:rPr>
          <w:sz w:val="22"/>
          <w:szCs w:val="22"/>
        </w:rPr>
        <w:t xml:space="preserve">Different HCRs can be designed to meet specific objectives e.g., to achieve stability in catches or to maximise yields, however a minimum requirement is that the HCR reduces fishing if the stock approaches the limit reference point (LRP). </w:t>
      </w:r>
    </w:p>
    <w:p w14:paraId="3EF9931E" w14:textId="77777777" w:rsidR="00785794" w:rsidRPr="008F27E0" w:rsidRDefault="00785794" w:rsidP="00785794">
      <w:pPr>
        <w:adjustRightInd w:val="0"/>
        <w:snapToGrid w:val="0"/>
        <w:ind w:left="927"/>
        <w:jc w:val="both"/>
        <w:rPr>
          <w:sz w:val="22"/>
          <w:szCs w:val="22"/>
        </w:rPr>
      </w:pPr>
    </w:p>
    <w:p w14:paraId="078DADE9" w14:textId="77777777" w:rsidR="00785794" w:rsidRPr="008F27E0" w:rsidRDefault="00785794" w:rsidP="00785794">
      <w:pPr>
        <w:adjustRightInd w:val="0"/>
        <w:snapToGrid w:val="0"/>
        <w:ind w:left="360"/>
        <w:jc w:val="both"/>
        <w:rPr>
          <w:sz w:val="22"/>
          <w:szCs w:val="22"/>
        </w:rPr>
      </w:pPr>
      <w:r w:rsidRPr="008F27E0">
        <w:rPr>
          <w:sz w:val="22"/>
          <w:szCs w:val="22"/>
        </w:rPr>
        <w:t xml:space="preserve">Each candidate management procedure should be tested using simulations to determine whether it is likely to achieve the given set of management objectives. This simulation testing is referred to as Management Strategy Evaluation (MSE). The final management procedure can be selected through </w:t>
      </w:r>
      <w:r w:rsidRPr="008F27E0">
        <w:rPr>
          <w:sz w:val="22"/>
          <w:szCs w:val="22"/>
        </w:rPr>
        <w:lastRenderedPageBreak/>
        <w:t>interrogation of the performance indicators generated through that MSE process and negotiation amongst members of the relative trade-offs between competing objectives.</w:t>
      </w:r>
    </w:p>
    <w:p w14:paraId="6155661C" w14:textId="77777777" w:rsidR="00785794" w:rsidRPr="008F27E0" w:rsidRDefault="00785794" w:rsidP="00785794">
      <w:pPr>
        <w:adjustRightInd w:val="0"/>
        <w:snapToGrid w:val="0"/>
        <w:ind w:left="927"/>
        <w:jc w:val="both"/>
        <w:rPr>
          <w:sz w:val="22"/>
          <w:szCs w:val="22"/>
        </w:rPr>
      </w:pPr>
    </w:p>
    <w:p w14:paraId="243B2F4B" w14:textId="77777777" w:rsidR="00785794" w:rsidRPr="008F27E0" w:rsidRDefault="00785794" w:rsidP="00785794">
      <w:pPr>
        <w:adjustRightInd w:val="0"/>
        <w:snapToGrid w:val="0"/>
        <w:ind w:left="360"/>
        <w:jc w:val="both"/>
        <w:rPr>
          <w:sz w:val="22"/>
          <w:szCs w:val="22"/>
        </w:rPr>
      </w:pPr>
      <w:r w:rsidRPr="008F27E0">
        <w:rPr>
          <w:sz w:val="22"/>
          <w:szCs w:val="22"/>
        </w:rPr>
        <w:t xml:space="preserve">The technical elements of the evaluation framework require consideration and review by the Scientific Committee. However, participants of the SMD will require a basic understanding of how the performance indicators have been generated and what they represent </w:t>
      </w:r>
      <w:proofErr w:type="gramStart"/>
      <w:r w:rsidRPr="008F27E0">
        <w:rPr>
          <w:sz w:val="22"/>
          <w:szCs w:val="22"/>
        </w:rPr>
        <w:t>in order to</w:t>
      </w:r>
      <w:proofErr w:type="gramEnd"/>
      <w:r w:rsidRPr="008F27E0">
        <w:rPr>
          <w:sz w:val="22"/>
          <w:szCs w:val="22"/>
        </w:rPr>
        <w:t xml:space="preserve"> make informed decisions when selecting a management procedure.</w:t>
      </w:r>
    </w:p>
    <w:p w14:paraId="0D921209" w14:textId="77777777" w:rsidR="00785794" w:rsidRPr="008F27E0" w:rsidRDefault="00785794" w:rsidP="00785794">
      <w:pPr>
        <w:pStyle w:val="ListParagraph"/>
        <w:adjustRightInd w:val="0"/>
        <w:snapToGrid w:val="0"/>
        <w:jc w:val="both"/>
        <w:rPr>
          <w:rFonts w:ascii="Times New Roman" w:hAnsi="Times New Roman"/>
        </w:rPr>
      </w:pPr>
    </w:p>
    <w:p w14:paraId="37CAA92E" w14:textId="77777777" w:rsidR="00785794" w:rsidRPr="008F27E0" w:rsidRDefault="00785794" w:rsidP="00785794">
      <w:pPr>
        <w:pStyle w:val="ListParagraph"/>
        <w:numPr>
          <w:ilvl w:val="0"/>
          <w:numId w:val="28"/>
        </w:numPr>
        <w:adjustRightInd w:val="0"/>
        <w:snapToGrid w:val="0"/>
        <w:ind w:left="360"/>
        <w:contextualSpacing/>
        <w:jc w:val="both"/>
        <w:rPr>
          <w:rFonts w:ascii="Times New Roman" w:hAnsi="Times New Roman"/>
          <w:b/>
          <w:bCs/>
        </w:rPr>
      </w:pPr>
      <w:r w:rsidRPr="008F27E0">
        <w:rPr>
          <w:rFonts w:ascii="Times New Roman" w:hAnsi="Times New Roman"/>
          <w:b/>
          <w:bCs/>
        </w:rPr>
        <w:t>Monitoring performance of a management procedure once implemented.</w:t>
      </w:r>
    </w:p>
    <w:p w14:paraId="74C90F3E" w14:textId="77777777" w:rsidR="00785794" w:rsidRPr="008F27E0" w:rsidRDefault="00785794" w:rsidP="00785794">
      <w:pPr>
        <w:adjustRightInd w:val="0"/>
        <w:snapToGrid w:val="0"/>
        <w:ind w:left="567"/>
        <w:jc w:val="both"/>
        <w:rPr>
          <w:sz w:val="22"/>
          <w:szCs w:val="22"/>
        </w:rPr>
      </w:pPr>
    </w:p>
    <w:p w14:paraId="605AACF1" w14:textId="77777777" w:rsidR="00785794" w:rsidRPr="008F27E0" w:rsidRDefault="00785794" w:rsidP="00785794">
      <w:pPr>
        <w:adjustRightInd w:val="0"/>
        <w:snapToGrid w:val="0"/>
        <w:ind w:left="360"/>
        <w:jc w:val="both"/>
        <w:rPr>
          <w:sz w:val="22"/>
          <w:szCs w:val="22"/>
        </w:rPr>
      </w:pPr>
      <w:r w:rsidRPr="008F27E0">
        <w:rPr>
          <w:sz w:val="22"/>
          <w:szCs w:val="22"/>
        </w:rPr>
        <w:t xml:space="preserve">Once a management procedure has been selected and adopted, it should be monitored to ensure that it is performing as expected for the actual fishery (i.e., Are the expected levels of performance indicators and any other objectives being achieved?). The information used to monitor the performance of the management procedure can be collected from </w:t>
      </w:r>
      <w:proofErr w:type="gramStart"/>
      <w:r w:rsidRPr="008F27E0">
        <w:rPr>
          <w:sz w:val="22"/>
          <w:szCs w:val="22"/>
        </w:rPr>
        <w:t>a number of</w:t>
      </w:r>
      <w:proofErr w:type="gramEnd"/>
      <w:r w:rsidRPr="008F27E0">
        <w:rPr>
          <w:sz w:val="22"/>
          <w:szCs w:val="22"/>
        </w:rPr>
        <w:t xml:space="preserve"> sources:</w:t>
      </w:r>
    </w:p>
    <w:p w14:paraId="11A9774A" w14:textId="77777777" w:rsidR="00785794" w:rsidRPr="008F27E0" w:rsidRDefault="00785794" w:rsidP="00785794">
      <w:pPr>
        <w:adjustRightInd w:val="0"/>
        <w:snapToGrid w:val="0"/>
        <w:ind w:left="360"/>
        <w:jc w:val="both"/>
        <w:rPr>
          <w:sz w:val="22"/>
          <w:szCs w:val="22"/>
        </w:rPr>
      </w:pPr>
    </w:p>
    <w:p w14:paraId="2D520E47" w14:textId="77777777" w:rsidR="00785794" w:rsidRPr="008F27E0" w:rsidRDefault="00785794" w:rsidP="00785794">
      <w:pPr>
        <w:pStyle w:val="ListParagraph"/>
        <w:numPr>
          <w:ilvl w:val="0"/>
          <w:numId w:val="27"/>
        </w:numPr>
        <w:adjustRightInd w:val="0"/>
        <w:snapToGrid w:val="0"/>
        <w:ind w:left="1080"/>
        <w:contextualSpacing/>
        <w:jc w:val="both"/>
        <w:rPr>
          <w:rFonts w:ascii="Times New Roman" w:hAnsi="Times New Roman"/>
        </w:rPr>
      </w:pPr>
      <w:r w:rsidRPr="008F27E0">
        <w:rPr>
          <w:rFonts w:ascii="Times New Roman" w:hAnsi="Times New Roman"/>
        </w:rPr>
        <w:t>Direct observations, including research surveys, reported catch and effort as well as port sampling and observer reports to monitor e.g., catch rates and bycatch levels. In addition, economic surveys can be conducted to monitor performance against economic objectives.</w:t>
      </w:r>
    </w:p>
    <w:p w14:paraId="3FFA7CB4" w14:textId="77777777" w:rsidR="00785794" w:rsidRPr="008F27E0" w:rsidRDefault="00785794" w:rsidP="00785794">
      <w:pPr>
        <w:pStyle w:val="ListParagraph"/>
        <w:numPr>
          <w:ilvl w:val="0"/>
          <w:numId w:val="27"/>
        </w:numPr>
        <w:adjustRightInd w:val="0"/>
        <w:snapToGrid w:val="0"/>
        <w:ind w:left="1080"/>
        <w:contextualSpacing/>
        <w:jc w:val="both"/>
        <w:rPr>
          <w:rFonts w:ascii="Times New Roman" w:hAnsi="Times New Roman"/>
        </w:rPr>
      </w:pPr>
      <w:r w:rsidRPr="008F27E0">
        <w:rPr>
          <w:rFonts w:ascii="Times New Roman" w:hAnsi="Times New Roman"/>
        </w:rPr>
        <w:t>Stock assessments should be conducted periodically to ensure that the stock remains healthy, and that biomass is maintained around the target reference point (TRP).</w:t>
      </w:r>
    </w:p>
    <w:p w14:paraId="078EE71A" w14:textId="77777777" w:rsidR="00785794" w:rsidRPr="008F27E0" w:rsidRDefault="00785794" w:rsidP="00785794">
      <w:pPr>
        <w:pStyle w:val="ListParagraph"/>
        <w:numPr>
          <w:ilvl w:val="0"/>
          <w:numId w:val="27"/>
        </w:numPr>
        <w:adjustRightInd w:val="0"/>
        <w:snapToGrid w:val="0"/>
        <w:ind w:left="1080"/>
        <w:contextualSpacing/>
        <w:jc w:val="both"/>
        <w:rPr>
          <w:rFonts w:ascii="Times New Roman" w:hAnsi="Times New Roman"/>
        </w:rPr>
      </w:pPr>
      <w:r w:rsidRPr="008F27E0">
        <w:rPr>
          <w:rFonts w:ascii="Times New Roman" w:hAnsi="Times New Roman"/>
        </w:rPr>
        <w:t xml:space="preserve">Further simulations and evaluations can be conducted to determine if an improved management procedure can be identified and to check that the scenarios used for testing the management procedures remain appropriate. </w:t>
      </w:r>
    </w:p>
    <w:p w14:paraId="10447E88" w14:textId="77777777" w:rsidR="00785794" w:rsidRPr="008F27E0" w:rsidRDefault="00785794" w:rsidP="00785794">
      <w:pPr>
        <w:adjustRightInd w:val="0"/>
        <w:snapToGrid w:val="0"/>
        <w:jc w:val="both"/>
        <w:rPr>
          <w:sz w:val="22"/>
          <w:szCs w:val="22"/>
        </w:rPr>
      </w:pPr>
    </w:p>
    <w:p w14:paraId="2EB6CFB8" w14:textId="77777777" w:rsidR="00785794" w:rsidRPr="008F27E0" w:rsidRDefault="00785794" w:rsidP="00785794">
      <w:pPr>
        <w:adjustRightInd w:val="0"/>
        <w:snapToGrid w:val="0"/>
        <w:jc w:val="both"/>
        <w:rPr>
          <w:sz w:val="22"/>
          <w:szCs w:val="22"/>
        </w:rPr>
      </w:pPr>
    </w:p>
    <w:p w14:paraId="364B950B" w14:textId="77777777" w:rsidR="00785794" w:rsidRPr="008F27E0" w:rsidRDefault="00785794" w:rsidP="00785794">
      <w:pPr>
        <w:adjustRightInd w:val="0"/>
        <w:snapToGrid w:val="0"/>
        <w:jc w:val="both"/>
        <w:rPr>
          <w:sz w:val="22"/>
          <w:szCs w:val="22"/>
        </w:rPr>
      </w:pPr>
    </w:p>
    <w:p w14:paraId="0CA1A09D" w14:textId="77777777" w:rsidR="00785794" w:rsidRPr="008F27E0" w:rsidRDefault="00785794" w:rsidP="00785794">
      <w:pPr>
        <w:adjustRightInd w:val="0"/>
        <w:snapToGrid w:val="0"/>
        <w:jc w:val="both"/>
        <w:rPr>
          <w:b/>
          <w:bCs/>
          <w:sz w:val="22"/>
          <w:szCs w:val="22"/>
        </w:rPr>
      </w:pPr>
      <w:r w:rsidRPr="008F27E0">
        <w:rPr>
          <w:b/>
          <w:bCs/>
          <w:sz w:val="22"/>
          <w:szCs w:val="22"/>
        </w:rPr>
        <w:t>SEMINAR 2</w:t>
      </w:r>
    </w:p>
    <w:p w14:paraId="2F9B63CE" w14:textId="77777777" w:rsidR="00785794" w:rsidRPr="008F27E0" w:rsidRDefault="00785794" w:rsidP="00785794">
      <w:pPr>
        <w:adjustRightInd w:val="0"/>
        <w:snapToGrid w:val="0"/>
        <w:jc w:val="both"/>
        <w:rPr>
          <w:b/>
          <w:bCs/>
          <w:color w:val="0000FF"/>
          <w:sz w:val="22"/>
          <w:szCs w:val="22"/>
          <w:highlight w:val="yellow"/>
        </w:rPr>
      </w:pPr>
    </w:p>
    <w:p w14:paraId="77509539" w14:textId="77777777" w:rsidR="00785794" w:rsidRPr="008F27E0" w:rsidRDefault="00785794" w:rsidP="00785794">
      <w:pPr>
        <w:adjustRightInd w:val="0"/>
        <w:snapToGrid w:val="0"/>
        <w:ind w:left="360"/>
        <w:jc w:val="both"/>
        <w:rPr>
          <w:sz w:val="22"/>
          <w:szCs w:val="22"/>
        </w:rPr>
      </w:pPr>
      <w:r w:rsidRPr="008F27E0">
        <w:rPr>
          <w:sz w:val="22"/>
          <w:szCs w:val="22"/>
        </w:rPr>
        <w:t xml:space="preserve">The SSP will provide an overview of the methods and approaches for selecting a preferred management procedure, including demonstrations of the online tools that have been created specifically to support the development and implementation of harvest strategies for WCPFC stocks and fisheries. </w:t>
      </w:r>
    </w:p>
    <w:p w14:paraId="69799F2B" w14:textId="77777777" w:rsidR="00785794" w:rsidRPr="008F27E0" w:rsidRDefault="00785794" w:rsidP="00785794">
      <w:pPr>
        <w:adjustRightInd w:val="0"/>
        <w:snapToGrid w:val="0"/>
        <w:ind w:left="360"/>
        <w:jc w:val="both"/>
        <w:rPr>
          <w:sz w:val="22"/>
          <w:szCs w:val="22"/>
        </w:rPr>
      </w:pPr>
    </w:p>
    <w:p w14:paraId="79DC3160" w14:textId="77777777" w:rsidR="00785794" w:rsidRPr="008F27E0" w:rsidRDefault="00785794" w:rsidP="00785794">
      <w:pPr>
        <w:adjustRightInd w:val="0"/>
        <w:snapToGrid w:val="0"/>
        <w:ind w:left="360"/>
        <w:jc w:val="both"/>
        <w:rPr>
          <w:sz w:val="22"/>
          <w:szCs w:val="22"/>
        </w:rPr>
      </w:pPr>
      <w:r w:rsidRPr="008F27E0">
        <w:rPr>
          <w:sz w:val="22"/>
          <w:szCs w:val="22"/>
        </w:rPr>
        <w:t>The overview will also include an update on the ‘mixed fishery approach’ and will present the results of recent work to develop mixed fishery performance indicators.</w:t>
      </w:r>
    </w:p>
    <w:p w14:paraId="0F5F1A47" w14:textId="77777777" w:rsidR="00785794" w:rsidRPr="008F27E0" w:rsidRDefault="00785794" w:rsidP="00785794">
      <w:pPr>
        <w:adjustRightInd w:val="0"/>
        <w:snapToGrid w:val="0"/>
        <w:ind w:left="360"/>
        <w:jc w:val="both"/>
        <w:rPr>
          <w:sz w:val="22"/>
          <w:szCs w:val="22"/>
        </w:rPr>
      </w:pPr>
    </w:p>
    <w:p w14:paraId="4E7FC692" w14:textId="77777777" w:rsidR="00785794" w:rsidRPr="008F27E0" w:rsidRDefault="00785794" w:rsidP="00785794">
      <w:pPr>
        <w:adjustRightInd w:val="0"/>
        <w:snapToGrid w:val="0"/>
        <w:ind w:left="360"/>
        <w:jc w:val="both"/>
        <w:rPr>
          <w:sz w:val="22"/>
          <w:szCs w:val="22"/>
        </w:rPr>
      </w:pPr>
      <w:r w:rsidRPr="008F27E0">
        <w:rPr>
          <w:sz w:val="22"/>
          <w:szCs w:val="22"/>
        </w:rPr>
        <w:t>This work is currently ongoing and only limited information is provided at this stage. Further details will be provided in due course.</w:t>
      </w:r>
    </w:p>
    <w:p w14:paraId="16F1B266" w14:textId="77777777" w:rsidR="00785794" w:rsidRPr="008F27E0" w:rsidRDefault="00785794" w:rsidP="00785794">
      <w:pPr>
        <w:adjustRightInd w:val="0"/>
        <w:snapToGrid w:val="0"/>
        <w:jc w:val="both"/>
        <w:rPr>
          <w:sz w:val="22"/>
          <w:szCs w:val="22"/>
        </w:rPr>
      </w:pPr>
    </w:p>
    <w:p w14:paraId="796E6EB4" w14:textId="77777777" w:rsidR="009D56F0" w:rsidRPr="008F27E0" w:rsidRDefault="009D56F0" w:rsidP="00CA14D4">
      <w:pPr>
        <w:jc w:val="both"/>
        <w:rPr>
          <w:b/>
          <w:bCs/>
          <w:sz w:val="22"/>
          <w:szCs w:val="22"/>
        </w:rPr>
      </w:pPr>
    </w:p>
    <w:sectPr w:rsidR="009D56F0" w:rsidRPr="008F27E0" w:rsidSect="00F42914">
      <w:footerReference w:type="even" r:id="rId14"/>
      <w:footerReference w:type="default" r:id="rId15"/>
      <w:footerReference w:type="first" r:id="rId16"/>
      <w:pgSz w:w="12240" w:h="15840"/>
      <w:pgMar w:top="1350" w:right="1530" w:bottom="1080" w:left="1530" w:header="630" w:footer="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9F195" w14:textId="77777777" w:rsidR="00FA0F24" w:rsidRDefault="00FA0F24">
      <w:r>
        <w:separator/>
      </w:r>
    </w:p>
  </w:endnote>
  <w:endnote w:type="continuationSeparator" w:id="0">
    <w:p w14:paraId="2A7691E8" w14:textId="77777777" w:rsidR="00FA0F24" w:rsidRDefault="00FA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
    <w:altName w:val="Times New Roman"/>
    <w:panose1 w:val="00000000000000000000"/>
    <w:charset w:val="00"/>
    <w:family w:val="roman"/>
    <w:notTrueType/>
    <w:pitch w:val="default"/>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E19A" w14:textId="77777777" w:rsidR="005B108C" w:rsidRDefault="005B108C" w:rsidP="0021042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4E2A" w14:textId="77777777" w:rsidR="005B108C" w:rsidRDefault="005B108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3780"/>
      <w:gridCol w:w="5099"/>
    </w:tblGrid>
    <w:tr w:rsidR="005B108C" w14:paraId="157D059D" w14:textId="77777777" w:rsidTr="006B58D4">
      <w:tc>
        <w:tcPr>
          <w:tcW w:w="3780" w:type="dxa"/>
          <w:tcBorders>
            <w:top w:val="single" w:sz="12" w:space="0" w:color="auto"/>
          </w:tcBorders>
        </w:tcPr>
        <w:p w14:paraId="08F2D2D1" w14:textId="7C33D1C0" w:rsidR="005B108C" w:rsidRPr="00666839" w:rsidRDefault="005B108C" w:rsidP="005B108C">
          <w:pPr>
            <w:autoSpaceDE w:val="0"/>
            <w:autoSpaceDN w:val="0"/>
            <w:adjustRightInd w:val="0"/>
            <w:rPr>
              <w:b/>
              <w:bCs/>
              <w:sz w:val="20"/>
              <w:szCs w:val="20"/>
            </w:rPr>
          </w:pPr>
          <w:r w:rsidRPr="00666839">
            <w:rPr>
              <w:b/>
              <w:bCs/>
              <w:sz w:val="20"/>
              <w:szCs w:val="20"/>
            </w:rPr>
            <w:t xml:space="preserve">P. O. Box 2356, Kolonia, </w:t>
          </w:r>
          <w:r w:rsidR="005C4614" w:rsidRPr="00666839">
            <w:rPr>
              <w:b/>
              <w:bCs/>
              <w:sz w:val="20"/>
              <w:szCs w:val="20"/>
            </w:rPr>
            <w:t>Pohnpei 96941</w:t>
          </w:r>
          <w:r w:rsidRPr="00666839">
            <w:rPr>
              <w:b/>
              <w:bCs/>
              <w:sz w:val="20"/>
              <w:szCs w:val="20"/>
            </w:rPr>
            <w:t>,</w:t>
          </w:r>
        </w:p>
        <w:p w14:paraId="668E4B47" w14:textId="77777777" w:rsidR="005B108C" w:rsidRPr="00666839" w:rsidRDefault="005B108C" w:rsidP="005B108C">
          <w:pPr>
            <w:autoSpaceDE w:val="0"/>
            <w:autoSpaceDN w:val="0"/>
            <w:adjustRightInd w:val="0"/>
            <w:rPr>
              <w:b/>
              <w:bCs/>
              <w:sz w:val="20"/>
              <w:szCs w:val="20"/>
            </w:rPr>
          </w:pPr>
          <w:smartTag w:uri="urn:schemas-microsoft-com:office:smarttags" w:element="place">
            <w:smartTag w:uri="urn:schemas-microsoft-com:office:smarttags" w:element="country-region">
              <w:r w:rsidRPr="00666839">
                <w:rPr>
                  <w:b/>
                  <w:bCs/>
                  <w:sz w:val="20"/>
                  <w:szCs w:val="20"/>
                </w:rPr>
                <w:t>Federated States of Micronesia</w:t>
              </w:r>
            </w:smartTag>
          </w:smartTag>
          <w:r w:rsidRPr="00666839">
            <w:rPr>
              <w:b/>
              <w:bCs/>
              <w:sz w:val="20"/>
              <w:szCs w:val="20"/>
            </w:rPr>
            <w:t>.</w:t>
          </w:r>
        </w:p>
      </w:tc>
      <w:tc>
        <w:tcPr>
          <w:tcW w:w="5099" w:type="dxa"/>
          <w:tcBorders>
            <w:top w:val="single" w:sz="12" w:space="0" w:color="auto"/>
          </w:tcBorders>
        </w:tcPr>
        <w:p w14:paraId="7BEADB33" w14:textId="77777777" w:rsidR="005B108C" w:rsidRPr="00D70F6C" w:rsidRDefault="005B108C" w:rsidP="005B108C">
          <w:pPr>
            <w:pStyle w:val="Footer"/>
            <w:tabs>
              <w:tab w:val="left" w:pos="1213"/>
              <w:tab w:val="left" w:pos="1828"/>
            </w:tabs>
            <w:rPr>
              <w:b/>
              <w:sz w:val="20"/>
              <w:szCs w:val="20"/>
            </w:rPr>
          </w:pPr>
          <w:r>
            <w:rPr>
              <w:b/>
              <w:sz w:val="20"/>
              <w:szCs w:val="20"/>
            </w:rPr>
            <w:t>Phone: +691 320 1992/1993 F</w:t>
          </w:r>
          <w:r w:rsidRPr="00D70F6C">
            <w:rPr>
              <w:b/>
              <w:sz w:val="20"/>
              <w:szCs w:val="20"/>
            </w:rPr>
            <w:t>acsimile: +691 320 1108</w:t>
          </w:r>
        </w:p>
        <w:p w14:paraId="7BE82FC1" w14:textId="77777777" w:rsidR="005B108C" w:rsidRPr="00666839" w:rsidRDefault="005B108C" w:rsidP="005B108C">
          <w:pPr>
            <w:autoSpaceDE w:val="0"/>
            <w:autoSpaceDN w:val="0"/>
            <w:adjustRightInd w:val="0"/>
            <w:rPr>
              <w:b/>
              <w:bCs/>
              <w:sz w:val="20"/>
              <w:szCs w:val="20"/>
            </w:rPr>
          </w:pPr>
          <w:r w:rsidRPr="00666839">
            <w:rPr>
              <w:b/>
              <w:sz w:val="20"/>
              <w:szCs w:val="20"/>
            </w:rPr>
            <w:t xml:space="preserve">Email: </w:t>
          </w:r>
          <w:r>
            <w:rPr>
              <w:b/>
              <w:sz w:val="20"/>
              <w:szCs w:val="20"/>
            </w:rPr>
            <w:t>wcpfc</w:t>
          </w:r>
          <w:r w:rsidRPr="00666839">
            <w:rPr>
              <w:b/>
              <w:sz w:val="20"/>
              <w:szCs w:val="20"/>
            </w:rPr>
            <w:t>@</w:t>
          </w:r>
          <w:r>
            <w:rPr>
              <w:b/>
              <w:sz w:val="20"/>
              <w:szCs w:val="20"/>
            </w:rPr>
            <w:t>wcpfc.int</w:t>
          </w:r>
        </w:p>
      </w:tc>
    </w:tr>
    <w:tr w:rsidR="005B108C" w14:paraId="28293B42" w14:textId="77777777" w:rsidTr="005B108C">
      <w:tc>
        <w:tcPr>
          <w:tcW w:w="3780" w:type="dxa"/>
        </w:tcPr>
        <w:p w14:paraId="784D0D4E" w14:textId="77777777" w:rsidR="005B108C" w:rsidRDefault="005B108C" w:rsidP="005B108C">
          <w:pPr>
            <w:autoSpaceDE w:val="0"/>
            <w:autoSpaceDN w:val="0"/>
            <w:adjustRightInd w:val="0"/>
            <w:rPr>
              <w:b/>
              <w:bCs/>
              <w:sz w:val="22"/>
              <w:szCs w:val="20"/>
            </w:rPr>
          </w:pPr>
        </w:p>
      </w:tc>
      <w:tc>
        <w:tcPr>
          <w:tcW w:w="5099" w:type="dxa"/>
        </w:tcPr>
        <w:p w14:paraId="3F046F29" w14:textId="77777777" w:rsidR="005B108C" w:rsidRPr="00D70F6C" w:rsidRDefault="005B108C" w:rsidP="005B108C">
          <w:pPr>
            <w:pStyle w:val="Footer"/>
            <w:tabs>
              <w:tab w:val="left" w:pos="1213"/>
              <w:tab w:val="left" w:pos="1828"/>
            </w:tabs>
            <w:jc w:val="center"/>
            <w:rPr>
              <w:b/>
            </w:rPr>
          </w:pPr>
        </w:p>
      </w:tc>
    </w:tr>
  </w:tbl>
  <w:p w14:paraId="50D311C4" w14:textId="77777777" w:rsidR="005B108C" w:rsidRDefault="005B1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1A15C" w14:textId="77777777" w:rsidR="00FA0F24" w:rsidRDefault="00FA0F24">
      <w:r>
        <w:separator/>
      </w:r>
    </w:p>
  </w:footnote>
  <w:footnote w:type="continuationSeparator" w:id="0">
    <w:p w14:paraId="13BA6D5D" w14:textId="77777777" w:rsidR="00FA0F24" w:rsidRDefault="00FA0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2051"/>
    <w:multiLevelType w:val="hybridMultilevel"/>
    <w:tmpl w:val="81C4D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02801"/>
    <w:multiLevelType w:val="hybridMultilevel"/>
    <w:tmpl w:val="43F0B786"/>
    <w:lvl w:ilvl="0" w:tplc="0590CF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A138D9"/>
    <w:multiLevelType w:val="hybridMultilevel"/>
    <w:tmpl w:val="5C0E1A4C"/>
    <w:lvl w:ilvl="0" w:tplc="3E3CF48C">
      <w:start w:val="1"/>
      <w:numFmt w:val="decimal"/>
      <w:lvlText w:val="%1."/>
      <w:lvlJc w:val="left"/>
      <w:pPr>
        <w:ind w:left="1494"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0D053D36"/>
    <w:multiLevelType w:val="hybridMultilevel"/>
    <w:tmpl w:val="5AAA7EF2"/>
    <w:lvl w:ilvl="0" w:tplc="DED07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16A23"/>
    <w:multiLevelType w:val="hybridMultilevel"/>
    <w:tmpl w:val="080C03DE"/>
    <w:lvl w:ilvl="0" w:tplc="66CE46B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B195A"/>
    <w:multiLevelType w:val="hybridMultilevel"/>
    <w:tmpl w:val="00702640"/>
    <w:lvl w:ilvl="0" w:tplc="EADA3E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17A48"/>
    <w:multiLevelType w:val="hybridMultilevel"/>
    <w:tmpl w:val="6D5E145C"/>
    <w:lvl w:ilvl="0" w:tplc="A11E680C">
      <w:start w:val="1"/>
      <w:numFmt w:val="bullet"/>
      <w:lvlText w:val=""/>
      <w:lvlJc w:val="left"/>
      <w:pPr>
        <w:tabs>
          <w:tab w:val="num" w:pos="1620"/>
        </w:tabs>
        <w:ind w:left="1620" w:hanging="360"/>
      </w:pPr>
      <w:rPr>
        <w:rFonts w:ascii="Symbol" w:hAnsi="Symbol" w:hint="default"/>
        <w:sz w:val="16"/>
        <w:szCs w:val="16"/>
      </w:rPr>
    </w:lvl>
    <w:lvl w:ilvl="1" w:tplc="933AA9B2">
      <w:numFmt w:val="bullet"/>
      <w:lvlText w:val="-"/>
      <w:lvlJc w:val="left"/>
      <w:pPr>
        <w:ind w:left="1980" w:hanging="360"/>
      </w:pPr>
      <w:rPr>
        <w:rFonts w:ascii="Times New Roman" w:eastAsia="Times New Roman" w:hAnsi="Times New Roman" w:cs="Times New Roman"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269434D8"/>
    <w:multiLevelType w:val="hybridMultilevel"/>
    <w:tmpl w:val="CFE414F6"/>
    <w:lvl w:ilvl="0" w:tplc="FE9AFCE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99C00C3"/>
    <w:multiLevelType w:val="hybridMultilevel"/>
    <w:tmpl w:val="6DD294D4"/>
    <w:lvl w:ilvl="0" w:tplc="93166150">
      <w:start w:val="1"/>
      <w:numFmt w:val="decimal"/>
      <w:lvlText w:val="%1)"/>
      <w:lvlJc w:val="left"/>
      <w:pPr>
        <w:ind w:left="1080" w:hanging="360"/>
      </w:pPr>
      <w:rPr>
        <w:rFonts w:hint="default"/>
        <w:b w:val="0"/>
        <w:i w:val="0"/>
        <w:color w:val="auto"/>
        <w:sz w:val="22"/>
      </w:rPr>
    </w:lvl>
    <w:lvl w:ilvl="1" w:tplc="F38CC41E">
      <w:start w:val="1"/>
      <w:numFmt w:val="lowerLetter"/>
      <w:lvlText w:val="%2)"/>
      <w:lvlJc w:val="left"/>
      <w:pPr>
        <w:ind w:left="1800" w:hanging="360"/>
      </w:pPr>
      <w:rPr>
        <w:rFonts w:hint="default"/>
        <w:u w:val="singl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9C39E8"/>
    <w:multiLevelType w:val="hybridMultilevel"/>
    <w:tmpl w:val="8C088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5F2500"/>
    <w:multiLevelType w:val="hybridMultilevel"/>
    <w:tmpl w:val="39E44AD2"/>
    <w:lvl w:ilvl="0" w:tplc="52D05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66354E"/>
    <w:multiLevelType w:val="hybridMultilevel"/>
    <w:tmpl w:val="824C424C"/>
    <w:lvl w:ilvl="0" w:tplc="C8B8CA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8651EC"/>
    <w:multiLevelType w:val="hybridMultilevel"/>
    <w:tmpl w:val="232477BA"/>
    <w:lvl w:ilvl="0" w:tplc="A11E680C">
      <w:start w:val="1"/>
      <w:numFmt w:val="bullet"/>
      <w:lvlText w:val=""/>
      <w:lvlJc w:val="left"/>
      <w:pPr>
        <w:tabs>
          <w:tab w:val="num" w:pos="1620"/>
        </w:tabs>
        <w:ind w:left="16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B04B2"/>
    <w:multiLevelType w:val="hybridMultilevel"/>
    <w:tmpl w:val="B7FCD16E"/>
    <w:lvl w:ilvl="0" w:tplc="A3A0B8E8">
      <w:start w:val="1"/>
      <w:numFmt w:val="decimal"/>
      <w:lvlText w:val="%1."/>
      <w:lvlJc w:val="left"/>
      <w:pPr>
        <w:ind w:left="1440" w:hanging="720"/>
      </w:pPr>
      <w:rPr>
        <w:rFonts w:ascii="TimesNewRomanPS" w:hAnsi="TimesNewRomanP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885C37"/>
    <w:multiLevelType w:val="hybridMultilevel"/>
    <w:tmpl w:val="DBE8D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F96B07"/>
    <w:multiLevelType w:val="hybridMultilevel"/>
    <w:tmpl w:val="547CAFC4"/>
    <w:lvl w:ilvl="0" w:tplc="D7521E02">
      <w:start w:val="1"/>
      <w:numFmt w:val="bullet"/>
      <w:lvlText w:val="-"/>
      <w:lvlJc w:val="left"/>
      <w:pPr>
        <w:tabs>
          <w:tab w:val="num" w:pos="1080"/>
        </w:tabs>
        <w:ind w:left="1080" w:hanging="360"/>
      </w:pPr>
      <w:rPr>
        <w:rFonts w:ascii="Times New (W1)" w:hAnsi="Times New (W1)" w:hint="default"/>
        <w:color w:val="auto"/>
        <w:sz w:val="22"/>
        <w:szCs w:val="22"/>
      </w:rPr>
    </w:lvl>
    <w:lvl w:ilvl="1" w:tplc="9DDCA5DC">
      <w:start w:val="1"/>
      <w:numFmt w:val="bullet"/>
      <w:lvlText w:val="-"/>
      <w:lvlJc w:val="left"/>
      <w:pPr>
        <w:tabs>
          <w:tab w:val="num" w:pos="1872"/>
        </w:tabs>
        <w:ind w:left="1872" w:hanging="360"/>
      </w:pPr>
      <w:rPr>
        <w:rFonts w:ascii="Times New (W1)" w:hAnsi="Times New (W1)" w:hint="default"/>
        <w:color w:val="auto"/>
        <w:sz w:val="22"/>
        <w:szCs w:val="22"/>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6" w15:restartNumberingAfterBreak="0">
    <w:nsid w:val="491C7EC1"/>
    <w:multiLevelType w:val="hybridMultilevel"/>
    <w:tmpl w:val="1AE89BF0"/>
    <w:lvl w:ilvl="0" w:tplc="E702E2C4">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335637F"/>
    <w:multiLevelType w:val="hybridMultilevel"/>
    <w:tmpl w:val="00702640"/>
    <w:lvl w:ilvl="0" w:tplc="EADA3E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504593"/>
    <w:multiLevelType w:val="hybridMultilevel"/>
    <w:tmpl w:val="D0CC9C98"/>
    <w:lvl w:ilvl="0" w:tplc="02E426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AB67DF"/>
    <w:multiLevelType w:val="hybridMultilevel"/>
    <w:tmpl w:val="943EAA78"/>
    <w:lvl w:ilvl="0" w:tplc="4CD266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0" w15:restartNumberingAfterBreak="0">
    <w:nsid w:val="5A4E3A9A"/>
    <w:multiLevelType w:val="hybridMultilevel"/>
    <w:tmpl w:val="E9EECE9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7051EA"/>
    <w:multiLevelType w:val="hybridMultilevel"/>
    <w:tmpl w:val="131A2664"/>
    <w:lvl w:ilvl="0" w:tplc="451819A4">
      <w:start w:val="4"/>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25C5C"/>
    <w:multiLevelType w:val="hybridMultilevel"/>
    <w:tmpl w:val="729A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4B0567"/>
    <w:multiLevelType w:val="hybridMultilevel"/>
    <w:tmpl w:val="D954F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B085D"/>
    <w:multiLevelType w:val="hybridMultilevel"/>
    <w:tmpl w:val="33849C5A"/>
    <w:lvl w:ilvl="0" w:tplc="9CFA97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462DA5"/>
    <w:multiLevelType w:val="hybridMultilevel"/>
    <w:tmpl w:val="90CEC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B77061"/>
    <w:multiLevelType w:val="hybridMultilevel"/>
    <w:tmpl w:val="26BEAA2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 w15:restartNumberingAfterBreak="0">
    <w:nsid w:val="7AE2055D"/>
    <w:multiLevelType w:val="hybridMultilevel"/>
    <w:tmpl w:val="03C28F16"/>
    <w:lvl w:ilvl="0" w:tplc="3E3CF48C">
      <w:start w:val="1"/>
      <w:numFmt w:val="decimal"/>
      <w:lvlText w:val="%1."/>
      <w:lvlJc w:val="left"/>
      <w:pPr>
        <w:ind w:left="720" w:hanging="360"/>
      </w:pPr>
      <w:rPr>
        <w:rFonts w:hint="default"/>
      </w:rPr>
    </w:lvl>
    <w:lvl w:ilvl="1" w:tplc="0C090019" w:tentative="1">
      <w:start w:val="1"/>
      <w:numFmt w:val="lowerLetter"/>
      <w:lvlText w:val="%2."/>
      <w:lvlJc w:val="left"/>
      <w:pPr>
        <w:ind w:left="1233" w:hanging="360"/>
      </w:pPr>
    </w:lvl>
    <w:lvl w:ilvl="2" w:tplc="0C09001B" w:tentative="1">
      <w:start w:val="1"/>
      <w:numFmt w:val="lowerRoman"/>
      <w:lvlText w:val="%3."/>
      <w:lvlJc w:val="right"/>
      <w:pPr>
        <w:ind w:left="1953" w:hanging="180"/>
      </w:pPr>
    </w:lvl>
    <w:lvl w:ilvl="3" w:tplc="0C09000F" w:tentative="1">
      <w:start w:val="1"/>
      <w:numFmt w:val="decimal"/>
      <w:lvlText w:val="%4."/>
      <w:lvlJc w:val="left"/>
      <w:pPr>
        <w:ind w:left="2673" w:hanging="360"/>
      </w:pPr>
    </w:lvl>
    <w:lvl w:ilvl="4" w:tplc="0C090019" w:tentative="1">
      <w:start w:val="1"/>
      <w:numFmt w:val="lowerLetter"/>
      <w:lvlText w:val="%5."/>
      <w:lvlJc w:val="left"/>
      <w:pPr>
        <w:ind w:left="3393" w:hanging="360"/>
      </w:pPr>
    </w:lvl>
    <w:lvl w:ilvl="5" w:tplc="0C09001B" w:tentative="1">
      <w:start w:val="1"/>
      <w:numFmt w:val="lowerRoman"/>
      <w:lvlText w:val="%6."/>
      <w:lvlJc w:val="right"/>
      <w:pPr>
        <w:ind w:left="4113" w:hanging="180"/>
      </w:pPr>
    </w:lvl>
    <w:lvl w:ilvl="6" w:tplc="0C09000F" w:tentative="1">
      <w:start w:val="1"/>
      <w:numFmt w:val="decimal"/>
      <w:lvlText w:val="%7."/>
      <w:lvlJc w:val="left"/>
      <w:pPr>
        <w:ind w:left="4833" w:hanging="360"/>
      </w:pPr>
    </w:lvl>
    <w:lvl w:ilvl="7" w:tplc="0C090019" w:tentative="1">
      <w:start w:val="1"/>
      <w:numFmt w:val="lowerLetter"/>
      <w:lvlText w:val="%8."/>
      <w:lvlJc w:val="left"/>
      <w:pPr>
        <w:ind w:left="5553" w:hanging="360"/>
      </w:pPr>
    </w:lvl>
    <w:lvl w:ilvl="8" w:tplc="0C09001B" w:tentative="1">
      <w:start w:val="1"/>
      <w:numFmt w:val="lowerRoman"/>
      <w:lvlText w:val="%9."/>
      <w:lvlJc w:val="right"/>
      <w:pPr>
        <w:ind w:left="6273" w:hanging="180"/>
      </w:pPr>
    </w:lvl>
  </w:abstractNum>
  <w:num w:numId="1" w16cid:durableId="966814256">
    <w:abstractNumId w:val="23"/>
  </w:num>
  <w:num w:numId="2" w16cid:durableId="210460548">
    <w:abstractNumId w:val="25"/>
  </w:num>
  <w:num w:numId="3" w16cid:durableId="1753433038">
    <w:abstractNumId w:val="24"/>
  </w:num>
  <w:num w:numId="4" w16cid:durableId="549922719">
    <w:abstractNumId w:val="7"/>
  </w:num>
  <w:num w:numId="5" w16cid:durableId="752161974">
    <w:abstractNumId w:val="16"/>
  </w:num>
  <w:num w:numId="6" w16cid:durableId="1571697640">
    <w:abstractNumId w:val="18"/>
  </w:num>
  <w:num w:numId="7" w16cid:durableId="2010013135">
    <w:abstractNumId w:val="15"/>
  </w:num>
  <w:num w:numId="8" w16cid:durableId="876621496">
    <w:abstractNumId w:val="9"/>
  </w:num>
  <w:num w:numId="9" w16cid:durableId="487207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8630736">
    <w:abstractNumId w:val="14"/>
  </w:num>
  <w:num w:numId="11" w16cid:durableId="897013642">
    <w:abstractNumId w:val="6"/>
  </w:num>
  <w:num w:numId="12" w16cid:durableId="807092125">
    <w:abstractNumId w:val="0"/>
  </w:num>
  <w:num w:numId="13" w16cid:durableId="1039862398">
    <w:abstractNumId w:val="12"/>
  </w:num>
  <w:num w:numId="14" w16cid:durableId="2099791122">
    <w:abstractNumId w:val="8"/>
  </w:num>
  <w:num w:numId="15" w16cid:durableId="1402946447">
    <w:abstractNumId w:val="26"/>
  </w:num>
  <w:num w:numId="16" w16cid:durableId="1797985144">
    <w:abstractNumId w:val="10"/>
  </w:num>
  <w:num w:numId="17" w16cid:durableId="1801875693">
    <w:abstractNumId w:val="21"/>
  </w:num>
  <w:num w:numId="18" w16cid:durableId="765468298">
    <w:abstractNumId w:val="11"/>
  </w:num>
  <w:num w:numId="19" w16cid:durableId="925916538">
    <w:abstractNumId w:val="22"/>
  </w:num>
  <w:num w:numId="20" w16cid:durableId="454564985">
    <w:abstractNumId w:val="17"/>
  </w:num>
  <w:num w:numId="21" w16cid:durableId="1907841426">
    <w:abstractNumId w:val="5"/>
  </w:num>
  <w:num w:numId="22" w16cid:durableId="171838941">
    <w:abstractNumId w:val="13"/>
  </w:num>
  <w:num w:numId="23" w16cid:durableId="786630094">
    <w:abstractNumId w:val="19"/>
  </w:num>
  <w:num w:numId="24" w16cid:durableId="1083600777">
    <w:abstractNumId w:val="4"/>
  </w:num>
  <w:num w:numId="25" w16cid:durableId="1932079032">
    <w:abstractNumId w:val="20"/>
  </w:num>
  <w:num w:numId="26" w16cid:durableId="1697386702">
    <w:abstractNumId w:val="27"/>
  </w:num>
  <w:num w:numId="27" w16cid:durableId="1419864725">
    <w:abstractNumId w:val="2"/>
  </w:num>
  <w:num w:numId="28" w16cid:durableId="355737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49"/>
    <w:rsid w:val="00006005"/>
    <w:rsid w:val="0000723E"/>
    <w:rsid w:val="0000772D"/>
    <w:rsid w:val="00007A8D"/>
    <w:rsid w:val="00015680"/>
    <w:rsid w:val="000159A9"/>
    <w:rsid w:val="00017618"/>
    <w:rsid w:val="0002614D"/>
    <w:rsid w:val="00036436"/>
    <w:rsid w:val="00054D0A"/>
    <w:rsid w:val="000566FF"/>
    <w:rsid w:val="00063EE1"/>
    <w:rsid w:val="0006441F"/>
    <w:rsid w:val="00066164"/>
    <w:rsid w:val="00066681"/>
    <w:rsid w:val="00067BC6"/>
    <w:rsid w:val="00072814"/>
    <w:rsid w:val="00074B71"/>
    <w:rsid w:val="000865E5"/>
    <w:rsid w:val="0009101F"/>
    <w:rsid w:val="00093771"/>
    <w:rsid w:val="000A37B7"/>
    <w:rsid w:val="000A5EA7"/>
    <w:rsid w:val="000B3AFD"/>
    <w:rsid w:val="000C06B6"/>
    <w:rsid w:val="000C5ACB"/>
    <w:rsid w:val="000C726B"/>
    <w:rsid w:val="000D1275"/>
    <w:rsid w:val="000D7FA4"/>
    <w:rsid w:val="000E2D20"/>
    <w:rsid w:val="000E7572"/>
    <w:rsid w:val="000F0CE6"/>
    <w:rsid w:val="000F0FC4"/>
    <w:rsid w:val="000F7054"/>
    <w:rsid w:val="001007FA"/>
    <w:rsid w:val="00102A81"/>
    <w:rsid w:val="00102DFC"/>
    <w:rsid w:val="00120711"/>
    <w:rsid w:val="00132220"/>
    <w:rsid w:val="001328AC"/>
    <w:rsid w:val="00135362"/>
    <w:rsid w:val="00136D65"/>
    <w:rsid w:val="001371D4"/>
    <w:rsid w:val="00142CDC"/>
    <w:rsid w:val="0015087B"/>
    <w:rsid w:val="00155696"/>
    <w:rsid w:val="00163600"/>
    <w:rsid w:val="0019524F"/>
    <w:rsid w:val="001C1387"/>
    <w:rsid w:val="001C2174"/>
    <w:rsid w:val="001C68BF"/>
    <w:rsid w:val="001D0F12"/>
    <w:rsid w:val="001E485B"/>
    <w:rsid w:val="001F59E0"/>
    <w:rsid w:val="002070FE"/>
    <w:rsid w:val="00210420"/>
    <w:rsid w:val="00212E05"/>
    <w:rsid w:val="00235113"/>
    <w:rsid w:val="00235536"/>
    <w:rsid w:val="002355D7"/>
    <w:rsid w:val="00236A1B"/>
    <w:rsid w:val="00236F88"/>
    <w:rsid w:val="002422CC"/>
    <w:rsid w:val="00251279"/>
    <w:rsid w:val="00252099"/>
    <w:rsid w:val="002523DE"/>
    <w:rsid w:val="00257F75"/>
    <w:rsid w:val="00262101"/>
    <w:rsid w:val="00262610"/>
    <w:rsid w:val="00280D76"/>
    <w:rsid w:val="00283EE0"/>
    <w:rsid w:val="002854B7"/>
    <w:rsid w:val="002870FF"/>
    <w:rsid w:val="0029703D"/>
    <w:rsid w:val="00297F7F"/>
    <w:rsid w:val="002A76A4"/>
    <w:rsid w:val="002B11DC"/>
    <w:rsid w:val="002C2C50"/>
    <w:rsid w:val="002D616C"/>
    <w:rsid w:val="00300393"/>
    <w:rsid w:val="00301782"/>
    <w:rsid w:val="003159C7"/>
    <w:rsid w:val="00317033"/>
    <w:rsid w:val="00324F70"/>
    <w:rsid w:val="003312CC"/>
    <w:rsid w:val="00340FBE"/>
    <w:rsid w:val="00343EBC"/>
    <w:rsid w:val="00347650"/>
    <w:rsid w:val="00352D18"/>
    <w:rsid w:val="0035305D"/>
    <w:rsid w:val="0035593F"/>
    <w:rsid w:val="00357A98"/>
    <w:rsid w:val="00367670"/>
    <w:rsid w:val="003735B6"/>
    <w:rsid w:val="00373AF5"/>
    <w:rsid w:val="00383FE7"/>
    <w:rsid w:val="00384747"/>
    <w:rsid w:val="003855A7"/>
    <w:rsid w:val="00386C50"/>
    <w:rsid w:val="00392A62"/>
    <w:rsid w:val="003A2102"/>
    <w:rsid w:val="003B699F"/>
    <w:rsid w:val="003B6FCA"/>
    <w:rsid w:val="003D4E39"/>
    <w:rsid w:val="003E21B5"/>
    <w:rsid w:val="003E2561"/>
    <w:rsid w:val="003E4ECC"/>
    <w:rsid w:val="003E5572"/>
    <w:rsid w:val="003F0BE0"/>
    <w:rsid w:val="003F1D74"/>
    <w:rsid w:val="00403EB1"/>
    <w:rsid w:val="00404BE6"/>
    <w:rsid w:val="00410594"/>
    <w:rsid w:val="00415EF5"/>
    <w:rsid w:val="0042181F"/>
    <w:rsid w:val="00424556"/>
    <w:rsid w:val="00431DEC"/>
    <w:rsid w:val="004349DC"/>
    <w:rsid w:val="004571D3"/>
    <w:rsid w:val="00473360"/>
    <w:rsid w:val="00474858"/>
    <w:rsid w:val="00477C39"/>
    <w:rsid w:val="00480619"/>
    <w:rsid w:val="004A091D"/>
    <w:rsid w:val="004A5F16"/>
    <w:rsid w:val="004B3051"/>
    <w:rsid w:val="004B592F"/>
    <w:rsid w:val="004B7E1B"/>
    <w:rsid w:val="004C0998"/>
    <w:rsid w:val="004C0B7A"/>
    <w:rsid w:val="004E23F1"/>
    <w:rsid w:val="004F657B"/>
    <w:rsid w:val="004F6E58"/>
    <w:rsid w:val="005036BB"/>
    <w:rsid w:val="00506977"/>
    <w:rsid w:val="0050743B"/>
    <w:rsid w:val="005218B3"/>
    <w:rsid w:val="00521B76"/>
    <w:rsid w:val="00553574"/>
    <w:rsid w:val="005563E0"/>
    <w:rsid w:val="00562C0F"/>
    <w:rsid w:val="00566A60"/>
    <w:rsid w:val="005725F9"/>
    <w:rsid w:val="00581449"/>
    <w:rsid w:val="005903C7"/>
    <w:rsid w:val="005A10C7"/>
    <w:rsid w:val="005A41A8"/>
    <w:rsid w:val="005B108C"/>
    <w:rsid w:val="005B44E9"/>
    <w:rsid w:val="005B6225"/>
    <w:rsid w:val="005C447D"/>
    <w:rsid w:val="005C4614"/>
    <w:rsid w:val="005C57BB"/>
    <w:rsid w:val="005D67EC"/>
    <w:rsid w:val="005D793F"/>
    <w:rsid w:val="005F4DE0"/>
    <w:rsid w:val="005F7341"/>
    <w:rsid w:val="005F7365"/>
    <w:rsid w:val="00600633"/>
    <w:rsid w:val="00604222"/>
    <w:rsid w:val="00612C12"/>
    <w:rsid w:val="00613476"/>
    <w:rsid w:val="00614A7B"/>
    <w:rsid w:val="00622920"/>
    <w:rsid w:val="00624E8F"/>
    <w:rsid w:val="00627FDD"/>
    <w:rsid w:val="00631BBE"/>
    <w:rsid w:val="00632959"/>
    <w:rsid w:val="006334B6"/>
    <w:rsid w:val="006350B7"/>
    <w:rsid w:val="00635AB2"/>
    <w:rsid w:val="00635F36"/>
    <w:rsid w:val="00666839"/>
    <w:rsid w:val="00667E21"/>
    <w:rsid w:val="006702DA"/>
    <w:rsid w:val="00673F03"/>
    <w:rsid w:val="006800CF"/>
    <w:rsid w:val="006803DC"/>
    <w:rsid w:val="00681D98"/>
    <w:rsid w:val="00691717"/>
    <w:rsid w:val="006A0031"/>
    <w:rsid w:val="006A0680"/>
    <w:rsid w:val="006A2331"/>
    <w:rsid w:val="006A6ED4"/>
    <w:rsid w:val="006B4CA1"/>
    <w:rsid w:val="006B58D4"/>
    <w:rsid w:val="006B5CDB"/>
    <w:rsid w:val="006E27A4"/>
    <w:rsid w:val="006E51B1"/>
    <w:rsid w:val="006F19FA"/>
    <w:rsid w:val="006F1BD1"/>
    <w:rsid w:val="0070221D"/>
    <w:rsid w:val="0070232F"/>
    <w:rsid w:val="007057EC"/>
    <w:rsid w:val="00706E50"/>
    <w:rsid w:val="00710586"/>
    <w:rsid w:val="00713BBA"/>
    <w:rsid w:val="00727AA0"/>
    <w:rsid w:val="00730328"/>
    <w:rsid w:val="007532F8"/>
    <w:rsid w:val="00756581"/>
    <w:rsid w:val="00760A51"/>
    <w:rsid w:val="00762D73"/>
    <w:rsid w:val="00766D6D"/>
    <w:rsid w:val="007713A1"/>
    <w:rsid w:val="00782E2E"/>
    <w:rsid w:val="00784A83"/>
    <w:rsid w:val="00785794"/>
    <w:rsid w:val="00787338"/>
    <w:rsid w:val="007919B7"/>
    <w:rsid w:val="00792557"/>
    <w:rsid w:val="00796AD2"/>
    <w:rsid w:val="007A042F"/>
    <w:rsid w:val="007B47F6"/>
    <w:rsid w:val="007C3739"/>
    <w:rsid w:val="007C44B9"/>
    <w:rsid w:val="007C4D0F"/>
    <w:rsid w:val="007C4D34"/>
    <w:rsid w:val="007D4A7D"/>
    <w:rsid w:val="007E5789"/>
    <w:rsid w:val="007F5E1F"/>
    <w:rsid w:val="00802276"/>
    <w:rsid w:val="00807058"/>
    <w:rsid w:val="00813E2C"/>
    <w:rsid w:val="0081780E"/>
    <w:rsid w:val="00821968"/>
    <w:rsid w:val="0083074B"/>
    <w:rsid w:val="0083106F"/>
    <w:rsid w:val="00844C6A"/>
    <w:rsid w:val="00853E36"/>
    <w:rsid w:val="00856577"/>
    <w:rsid w:val="00857650"/>
    <w:rsid w:val="008604F8"/>
    <w:rsid w:val="00867293"/>
    <w:rsid w:val="00870BD0"/>
    <w:rsid w:val="008821C8"/>
    <w:rsid w:val="00892F69"/>
    <w:rsid w:val="008973AB"/>
    <w:rsid w:val="008A3603"/>
    <w:rsid w:val="008B08D5"/>
    <w:rsid w:val="008D3E0B"/>
    <w:rsid w:val="008D4DFC"/>
    <w:rsid w:val="008D6C50"/>
    <w:rsid w:val="008E1FEA"/>
    <w:rsid w:val="008E5751"/>
    <w:rsid w:val="008F08E5"/>
    <w:rsid w:val="008F0E2B"/>
    <w:rsid w:val="008F27E0"/>
    <w:rsid w:val="008F481F"/>
    <w:rsid w:val="0090219C"/>
    <w:rsid w:val="009148C4"/>
    <w:rsid w:val="00923DD5"/>
    <w:rsid w:val="009329B9"/>
    <w:rsid w:val="0093505F"/>
    <w:rsid w:val="00952A67"/>
    <w:rsid w:val="009547D0"/>
    <w:rsid w:val="00961D84"/>
    <w:rsid w:val="00971AA9"/>
    <w:rsid w:val="00972BA9"/>
    <w:rsid w:val="00975975"/>
    <w:rsid w:val="00980C97"/>
    <w:rsid w:val="00984F91"/>
    <w:rsid w:val="00986B69"/>
    <w:rsid w:val="00990A94"/>
    <w:rsid w:val="009A1040"/>
    <w:rsid w:val="009A31A8"/>
    <w:rsid w:val="009A4CC7"/>
    <w:rsid w:val="009A5ED3"/>
    <w:rsid w:val="009A7E89"/>
    <w:rsid w:val="009B1277"/>
    <w:rsid w:val="009B4B6D"/>
    <w:rsid w:val="009B4E8D"/>
    <w:rsid w:val="009B74E1"/>
    <w:rsid w:val="009B7CCC"/>
    <w:rsid w:val="009B7EDE"/>
    <w:rsid w:val="009C5295"/>
    <w:rsid w:val="009D0D84"/>
    <w:rsid w:val="009D3E5A"/>
    <w:rsid w:val="009D56F0"/>
    <w:rsid w:val="009E2AD4"/>
    <w:rsid w:val="009F4C82"/>
    <w:rsid w:val="009F5378"/>
    <w:rsid w:val="009F76D7"/>
    <w:rsid w:val="00A025F1"/>
    <w:rsid w:val="00A07838"/>
    <w:rsid w:val="00A130F5"/>
    <w:rsid w:val="00A222CF"/>
    <w:rsid w:val="00A25DF0"/>
    <w:rsid w:val="00A26D49"/>
    <w:rsid w:val="00A33FAB"/>
    <w:rsid w:val="00A3650A"/>
    <w:rsid w:val="00A40175"/>
    <w:rsid w:val="00A47C70"/>
    <w:rsid w:val="00A5070C"/>
    <w:rsid w:val="00A535A2"/>
    <w:rsid w:val="00A55D5E"/>
    <w:rsid w:val="00A57BB8"/>
    <w:rsid w:val="00A66F81"/>
    <w:rsid w:val="00A73398"/>
    <w:rsid w:val="00A84104"/>
    <w:rsid w:val="00A87BDD"/>
    <w:rsid w:val="00AB1EE4"/>
    <w:rsid w:val="00AB1FA1"/>
    <w:rsid w:val="00AB4169"/>
    <w:rsid w:val="00AB424D"/>
    <w:rsid w:val="00AC4BBE"/>
    <w:rsid w:val="00AD44BC"/>
    <w:rsid w:val="00AD526A"/>
    <w:rsid w:val="00AD5C09"/>
    <w:rsid w:val="00AE0FD9"/>
    <w:rsid w:val="00AE3D07"/>
    <w:rsid w:val="00B10248"/>
    <w:rsid w:val="00B15E20"/>
    <w:rsid w:val="00B15F39"/>
    <w:rsid w:val="00B25AB5"/>
    <w:rsid w:val="00B44E1A"/>
    <w:rsid w:val="00B45599"/>
    <w:rsid w:val="00B53D2E"/>
    <w:rsid w:val="00B57991"/>
    <w:rsid w:val="00B61D77"/>
    <w:rsid w:val="00B621E2"/>
    <w:rsid w:val="00B6401B"/>
    <w:rsid w:val="00B66A8C"/>
    <w:rsid w:val="00B67808"/>
    <w:rsid w:val="00B7346C"/>
    <w:rsid w:val="00B74A2B"/>
    <w:rsid w:val="00B877F5"/>
    <w:rsid w:val="00B94609"/>
    <w:rsid w:val="00B94961"/>
    <w:rsid w:val="00BA1413"/>
    <w:rsid w:val="00BB626A"/>
    <w:rsid w:val="00BB78F6"/>
    <w:rsid w:val="00BC4926"/>
    <w:rsid w:val="00BE1ADA"/>
    <w:rsid w:val="00BE2595"/>
    <w:rsid w:val="00BE44A7"/>
    <w:rsid w:val="00BE6675"/>
    <w:rsid w:val="00BF1479"/>
    <w:rsid w:val="00BF750A"/>
    <w:rsid w:val="00C02616"/>
    <w:rsid w:val="00C042C3"/>
    <w:rsid w:val="00C043D7"/>
    <w:rsid w:val="00C05CC7"/>
    <w:rsid w:val="00C06803"/>
    <w:rsid w:val="00C123DE"/>
    <w:rsid w:val="00C25EB5"/>
    <w:rsid w:val="00C3018B"/>
    <w:rsid w:val="00C36B1A"/>
    <w:rsid w:val="00C375A4"/>
    <w:rsid w:val="00C472CE"/>
    <w:rsid w:val="00C70950"/>
    <w:rsid w:val="00C747B0"/>
    <w:rsid w:val="00C76E72"/>
    <w:rsid w:val="00C800AA"/>
    <w:rsid w:val="00C91D5D"/>
    <w:rsid w:val="00C95052"/>
    <w:rsid w:val="00CA14D4"/>
    <w:rsid w:val="00CA4E52"/>
    <w:rsid w:val="00CA5717"/>
    <w:rsid w:val="00CA7719"/>
    <w:rsid w:val="00CB3162"/>
    <w:rsid w:val="00CD73A3"/>
    <w:rsid w:val="00CE6109"/>
    <w:rsid w:val="00D22CDD"/>
    <w:rsid w:val="00D3396E"/>
    <w:rsid w:val="00D33D71"/>
    <w:rsid w:val="00D36E1E"/>
    <w:rsid w:val="00D36E65"/>
    <w:rsid w:val="00D37ABB"/>
    <w:rsid w:val="00D40277"/>
    <w:rsid w:val="00D4085F"/>
    <w:rsid w:val="00D40BDC"/>
    <w:rsid w:val="00D40F87"/>
    <w:rsid w:val="00D46961"/>
    <w:rsid w:val="00D57492"/>
    <w:rsid w:val="00D60C4A"/>
    <w:rsid w:val="00D70F6C"/>
    <w:rsid w:val="00D71E63"/>
    <w:rsid w:val="00D727C5"/>
    <w:rsid w:val="00D95A3D"/>
    <w:rsid w:val="00DA1CD8"/>
    <w:rsid w:val="00DB5D1E"/>
    <w:rsid w:val="00DB7ADA"/>
    <w:rsid w:val="00DC153F"/>
    <w:rsid w:val="00DC177C"/>
    <w:rsid w:val="00DC388A"/>
    <w:rsid w:val="00DC46DE"/>
    <w:rsid w:val="00DD3906"/>
    <w:rsid w:val="00DD644B"/>
    <w:rsid w:val="00DD7792"/>
    <w:rsid w:val="00DE0022"/>
    <w:rsid w:val="00DE2C67"/>
    <w:rsid w:val="00DF5292"/>
    <w:rsid w:val="00DF55AF"/>
    <w:rsid w:val="00E02602"/>
    <w:rsid w:val="00E02DD8"/>
    <w:rsid w:val="00E04467"/>
    <w:rsid w:val="00E04984"/>
    <w:rsid w:val="00E04C3B"/>
    <w:rsid w:val="00E10EC3"/>
    <w:rsid w:val="00E13975"/>
    <w:rsid w:val="00E1603F"/>
    <w:rsid w:val="00E17349"/>
    <w:rsid w:val="00E23E15"/>
    <w:rsid w:val="00E2518D"/>
    <w:rsid w:val="00E3178A"/>
    <w:rsid w:val="00E36726"/>
    <w:rsid w:val="00E373D1"/>
    <w:rsid w:val="00E423F4"/>
    <w:rsid w:val="00E425AD"/>
    <w:rsid w:val="00E47674"/>
    <w:rsid w:val="00E51326"/>
    <w:rsid w:val="00E61FB1"/>
    <w:rsid w:val="00E63722"/>
    <w:rsid w:val="00E660B3"/>
    <w:rsid w:val="00E74122"/>
    <w:rsid w:val="00E776D5"/>
    <w:rsid w:val="00E7783E"/>
    <w:rsid w:val="00E80571"/>
    <w:rsid w:val="00E83542"/>
    <w:rsid w:val="00E924A9"/>
    <w:rsid w:val="00E9481C"/>
    <w:rsid w:val="00E977C5"/>
    <w:rsid w:val="00E97BB9"/>
    <w:rsid w:val="00EA0B0B"/>
    <w:rsid w:val="00EA6CD3"/>
    <w:rsid w:val="00EB115E"/>
    <w:rsid w:val="00EB25B6"/>
    <w:rsid w:val="00EB26B0"/>
    <w:rsid w:val="00EC18B3"/>
    <w:rsid w:val="00EC39BC"/>
    <w:rsid w:val="00ED01EF"/>
    <w:rsid w:val="00ED1A9D"/>
    <w:rsid w:val="00ED3B63"/>
    <w:rsid w:val="00EE0065"/>
    <w:rsid w:val="00EE0BF8"/>
    <w:rsid w:val="00EE25DF"/>
    <w:rsid w:val="00EF2F98"/>
    <w:rsid w:val="00EF30B3"/>
    <w:rsid w:val="00EF3942"/>
    <w:rsid w:val="00EF5FB1"/>
    <w:rsid w:val="00F0293A"/>
    <w:rsid w:val="00F0398D"/>
    <w:rsid w:val="00F040BB"/>
    <w:rsid w:val="00F05543"/>
    <w:rsid w:val="00F11771"/>
    <w:rsid w:val="00F1210D"/>
    <w:rsid w:val="00F14884"/>
    <w:rsid w:val="00F16732"/>
    <w:rsid w:val="00F17324"/>
    <w:rsid w:val="00F2302B"/>
    <w:rsid w:val="00F23DD4"/>
    <w:rsid w:val="00F30841"/>
    <w:rsid w:val="00F3209C"/>
    <w:rsid w:val="00F42914"/>
    <w:rsid w:val="00F4503D"/>
    <w:rsid w:val="00F51219"/>
    <w:rsid w:val="00F533A6"/>
    <w:rsid w:val="00F579E0"/>
    <w:rsid w:val="00F641ED"/>
    <w:rsid w:val="00F668A3"/>
    <w:rsid w:val="00F72227"/>
    <w:rsid w:val="00F7454A"/>
    <w:rsid w:val="00F83E79"/>
    <w:rsid w:val="00FA05CE"/>
    <w:rsid w:val="00FA0F24"/>
    <w:rsid w:val="00FA77AB"/>
    <w:rsid w:val="00FA7C30"/>
    <w:rsid w:val="00FB033D"/>
    <w:rsid w:val="00FB0C52"/>
    <w:rsid w:val="00FB4421"/>
    <w:rsid w:val="00FC66F8"/>
    <w:rsid w:val="00FD1AD2"/>
    <w:rsid w:val="00FE0403"/>
    <w:rsid w:val="00FE13BF"/>
    <w:rsid w:val="00FE474F"/>
    <w:rsid w:val="00FF167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93400A3"/>
  <w15:docId w15:val="{7096BB78-9D6B-4117-9165-977E9FC9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292"/>
    <w:rPr>
      <w:sz w:val="24"/>
      <w:szCs w:val="24"/>
    </w:rPr>
  </w:style>
  <w:style w:type="paragraph" w:styleId="Heading1">
    <w:name w:val="heading 1"/>
    <w:basedOn w:val="Normal"/>
    <w:next w:val="Normal"/>
    <w:qFormat/>
    <w:rsid w:val="00DF5292"/>
    <w:pPr>
      <w:keepNext/>
      <w:spacing w:after="60"/>
      <w:jc w:val="center"/>
      <w:outlineLvl w:val="0"/>
    </w:pPr>
    <w:rPr>
      <w:rFonts w:cs="Arial"/>
      <w:b/>
      <w:bCs/>
      <w:sz w:val="22"/>
      <w:szCs w:val="32"/>
    </w:rPr>
  </w:style>
  <w:style w:type="paragraph" w:styleId="Heading2">
    <w:name w:val="heading 2"/>
    <w:basedOn w:val="Normal"/>
    <w:next w:val="Normal"/>
    <w:qFormat/>
    <w:rsid w:val="00DF5292"/>
    <w:pPr>
      <w:keepNext/>
      <w:jc w:val="center"/>
      <w:outlineLvl w:val="1"/>
    </w:pPr>
    <w:rPr>
      <w:b/>
      <w:bCs/>
    </w:rPr>
  </w:style>
  <w:style w:type="paragraph" w:styleId="Heading3">
    <w:name w:val="heading 3"/>
    <w:basedOn w:val="Normal"/>
    <w:next w:val="Normal"/>
    <w:qFormat/>
    <w:rsid w:val="00DF5292"/>
    <w:pPr>
      <w:keepNext/>
      <w:outlineLvl w:val="2"/>
    </w:pPr>
    <w:rPr>
      <w:b/>
      <w:bCs/>
      <w:i/>
      <w:iCs/>
    </w:rPr>
  </w:style>
  <w:style w:type="paragraph" w:styleId="Heading6">
    <w:name w:val="heading 6"/>
    <w:basedOn w:val="Normal"/>
    <w:next w:val="Normal"/>
    <w:link w:val="Heading6Char"/>
    <w:unhideWhenUsed/>
    <w:qFormat/>
    <w:rsid w:val="00007A8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5292"/>
    <w:pPr>
      <w:tabs>
        <w:tab w:val="center" w:pos="4320"/>
        <w:tab w:val="right" w:pos="8640"/>
      </w:tabs>
    </w:pPr>
  </w:style>
  <w:style w:type="paragraph" w:styleId="Footer">
    <w:name w:val="footer"/>
    <w:basedOn w:val="Normal"/>
    <w:link w:val="FooterChar"/>
    <w:rsid w:val="00DF5292"/>
    <w:pPr>
      <w:tabs>
        <w:tab w:val="center" w:pos="4320"/>
        <w:tab w:val="right" w:pos="8640"/>
      </w:tabs>
    </w:pPr>
  </w:style>
  <w:style w:type="character" w:styleId="Hyperlink">
    <w:name w:val="Hyperlink"/>
    <w:rsid w:val="00DF5292"/>
    <w:rPr>
      <w:color w:val="0000FF"/>
      <w:u w:val="single"/>
    </w:rPr>
  </w:style>
  <w:style w:type="paragraph" w:styleId="DocumentMap">
    <w:name w:val="Document Map"/>
    <w:basedOn w:val="Normal"/>
    <w:link w:val="DocumentMapChar"/>
    <w:uiPriority w:val="99"/>
    <w:semiHidden/>
    <w:rsid w:val="006F1BD1"/>
    <w:pPr>
      <w:shd w:val="clear" w:color="auto" w:fill="000080"/>
    </w:pPr>
    <w:rPr>
      <w:rFonts w:ascii="Tahoma" w:hAnsi="Tahoma" w:cs="Tahoma"/>
      <w:sz w:val="20"/>
      <w:szCs w:val="20"/>
    </w:rPr>
  </w:style>
  <w:style w:type="paragraph" w:styleId="Date">
    <w:name w:val="Date"/>
    <w:basedOn w:val="Normal"/>
    <w:next w:val="Normal"/>
    <w:rsid w:val="00787338"/>
  </w:style>
  <w:style w:type="table" w:styleId="TableGrid">
    <w:name w:val="Table Grid"/>
    <w:basedOn w:val="TableNormal"/>
    <w:uiPriority w:val="59"/>
    <w:rsid w:val="008D6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6F19FA"/>
    <w:pPr>
      <w:autoSpaceDE w:val="0"/>
      <w:autoSpaceDN w:val="0"/>
      <w:adjustRightInd w:val="0"/>
    </w:pPr>
    <w:rPr>
      <w:rFonts w:eastAsia="Calibri"/>
      <w:color w:val="000000"/>
      <w:sz w:val="24"/>
      <w:szCs w:val="24"/>
      <w:lang w:val="en-AU"/>
    </w:rPr>
  </w:style>
  <w:style w:type="paragraph" w:styleId="PlainText">
    <w:name w:val="Plain Text"/>
    <w:basedOn w:val="Normal"/>
    <w:link w:val="PlainTextChar"/>
    <w:uiPriority w:val="99"/>
    <w:unhideWhenUsed/>
    <w:rsid w:val="00C36B1A"/>
    <w:rPr>
      <w:rFonts w:ascii="Consolas" w:eastAsia="Calibri" w:hAnsi="Consolas"/>
      <w:sz w:val="21"/>
      <w:szCs w:val="21"/>
      <w:lang w:val="en-AU"/>
    </w:rPr>
  </w:style>
  <w:style w:type="character" w:customStyle="1" w:styleId="PlainTextChar">
    <w:name w:val="Plain Text Char"/>
    <w:link w:val="PlainText"/>
    <w:uiPriority w:val="99"/>
    <w:rsid w:val="00C36B1A"/>
    <w:rPr>
      <w:rFonts w:ascii="Consolas" w:eastAsia="Calibri" w:hAnsi="Consolas"/>
      <w:sz w:val="21"/>
      <w:szCs w:val="21"/>
      <w:lang w:val="en-AU"/>
    </w:rPr>
  </w:style>
  <w:style w:type="character" w:customStyle="1" w:styleId="FooterChar">
    <w:name w:val="Footer Char"/>
    <w:link w:val="Footer"/>
    <w:uiPriority w:val="99"/>
    <w:rsid w:val="00210420"/>
    <w:rPr>
      <w:sz w:val="24"/>
      <w:szCs w:val="24"/>
    </w:rPr>
  </w:style>
  <w:style w:type="character" w:styleId="FollowedHyperlink">
    <w:name w:val="FollowedHyperlink"/>
    <w:uiPriority w:val="99"/>
    <w:rsid w:val="00AD5C09"/>
    <w:rPr>
      <w:color w:val="800080"/>
      <w:u w:val="single"/>
    </w:rPr>
  </w:style>
  <w:style w:type="paragraph" w:styleId="BodyText">
    <w:name w:val="Body Text"/>
    <w:basedOn w:val="Normal"/>
    <w:link w:val="BodyTextChar"/>
    <w:rsid w:val="00DC153F"/>
    <w:pPr>
      <w:jc w:val="center"/>
    </w:pPr>
    <w:rPr>
      <w:rFonts w:eastAsia="Malgun Gothic"/>
      <w:lang w:val="en-GB"/>
    </w:rPr>
  </w:style>
  <w:style w:type="character" w:customStyle="1" w:styleId="BodyTextChar">
    <w:name w:val="Body Text Char"/>
    <w:link w:val="BodyText"/>
    <w:rsid w:val="00DC153F"/>
    <w:rPr>
      <w:rFonts w:eastAsia="Malgun Gothic"/>
      <w:sz w:val="24"/>
      <w:szCs w:val="24"/>
      <w:lang w:val="en-GB"/>
    </w:rPr>
  </w:style>
  <w:style w:type="character" w:styleId="CommentReference">
    <w:name w:val="annotation reference"/>
    <w:uiPriority w:val="99"/>
    <w:unhideWhenUsed/>
    <w:rsid w:val="00DC153F"/>
    <w:rPr>
      <w:sz w:val="16"/>
      <w:szCs w:val="16"/>
    </w:rPr>
  </w:style>
  <w:style w:type="paragraph" w:styleId="CommentText">
    <w:name w:val="annotation text"/>
    <w:basedOn w:val="Normal"/>
    <w:link w:val="CommentTextChar"/>
    <w:uiPriority w:val="99"/>
    <w:unhideWhenUsed/>
    <w:rsid w:val="00DC153F"/>
    <w:pPr>
      <w:spacing w:after="200" w:line="276" w:lineRule="auto"/>
    </w:pPr>
    <w:rPr>
      <w:rFonts w:ascii="Calibri" w:eastAsia="Malgun Gothic" w:hAnsi="Calibri"/>
      <w:sz w:val="20"/>
      <w:szCs w:val="20"/>
    </w:rPr>
  </w:style>
  <w:style w:type="character" w:customStyle="1" w:styleId="CommentTextChar">
    <w:name w:val="Comment Text Char"/>
    <w:link w:val="CommentText"/>
    <w:uiPriority w:val="99"/>
    <w:rsid w:val="00DC153F"/>
    <w:rPr>
      <w:rFonts w:ascii="Calibri" w:eastAsia="Malgun Gothic" w:hAnsi="Calibri"/>
    </w:rPr>
  </w:style>
  <w:style w:type="paragraph" w:styleId="CommentSubject">
    <w:name w:val="annotation subject"/>
    <w:basedOn w:val="CommentText"/>
    <w:next w:val="CommentText"/>
    <w:link w:val="CommentSubjectChar"/>
    <w:uiPriority w:val="99"/>
    <w:unhideWhenUsed/>
    <w:rsid w:val="00DC153F"/>
    <w:rPr>
      <w:b/>
      <w:bCs/>
    </w:rPr>
  </w:style>
  <w:style w:type="character" w:customStyle="1" w:styleId="CommentSubjectChar">
    <w:name w:val="Comment Subject Char"/>
    <w:link w:val="CommentSubject"/>
    <w:uiPriority w:val="99"/>
    <w:rsid w:val="00DC153F"/>
    <w:rPr>
      <w:rFonts w:ascii="Calibri" w:eastAsia="Malgun Gothic" w:hAnsi="Calibri"/>
      <w:b/>
      <w:bCs/>
    </w:rPr>
  </w:style>
  <w:style w:type="paragraph" w:styleId="BalloonText">
    <w:name w:val="Balloon Text"/>
    <w:basedOn w:val="Normal"/>
    <w:link w:val="BalloonTextChar"/>
    <w:uiPriority w:val="99"/>
    <w:unhideWhenUsed/>
    <w:rsid w:val="00DC153F"/>
    <w:rPr>
      <w:rFonts w:ascii="Tahoma" w:eastAsia="Malgun Gothic" w:hAnsi="Tahoma"/>
      <w:sz w:val="16"/>
      <w:szCs w:val="16"/>
    </w:rPr>
  </w:style>
  <w:style w:type="character" w:customStyle="1" w:styleId="BalloonTextChar">
    <w:name w:val="Balloon Text Char"/>
    <w:link w:val="BalloonText"/>
    <w:uiPriority w:val="99"/>
    <w:rsid w:val="00DC153F"/>
    <w:rPr>
      <w:rFonts w:ascii="Tahoma" w:eastAsia="Malgun Gothic" w:hAnsi="Tahoma"/>
      <w:sz w:val="16"/>
      <w:szCs w:val="16"/>
    </w:rPr>
  </w:style>
  <w:style w:type="character" w:styleId="HTMLCite">
    <w:name w:val="HTML Cite"/>
    <w:uiPriority w:val="99"/>
    <w:unhideWhenUsed/>
    <w:rsid w:val="00DC153F"/>
    <w:rPr>
      <w:i/>
      <w:iCs/>
    </w:rPr>
  </w:style>
  <w:style w:type="paragraph" w:styleId="NormalWeb">
    <w:name w:val="Normal (Web)"/>
    <w:basedOn w:val="Normal"/>
    <w:unhideWhenUsed/>
    <w:rsid w:val="00DC153F"/>
    <w:pPr>
      <w:spacing w:before="100" w:beforeAutospacing="1" w:after="100" w:afterAutospacing="1"/>
    </w:pPr>
    <w:rPr>
      <w:rFonts w:eastAsia="Calibri"/>
    </w:rPr>
  </w:style>
  <w:style w:type="character" w:customStyle="1" w:styleId="DocumentMapChar">
    <w:name w:val="Document Map Char"/>
    <w:link w:val="DocumentMap"/>
    <w:uiPriority w:val="99"/>
    <w:semiHidden/>
    <w:rsid w:val="00DC153F"/>
    <w:rPr>
      <w:rFonts w:ascii="Tahoma" w:hAnsi="Tahoma" w:cs="Tahoma"/>
      <w:shd w:val="clear" w:color="auto" w:fill="000080"/>
    </w:rPr>
  </w:style>
  <w:style w:type="character" w:customStyle="1" w:styleId="HeaderChar">
    <w:name w:val="Header Char"/>
    <w:link w:val="Header"/>
    <w:rsid w:val="00DC153F"/>
    <w:rPr>
      <w:sz w:val="24"/>
      <w:szCs w:val="24"/>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F14884"/>
    <w:pPr>
      <w:ind w:left="720"/>
    </w:pPr>
    <w:rPr>
      <w:rFonts w:ascii="Calibri" w:eastAsiaTheme="minorHAnsi" w:hAnsi="Calibri"/>
      <w:sz w:val="22"/>
      <w:szCs w:val="22"/>
    </w:rPr>
  </w:style>
  <w:style w:type="character" w:customStyle="1" w:styleId="Heading6Char">
    <w:name w:val="Heading 6 Char"/>
    <w:basedOn w:val="DefaultParagraphFont"/>
    <w:link w:val="Heading6"/>
    <w:semiHidden/>
    <w:rsid w:val="00007A8D"/>
    <w:rPr>
      <w:rFonts w:asciiTheme="majorHAnsi" w:eastAsiaTheme="majorEastAsia" w:hAnsiTheme="majorHAnsi" w:cstheme="majorBidi"/>
      <w:i/>
      <w:iCs/>
      <w:color w:val="1F4D78" w:themeColor="accent1" w:themeShade="7F"/>
      <w:sz w:val="24"/>
      <w:szCs w:val="24"/>
    </w:rPr>
  </w:style>
  <w:style w:type="character" w:customStyle="1" w:styleId="DefaultChar">
    <w:name w:val="Default Char"/>
    <w:basedOn w:val="DefaultParagraphFont"/>
    <w:link w:val="Default"/>
    <w:locked/>
    <w:rsid w:val="00007A8D"/>
    <w:rPr>
      <w:rFonts w:eastAsia="Calibri"/>
      <w:color w:val="000000"/>
      <w:sz w:val="24"/>
      <w:szCs w:val="24"/>
      <w:lang w:val="en-AU"/>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007A8D"/>
    <w:rPr>
      <w:rFonts w:ascii="Calibri" w:eastAsiaTheme="minorHAnsi" w:hAnsi="Calibri"/>
      <w:sz w:val="22"/>
      <w:szCs w:val="22"/>
    </w:rPr>
  </w:style>
  <w:style w:type="paragraph" w:styleId="NoSpacing">
    <w:name w:val="No Spacing"/>
    <w:uiPriority w:val="1"/>
    <w:qFormat/>
    <w:rsid w:val="00E660B3"/>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A76A4"/>
    <w:rPr>
      <w:color w:val="605E5C"/>
      <w:shd w:val="clear" w:color="auto" w:fill="E1DFDD"/>
    </w:rPr>
  </w:style>
  <w:style w:type="character" w:styleId="FootnoteReference">
    <w:name w:val="footnote reference"/>
    <w:basedOn w:val="DefaultParagraphFont"/>
    <w:unhideWhenUsed/>
    <w:rsid w:val="002C2C50"/>
    <w:rPr>
      <w:vertAlign w:val="superscript"/>
    </w:rPr>
  </w:style>
  <w:style w:type="paragraph" w:styleId="FootnoteText">
    <w:name w:val="footnote text"/>
    <w:basedOn w:val="Normal"/>
    <w:link w:val="FootnoteTextChar"/>
    <w:semiHidden/>
    <w:unhideWhenUsed/>
    <w:rsid w:val="002C2C50"/>
    <w:rPr>
      <w:rFonts w:asciiTheme="minorHAnsi" w:eastAsiaTheme="minorEastAsia" w:hAnsiTheme="minorHAnsi" w:cstheme="minorBidi"/>
      <w:sz w:val="20"/>
      <w:szCs w:val="20"/>
      <w:lang w:val="en-AU" w:eastAsia="en-NZ"/>
    </w:rPr>
  </w:style>
  <w:style w:type="character" w:customStyle="1" w:styleId="FootnoteTextChar">
    <w:name w:val="Footnote Text Char"/>
    <w:basedOn w:val="DefaultParagraphFont"/>
    <w:link w:val="FootnoteText"/>
    <w:semiHidden/>
    <w:rsid w:val="002C2C50"/>
    <w:rPr>
      <w:rFonts w:asciiTheme="minorHAnsi" w:eastAsiaTheme="minorEastAsia" w:hAnsiTheme="minorHAnsi" w:cstheme="minorBidi"/>
      <w:lang w:val="en-AU" w:eastAsia="en-NZ"/>
    </w:rPr>
  </w:style>
  <w:style w:type="paragraph" w:styleId="Revision">
    <w:name w:val="Revision"/>
    <w:hidden/>
    <w:uiPriority w:val="99"/>
    <w:semiHidden/>
    <w:rsid w:val="00782E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0164">
      <w:bodyDiv w:val="1"/>
      <w:marLeft w:val="0"/>
      <w:marRight w:val="0"/>
      <w:marTop w:val="0"/>
      <w:marBottom w:val="0"/>
      <w:divBdr>
        <w:top w:val="none" w:sz="0" w:space="0" w:color="auto"/>
        <w:left w:val="none" w:sz="0" w:space="0" w:color="auto"/>
        <w:bottom w:val="none" w:sz="0" w:space="0" w:color="auto"/>
        <w:right w:val="none" w:sz="0" w:space="0" w:color="auto"/>
      </w:divBdr>
    </w:div>
    <w:div w:id="676927270">
      <w:bodyDiv w:val="1"/>
      <w:marLeft w:val="0"/>
      <w:marRight w:val="0"/>
      <w:marTop w:val="0"/>
      <w:marBottom w:val="0"/>
      <w:divBdr>
        <w:top w:val="none" w:sz="0" w:space="0" w:color="auto"/>
        <w:left w:val="none" w:sz="0" w:space="0" w:color="auto"/>
        <w:bottom w:val="none" w:sz="0" w:space="0" w:color="auto"/>
        <w:right w:val="none" w:sz="0" w:space="0" w:color="auto"/>
      </w:divBdr>
    </w:div>
    <w:div w:id="743331965">
      <w:bodyDiv w:val="1"/>
      <w:marLeft w:val="0"/>
      <w:marRight w:val="0"/>
      <w:marTop w:val="0"/>
      <w:marBottom w:val="0"/>
      <w:divBdr>
        <w:top w:val="none" w:sz="0" w:space="0" w:color="auto"/>
        <w:left w:val="none" w:sz="0" w:space="0" w:color="auto"/>
        <w:bottom w:val="none" w:sz="0" w:space="0" w:color="auto"/>
        <w:right w:val="none" w:sz="0" w:space="0" w:color="auto"/>
      </w:divBdr>
    </w:div>
    <w:div w:id="809177011">
      <w:bodyDiv w:val="1"/>
      <w:marLeft w:val="0"/>
      <w:marRight w:val="0"/>
      <w:marTop w:val="0"/>
      <w:marBottom w:val="0"/>
      <w:divBdr>
        <w:top w:val="none" w:sz="0" w:space="0" w:color="auto"/>
        <w:left w:val="none" w:sz="0" w:space="0" w:color="auto"/>
        <w:bottom w:val="none" w:sz="0" w:space="0" w:color="auto"/>
        <w:right w:val="none" w:sz="0" w:space="0" w:color="auto"/>
      </w:divBdr>
    </w:div>
    <w:div w:id="1017005613">
      <w:bodyDiv w:val="1"/>
      <w:marLeft w:val="0"/>
      <w:marRight w:val="0"/>
      <w:marTop w:val="0"/>
      <w:marBottom w:val="0"/>
      <w:divBdr>
        <w:top w:val="none" w:sz="0" w:space="0" w:color="auto"/>
        <w:left w:val="none" w:sz="0" w:space="0" w:color="auto"/>
        <w:bottom w:val="none" w:sz="0" w:space="0" w:color="auto"/>
        <w:right w:val="none" w:sz="0" w:space="0" w:color="auto"/>
      </w:divBdr>
    </w:div>
    <w:div w:id="1427143693">
      <w:bodyDiv w:val="1"/>
      <w:marLeft w:val="0"/>
      <w:marRight w:val="0"/>
      <w:marTop w:val="0"/>
      <w:marBottom w:val="0"/>
      <w:divBdr>
        <w:top w:val="none" w:sz="0" w:space="0" w:color="auto"/>
        <w:left w:val="none" w:sz="0" w:space="0" w:color="auto"/>
        <w:bottom w:val="none" w:sz="0" w:space="0" w:color="auto"/>
        <w:right w:val="none" w:sz="0" w:space="0" w:color="auto"/>
      </w:divBdr>
    </w:div>
    <w:div w:id="1551527885">
      <w:bodyDiv w:val="1"/>
      <w:marLeft w:val="0"/>
      <w:marRight w:val="0"/>
      <w:marTop w:val="0"/>
      <w:marBottom w:val="0"/>
      <w:divBdr>
        <w:top w:val="none" w:sz="0" w:space="0" w:color="auto"/>
        <w:left w:val="none" w:sz="0" w:space="0" w:color="auto"/>
        <w:bottom w:val="none" w:sz="0" w:space="0" w:color="auto"/>
        <w:right w:val="none" w:sz="0" w:space="0" w:color="auto"/>
      </w:divBdr>
    </w:div>
    <w:div w:id="16086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fp-sam.shinyapps.io/amped-comparing-perform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fp-sam.shinyapps.io/amped-intro-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fp-sam.shinyapps.io/amped-intro-hc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etings.wcpfc.int/meetings/smd01"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AA990-78C7-4A43-86AA-4347FA45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7925</CharactersWithSpaces>
  <SharedDoc>false</SharedDoc>
  <HLinks>
    <vt:vector size="6" baseType="variant">
      <vt:variant>
        <vt:i4>2687010</vt:i4>
      </vt:variant>
      <vt:variant>
        <vt:i4>0</vt:i4>
      </vt:variant>
      <vt:variant>
        <vt:i4>0</vt:i4>
      </vt:variant>
      <vt:variant>
        <vt:i4>5</vt:i4>
      </vt:variant>
      <vt:variant>
        <vt:lpwstr>http://www.wcpfc.int/ccm/illegal-unreported-and-unregulated-iuu-vessels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Lucille Martinez</dc:creator>
  <cp:lastModifiedBy>SungKwon Soh</cp:lastModifiedBy>
  <cp:revision>2</cp:revision>
  <cp:lastPrinted>2017-03-03T00:47:00Z</cp:lastPrinted>
  <dcterms:created xsi:type="dcterms:W3CDTF">2022-05-13T01:22:00Z</dcterms:created>
  <dcterms:modified xsi:type="dcterms:W3CDTF">2022-05-13T01:22:00Z</dcterms:modified>
</cp:coreProperties>
</file>